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414"/>
        <w:jc w:val="center"/>
      </w:pPr>
      <w:r>
        <w:rPr>
          <w:rFonts w:ascii="Times New Roman" w:hAnsi="Times New Roman" w:cs="Times New Roman" w:eastAsia="Times New Roman"/>
          <w:b/>
          <w:i w:val="0"/>
          <w:sz w:val="28"/>
        </w:rPr>
        <w:t>AI-Based Ransomware Detection and Real-Time File Encryption Alert System</w:t>
      </w:r>
    </w:p>
    <w:p>
      <w:pPr>
        <w:spacing w:before="120" w:after="240" w:lineRule="auto" w:line="414"/>
        <w:jc w:val="center"/>
      </w:pPr>
      <w:r>
        <w:rPr>
          <w:rFonts w:ascii="Times New Roman" w:hAnsi="Times New Roman" w:cs="Times New Roman" w:eastAsia="Times New Roman"/>
          <w:b/>
          <w:i w:val="0"/>
          <w:sz w:val="28"/>
        </w:rPr>
        <w:t>ABSTRACT</w:t>
      </w:r>
    </w:p>
    <w:p>
      <w:pPr>
        <w:spacing w:before="0" w:after="0" w:lineRule="auto" w:line="414"/>
        <w:ind w:firstLine="720"/>
        <w:jc w:val="both"/>
      </w:pPr>
      <w:r>
        <w:rPr>
          <w:rFonts w:ascii="Times New Roman" w:hAnsi="Times New Roman" w:cs="Times New Roman" w:eastAsia="Times New Roman"/>
          <w:b w:val="0"/>
          <w:i w:val="0"/>
          <w:sz w:val="24"/>
        </w:rPr>
        <w:t>Ransomware is a serious cybersecurity threat because it encrypts files and can cause significant data loss if not detected early. Endpoint-based detection requires client-side monitoring, which raises privacy concerns, so server-side file-operation logs offer an alternative by recording metadata such as file creation, renaming and deletion. Aranyi, Miseta and Szücs (2026) investigated this approach using fixed one-second windows and five machine-learning models — Decision Tree, Random Forest, Support Vector Machine (SVM), AdaBoost and XGBoost — reporting 91.87% sensitivity for XGBoost in a simulated file-server environment with sub-millisecond inference. However, three raw operation counts per window and a fixed decision threshold of 0.5 limit the detection of slow, low-and-slow encryption and of previously unseen ransomware families, and a single fixed threshold ignores the asymmetry between a missed attack and a false alarm.</w:t>
      </w:r>
    </w:p>
    <w:p>
      <w:pPr>
        <w:spacing w:before="0" w:after="0" w:lineRule="auto" w:line="414"/>
        <w:ind w:firstLine="720"/>
        <w:jc w:val="both"/>
      </w:pPr>
      <w:r>
        <w:rPr>
          <w:rFonts w:ascii="Times New Roman" w:hAnsi="Times New Roman" w:cs="Times New Roman" w:eastAsia="Times New Roman"/>
          <w:b w:val="0"/>
          <w:i w:val="0"/>
          <w:sz w:val="24"/>
        </w:rPr>
        <w:t>This project proposes the Adaptive Server-Side Ransomware Detection (ASSRD) framework to address these limitations. It replaces the three per-second counts with twenty-six trailing temporal features — six aggregate families (sum, mean, maximum, active fraction, mean absolute first difference and coefficient of variation) over 3-, 5-, 10- and 30-second windows, together with an active-run-length and a short-term-to-baseline burst ratio — so that both burst and slow encryption are represented in the decision. Six cost-sensitive classifiers are evaluated: the five paper-inspired models named above, which constitute the core comparison, together with a standardised Logistic Regression added as a linear control, all tuned under stratified cross-validation scored on recall. Rather than fixing the operating threshold at 0.5, it is selected on the validation split by minimising a cost function in which a missed attack is charged ten times a false alarm (C_FN = 10, C_FP = 1), with the fixed-threshold result reported alongside it for comparison. Detections are attributed to operator-level feature groups using decision-path and permutation importance, and distribution drift is monitored with a Population Stability Index supporting an offline retraining and recovery procedure.</w:t>
      </w:r>
    </w:p>
    <w:p>
      <w:pPr>
        <w:spacing w:before="0" w:after="0" w:lineRule="auto" w:line="414"/>
        <w:ind w:firstLine="720"/>
        <w:jc w:val="both"/>
      </w:pPr>
      <w:r>
        <w:rPr>
          <w:rFonts w:ascii="Times New Roman" w:hAnsi="Times New Roman" w:cs="Times New Roman" w:eastAsia="Times New Roman"/>
          <w:b w:val="0"/>
          <w:i w:val="0"/>
          <w:sz w:val="24"/>
        </w:rPr>
        <w:t>In a controlled ablation, replacing the three per-second counts with multi-scale trailing aggregates raises the area under the receiver operating characteristic curve from 0.956 to 0.999, lifts sensitivity at the 0.5 threshold from 0.581 to 0.963, and reduces total cost from 2504 to 226; cost-selected thresholds lower the cost further, with XGBoost reaching a total cost of 62 at a sensitivity of 0.9925, while Logistic Regression is deployed at a selected threshold of 0.46 on the lowest cost at the fixed 0.5 threshold. Leave-one-family-out testing over five families gives a mean zero-shot sensitivity of 0.8499 on a wholly unseen family, and drift monitoring followed by offline retraining raises sensitivity from 0.9606 to 0.9721 while incurring no false drift alarms, although the drift signal itself lagged the induced change by approximately 6000 seconds. The detector is nonetheless defeated by rate-limited encryption below roughly fifteen files per second, where per-window counts become indistinguishable from benign activity; this is reported as the principal limitation, and because the evaluation uses behaviour emulated from published family characteristics rather than executed malware, performance in real-world environments remains to be established. Planned extensions, not yet implemented or evaluated in this study, are BiLSTM-based sequence modelling over the operation-count time series and a threshold-stability study across resampled splits.</w:t>
      </w:r>
    </w:p>
    <w:p>
      <w:pPr>
        <w:spacing w:before="0" w:after="0" w:lineRule="auto" w:line="414"/>
        <w:ind w:firstLine="720"/>
        <w:jc w:val="both"/>
      </w:pPr>
      <w:r>
        <w:rPr>
          <w:rFonts w:ascii="Times New Roman" w:hAnsi="Times New Roman" w:cs="Times New Roman" w:eastAsia="Times New Roman"/>
          <w:b w:val="0"/>
          <w:i w:val="0"/>
          <w:sz w:val="24"/>
        </w:rPr>
      </w:r>
    </w:p>
    <w:p>
      <w:pPr>
        <w:spacing w:before="0" w:after="0" w:lineRule="auto" w:line="414"/>
        <w:ind w:firstLine="720"/>
        <w:jc w:val="both"/>
      </w:pPr>
      <w:r>
        <w:rPr>
          <w:rFonts w:ascii="Times New Roman" w:hAnsi="Times New Roman" w:cs="Times New Roman" w:eastAsia="Times New Roman"/>
          <w:b w:val="0"/>
          <w:i/>
          <w:sz w:val="24"/>
        </w:rPr>
        <w:t>Keywords: Ransomware detection; Server-side file-operation logs; Machine learning; Temporal features; Multi-scale windowing; Cost-sensitive learning; Logistic Regression; Explainability; Concept drift.</w:t>
      </w:r>
    </w:p>
    <w:sectPr w:rsidR="00FC693F" w:rsidRPr="0006063C" w:rsidSect="00034616">
      <w:footerReference w:type="default" r:id="rId9"/>
      <w:pgSz w:w="11906" w:h="16838"/>
      <w:pgMar w:top="1414" w:right="1304" w:bottom="1482" w:left="1800" w:header="720" w:footer="8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w:instrText>
    </w:r>
    <w:r>
      <w:rPr>
        <w:rFonts w:ascii="Times New Roman" w:hAnsi="Times New Roman" w:cs="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Rule="auto" w:line="414"/>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