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D1D7EC">
      <w:pPr>
        <w:pStyle w:val="2"/>
        <w:spacing w:before="120" w:after="240" w:line="360" w:lineRule="auto"/>
        <w:jc w:val="center"/>
        <w:rPr>
          <w:rFonts w:ascii="Times New Roman" w:hAnsi="Times New Roman" w:eastAsia="Times New Roman" w:cs="Times New Roman"/>
          <w:b/>
          <w:color w:val="000000"/>
          <w:sz w:val="28"/>
        </w:rPr>
      </w:pPr>
      <w:r>
        <w:rPr>
          <w:rFonts w:ascii="Times New Roman" w:hAnsi="Times New Roman" w:eastAsia="Times New Roman" w:cs="Times New Roman"/>
          <w:b/>
          <w:color w:val="000000"/>
          <w:sz w:val="28"/>
          <w:lang w:val="en-IN"/>
        </w:rPr>
        <w:t>CHAPTER 1</w:t>
      </w:r>
    </w:p>
    <w:p w14:paraId="41554E3A">
      <w:pPr>
        <w:pStyle w:val="2"/>
        <w:spacing w:before="120" w:after="240" w:line="360" w:lineRule="auto"/>
        <w:rPr>
          <w:rFonts w:ascii="Times New Roman" w:hAnsi="Times New Roman" w:cs="Times New Roman"/>
        </w:rPr>
      </w:pPr>
      <w:r>
        <w:rPr>
          <w:rFonts w:ascii="Times New Roman" w:hAnsi="Times New Roman" w:eastAsia="Times New Roman" w:cs="Times New Roman"/>
          <w:b/>
          <w:color w:val="000000"/>
          <w:sz w:val="28"/>
        </w:rPr>
        <w:t>1. INTRODUCTION</w:t>
      </w:r>
    </w:p>
    <w:p w14:paraId="00A6EA94">
      <w:pPr>
        <w:pStyle w:val="3"/>
        <w:tabs>
          <w:tab w:val="left" w:pos="284"/>
        </w:tabs>
        <w:spacing w:before="200" w:after="120" w:line="360" w:lineRule="auto"/>
        <w:ind w:firstLine="240" w:firstLineChars="100"/>
        <w:jc w:val="both"/>
        <w:rPr>
          <w:rFonts w:ascii="Times New Roman" w:hAnsi="Times New Roman" w:cs="Times New Roman"/>
        </w:rPr>
      </w:pPr>
      <w:r>
        <w:rPr>
          <w:rFonts w:ascii="Times New Roman" w:hAnsi="Times New Roman" w:eastAsia="Times New Roman" w:cs="Times New Roman"/>
          <w:b/>
          <w:color w:val="000000"/>
          <w:sz w:val="24"/>
        </w:rPr>
        <w:t xml:space="preserve"> 1.1 Overview of Ransomware</w:t>
      </w:r>
    </w:p>
    <w:p w14:paraId="1E81EBA3">
      <w:pPr>
        <w:tabs>
          <w:tab w:val="left" w:pos="284"/>
        </w:tabs>
        <w:spacing w:after="120" w:line="360" w:lineRule="auto"/>
        <w:ind w:left="284"/>
        <w:jc w:val="both"/>
      </w:pPr>
      <w:r>
        <w:t xml:space="preserve">           Ransomware is a class of malicious software that encrypts or destroys the files of a victim and then demands payment for their release [1]. Modern families such as Ryuk, WannaCry, NotPetya, LockBit and TeslaCrypt traverse a shared file server rapidly, encrypting large numbers of documents in a short period [2]. Because encryption is largely irreversible once it has completed, the value of any countermeasure is determined by how early it acts: detection in the first seconds of an attack is what allows files to be saved, whereas detection after completion can only support recovery and forensics. The attack lifecycle and the position of the early-detection window are illustrated in Fig. 1.1.</w:t>
      </w:r>
    </w:p>
    <w:p w14:paraId="793984B5">
      <w:pPr>
        <w:keepNext/>
        <w:spacing w:before="160" w:after="80" w:line="360" w:lineRule="auto"/>
        <w:ind w:left="284"/>
        <w:jc w:val="center"/>
      </w:pPr>
      <w:r>
        <w:drawing>
          <wp:inline distT="0" distB="0" distL="114300" distR="114300">
            <wp:extent cx="4719320" cy="9975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rcRect l="2917" t="23535" r="4056" b="8250"/>
                    <a:stretch>
                      <a:fillRect/>
                    </a:stretch>
                  </pic:blipFill>
                  <pic:spPr>
                    <a:xfrm>
                      <a:off x="0" y="0"/>
                      <a:ext cx="4719320" cy="997585"/>
                    </a:xfrm>
                    <a:prstGeom prst="rect">
                      <a:avLst/>
                    </a:prstGeom>
                  </pic:spPr>
                </pic:pic>
              </a:graphicData>
            </a:graphic>
          </wp:inline>
        </w:drawing>
      </w:r>
    </w:p>
    <w:p w14:paraId="2EA51DD0">
      <w:pPr>
        <w:spacing w:line="360" w:lineRule="auto"/>
        <w:ind w:left="284"/>
        <w:jc w:val="center"/>
        <w:rPr>
          <w:b/>
          <w:bCs/>
          <w:iCs/>
        </w:rPr>
      </w:pPr>
      <w:r>
        <w:rPr>
          <w:b/>
          <w:bCs/>
          <w:iCs/>
          <w:sz w:val="21"/>
        </w:rPr>
        <w:t>Figure 1.1: Ransomware attack lifecycle and the early-detection window</w:t>
      </w:r>
    </w:p>
    <w:p w14:paraId="0F756EC9">
      <w:pPr>
        <w:pStyle w:val="3"/>
        <w:tabs>
          <w:tab w:val="left" w:pos="142"/>
        </w:tabs>
        <w:spacing w:before="200" w:after="120" w:line="360" w:lineRule="auto"/>
        <w:jc w:val="both"/>
        <w:rPr>
          <w:rFonts w:ascii="Times New Roman" w:hAnsi="Times New Roman" w:cs="Times New Roman"/>
        </w:rPr>
      </w:pPr>
      <w:r>
        <w:rPr>
          <w:rFonts w:ascii="Times New Roman" w:hAnsi="Times New Roman" w:eastAsia="Times New Roman" w:cs="Times New Roman"/>
          <w:b/>
          <w:color w:val="000000"/>
          <w:sz w:val="24"/>
        </w:rPr>
        <w:t xml:space="preserve">     1.2 Ransomware Detection Strategies</w:t>
      </w:r>
    </w:p>
    <w:p w14:paraId="399C0FF6">
      <w:pPr>
        <w:tabs>
          <w:tab w:val="left" w:pos="284"/>
        </w:tabs>
        <w:spacing w:after="120" w:line="360" w:lineRule="auto"/>
        <w:ind w:left="284"/>
        <w:jc w:val="both"/>
      </w:pPr>
      <w:r>
        <w:t xml:space="preserve">           Detection strategies are commonly grouped by the vantage point from which evidence is collected. Endpoint and file-system methods observe process behaviour, file-system calls and file entropy on the protected host [3]; they can be highly accurate but require kernel-level instrumentation [4] and a software agent on every machine. Network-based methods inspect traffic for the command-and-control and file-sharing patterns of crypto-ransomware [5], but they cannot observe purely local file operations. Static analysis of executables is fast and cheap, but it is defeated by packing, polymorphism and file-less operation [6]. The approach adopted in this project sits in the file-system behavioural family but observes the central file server rather than the endpoint, so no client software is required [7], [8].</w:t>
      </w:r>
    </w:p>
    <w:p w14:paraId="0A5AC446">
      <w:pPr>
        <w:tabs>
          <w:tab w:val="left" w:pos="284"/>
          <w:tab w:val="left" w:pos="567"/>
        </w:tabs>
        <w:spacing w:after="120" w:line="360" w:lineRule="auto"/>
        <w:jc w:val="both"/>
      </w:pPr>
      <w:r>
        <w:t xml:space="preserve">     </w:t>
      </w:r>
    </w:p>
    <w:p w14:paraId="2B1213C8">
      <w:pPr>
        <w:tabs>
          <w:tab w:val="left" w:pos="284"/>
          <w:tab w:val="left" w:pos="567"/>
        </w:tabs>
        <w:spacing w:after="120" w:line="360" w:lineRule="auto"/>
        <w:jc w:val="both"/>
      </w:pPr>
    </w:p>
    <w:p w14:paraId="596CCCDD">
      <w:pPr>
        <w:tabs>
          <w:tab w:val="left" w:pos="284"/>
          <w:tab w:val="left" w:pos="567"/>
        </w:tabs>
        <w:spacing w:after="120" w:line="360" w:lineRule="auto"/>
        <w:jc w:val="both"/>
        <w:rPr>
          <w:b/>
          <w:color w:val="000000"/>
        </w:rPr>
      </w:pPr>
      <w:r>
        <w:t xml:space="preserve">      </w:t>
      </w:r>
      <w:r>
        <w:rPr>
          <w:b/>
          <w:color w:val="000000"/>
        </w:rPr>
        <w:t>1.3 Server-Side File-Operation Logging</w:t>
      </w:r>
    </w:p>
    <w:p w14:paraId="3DD2460B">
      <w:pPr>
        <w:tabs>
          <w:tab w:val="left" w:pos="284"/>
          <w:tab w:val="left" w:pos="426"/>
          <w:tab w:val="left" w:pos="567"/>
        </w:tabs>
        <w:spacing w:after="120" w:line="360" w:lineRule="auto"/>
        <w:ind w:left="284" w:hanging="284"/>
        <w:jc w:val="both"/>
        <w:rPr>
          <w:b/>
          <w:sz w:val="22"/>
        </w:rPr>
      </w:pPr>
      <w:r>
        <w:t xml:space="preserve">            A file server already records the operations that users and applications perform on it. Three operation types are particularly informative for ransomware: file creation, file rename (a move event) and file deletion. An encryptor typically creates new cipher text files, renames originals with a distinctive extension, and deletes the plaintext. These operations are metadata only: the file contents are never read, which keeps the approach comparatively privacy-friendly and inexpensive. Table 1.1 lists the captured operations and their significance [1], [9].</w:t>
      </w:r>
    </w:p>
    <w:tbl>
      <w:tblPr>
        <w:tblStyle w:val="12"/>
        <w:tblW w:w="0" w:type="auto"/>
        <w:jc w:val="center"/>
        <w:tblLayout w:type="autofit"/>
        <w:tblCellMar>
          <w:top w:w="0" w:type="dxa"/>
          <w:left w:w="108" w:type="dxa"/>
          <w:bottom w:w="0" w:type="dxa"/>
          <w:right w:w="108" w:type="dxa"/>
        </w:tblCellMar>
      </w:tblPr>
      <w:tblGrid>
        <w:gridCol w:w="1672"/>
        <w:gridCol w:w="3455"/>
        <w:gridCol w:w="3755"/>
      </w:tblGrid>
      <w:tr w14:paraId="5C2F974E">
        <w:tblPrEx>
          <w:tblCellMar>
            <w:top w:w="0" w:type="dxa"/>
            <w:left w:w="108" w:type="dxa"/>
            <w:bottom w:w="0" w:type="dxa"/>
            <w:right w:w="108" w:type="dxa"/>
          </w:tblCellMar>
        </w:tblPrEx>
        <w:trPr>
          <w:jc w:val="center"/>
        </w:trPr>
        <w:tc>
          <w:tcPr>
            <w:tcW w:w="1714" w:type="dxa"/>
            <w:tcBorders>
              <w:top w:val="single" w:color="000000" w:sz="6" w:space="0"/>
              <w:left w:val="single" w:color="000000" w:sz="6" w:space="0"/>
              <w:bottom w:val="single" w:color="000000" w:sz="6" w:space="0"/>
              <w:right w:val="single" w:color="000000" w:sz="6" w:space="0"/>
            </w:tcBorders>
            <w:shd w:val="clear" w:color="auto" w:fill="D9E1F2"/>
          </w:tcPr>
          <w:p w14:paraId="46D5FC12">
            <w:pPr>
              <w:spacing w:line="360" w:lineRule="auto"/>
              <w:jc w:val="center"/>
            </w:pPr>
            <w:r>
              <w:rPr>
                <w:b/>
                <w:sz w:val="22"/>
              </w:rPr>
              <w:t>Operation</w:t>
            </w:r>
          </w:p>
        </w:tc>
        <w:tc>
          <w:tcPr>
            <w:tcW w:w="3640" w:type="dxa"/>
            <w:tcBorders>
              <w:top w:val="single" w:color="000000" w:sz="6" w:space="0"/>
              <w:left w:val="single" w:color="000000" w:sz="6" w:space="0"/>
              <w:bottom w:val="single" w:color="000000" w:sz="6" w:space="0"/>
              <w:right w:val="single" w:color="000000" w:sz="6" w:space="0"/>
            </w:tcBorders>
            <w:shd w:val="clear" w:color="auto" w:fill="D9E1F2"/>
          </w:tcPr>
          <w:p w14:paraId="1A3423D8">
            <w:pPr>
              <w:spacing w:line="360" w:lineRule="auto"/>
              <w:jc w:val="center"/>
            </w:pPr>
            <w:r>
              <w:rPr>
                <w:b/>
                <w:sz w:val="22"/>
              </w:rPr>
              <w:t>Description</w:t>
            </w:r>
          </w:p>
        </w:tc>
        <w:tc>
          <w:tcPr>
            <w:tcW w:w="3961" w:type="dxa"/>
            <w:tcBorders>
              <w:top w:val="single" w:color="000000" w:sz="6" w:space="0"/>
              <w:left w:val="single" w:color="000000" w:sz="6" w:space="0"/>
              <w:bottom w:val="single" w:color="000000" w:sz="6" w:space="0"/>
              <w:right w:val="single" w:color="000000" w:sz="6" w:space="0"/>
            </w:tcBorders>
            <w:shd w:val="clear" w:color="auto" w:fill="D9E1F2"/>
          </w:tcPr>
          <w:p w14:paraId="5D4FDF1F">
            <w:pPr>
              <w:spacing w:line="360" w:lineRule="auto"/>
              <w:jc w:val="center"/>
            </w:pPr>
            <w:r>
              <w:rPr>
                <w:b/>
                <w:sz w:val="22"/>
              </w:rPr>
              <w:t>Significance for detection</w:t>
            </w:r>
          </w:p>
        </w:tc>
      </w:tr>
      <w:tr w14:paraId="1484115A">
        <w:tblPrEx>
          <w:tblCellMar>
            <w:top w:w="0" w:type="dxa"/>
            <w:left w:w="108" w:type="dxa"/>
            <w:bottom w:w="0" w:type="dxa"/>
            <w:right w:w="108" w:type="dxa"/>
          </w:tblCellMar>
        </w:tblPrEx>
        <w:trPr>
          <w:jc w:val="center"/>
        </w:trPr>
        <w:tc>
          <w:tcPr>
            <w:tcW w:w="1714" w:type="dxa"/>
            <w:tcBorders>
              <w:top w:val="single" w:color="000000" w:sz="6" w:space="0"/>
              <w:left w:val="single" w:color="000000" w:sz="6" w:space="0"/>
              <w:bottom w:val="single" w:color="000000" w:sz="6" w:space="0"/>
              <w:right w:val="single" w:color="000000" w:sz="6" w:space="0"/>
            </w:tcBorders>
          </w:tcPr>
          <w:p w14:paraId="28CC6C85">
            <w:pPr>
              <w:spacing w:line="360" w:lineRule="auto"/>
              <w:jc w:val="both"/>
            </w:pPr>
            <w:r>
              <w:rPr>
                <w:sz w:val="22"/>
              </w:rPr>
              <w:t>Create</w:t>
            </w:r>
          </w:p>
        </w:tc>
        <w:tc>
          <w:tcPr>
            <w:tcW w:w="3640" w:type="dxa"/>
            <w:tcBorders>
              <w:top w:val="single" w:color="000000" w:sz="6" w:space="0"/>
              <w:left w:val="single" w:color="000000" w:sz="6" w:space="0"/>
              <w:bottom w:val="single" w:color="000000" w:sz="6" w:space="0"/>
              <w:right w:val="single" w:color="000000" w:sz="6" w:space="0"/>
            </w:tcBorders>
          </w:tcPr>
          <w:p w14:paraId="456BF458">
            <w:pPr>
              <w:spacing w:line="360" w:lineRule="auto"/>
              <w:jc w:val="both"/>
            </w:pPr>
            <w:r>
              <w:rPr>
                <w:sz w:val="22"/>
              </w:rPr>
              <w:t>A new file appears in a monitored directory</w:t>
            </w:r>
          </w:p>
        </w:tc>
        <w:tc>
          <w:tcPr>
            <w:tcW w:w="3961" w:type="dxa"/>
            <w:tcBorders>
              <w:top w:val="single" w:color="000000" w:sz="6" w:space="0"/>
              <w:left w:val="single" w:color="000000" w:sz="6" w:space="0"/>
              <w:bottom w:val="single" w:color="000000" w:sz="6" w:space="0"/>
              <w:right w:val="single" w:color="000000" w:sz="6" w:space="0"/>
            </w:tcBorders>
          </w:tcPr>
          <w:p w14:paraId="5989BF7D">
            <w:pPr>
              <w:spacing w:line="360" w:lineRule="auto"/>
              <w:jc w:val="both"/>
            </w:pPr>
            <w:r>
              <w:rPr>
                <w:sz w:val="22"/>
              </w:rPr>
              <w:t>Common in benign editing; elevated during encryption</w:t>
            </w:r>
          </w:p>
        </w:tc>
      </w:tr>
      <w:tr w14:paraId="4D6D8F90">
        <w:tblPrEx>
          <w:tblCellMar>
            <w:top w:w="0" w:type="dxa"/>
            <w:left w:w="108" w:type="dxa"/>
            <w:bottom w:w="0" w:type="dxa"/>
            <w:right w:w="108" w:type="dxa"/>
          </w:tblCellMar>
        </w:tblPrEx>
        <w:trPr>
          <w:jc w:val="center"/>
        </w:trPr>
        <w:tc>
          <w:tcPr>
            <w:tcW w:w="1714" w:type="dxa"/>
            <w:tcBorders>
              <w:top w:val="single" w:color="000000" w:sz="6" w:space="0"/>
              <w:left w:val="single" w:color="000000" w:sz="6" w:space="0"/>
              <w:bottom w:val="single" w:color="000000" w:sz="6" w:space="0"/>
              <w:right w:val="single" w:color="000000" w:sz="6" w:space="0"/>
            </w:tcBorders>
          </w:tcPr>
          <w:p w14:paraId="299A7599">
            <w:pPr>
              <w:spacing w:line="360" w:lineRule="auto"/>
              <w:jc w:val="both"/>
            </w:pPr>
            <w:r>
              <w:rPr>
                <w:sz w:val="22"/>
              </w:rPr>
              <w:t>Rename</w:t>
            </w:r>
          </w:p>
        </w:tc>
        <w:tc>
          <w:tcPr>
            <w:tcW w:w="3640" w:type="dxa"/>
            <w:tcBorders>
              <w:top w:val="single" w:color="000000" w:sz="6" w:space="0"/>
              <w:left w:val="single" w:color="000000" w:sz="6" w:space="0"/>
              <w:bottom w:val="single" w:color="000000" w:sz="6" w:space="0"/>
              <w:right w:val="single" w:color="000000" w:sz="6" w:space="0"/>
            </w:tcBorders>
          </w:tcPr>
          <w:p w14:paraId="259E487F">
            <w:pPr>
              <w:spacing w:line="360" w:lineRule="auto"/>
              <w:jc w:val="both"/>
            </w:pPr>
            <w:r>
              <w:rPr>
                <w:sz w:val="22"/>
              </w:rPr>
              <w:t>A file is moved or renamed (a move event)</w:t>
            </w:r>
          </w:p>
        </w:tc>
        <w:tc>
          <w:tcPr>
            <w:tcW w:w="3961" w:type="dxa"/>
            <w:tcBorders>
              <w:top w:val="single" w:color="000000" w:sz="6" w:space="0"/>
              <w:left w:val="single" w:color="000000" w:sz="6" w:space="0"/>
              <w:bottom w:val="single" w:color="000000" w:sz="6" w:space="0"/>
              <w:right w:val="single" w:color="000000" w:sz="6" w:space="0"/>
            </w:tcBorders>
          </w:tcPr>
          <w:p w14:paraId="445008C7">
            <w:pPr>
              <w:spacing w:line="360" w:lineRule="auto"/>
              <w:jc w:val="both"/>
            </w:pPr>
            <w:r>
              <w:rPr>
                <w:sz w:val="22"/>
              </w:rPr>
              <w:t>Strong ransomware signal, e.g. a .locked extension</w:t>
            </w:r>
          </w:p>
        </w:tc>
      </w:tr>
      <w:tr w14:paraId="1E509B06">
        <w:tblPrEx>
          <w:tblCellMar>
            <w:top w:w="0" w:type="dxa"/>
            <w:left w:w="108" w:type="dxa"/>
            <w:bottom w:w="0" w:type="dxa"/>
            <w:right w:w="108" w:type="dxa"/>
          </w:tblCellMar>
        </w:tblPrEx>
        <w:trPr>
          <w:jc w:val="center"/>
        </w:trPr>
        <w:tc>
          <w:tcPr>
            <w:tcW w:w="1714" w:type="dxa"/>
            <w:tcBorders>
              <w:top w:val="single" w:color="000000" w:sz="6" w:space="0"/>
              <w:left w:val="single" w:color="000000" w:sz="6" w:space="0"/>
              <w:bottom w:val="single" w:color="000000" w:sz="6" w:space="0"/>
              <w:right w:val="single" w:color="000000" w:sz="6" w:space="0"/>
            </w:tcBorders>
          </w:tcPr>
          <w:p w14:paraId="7F2955E9">
            <w:pPr>
              <w:spacing w:line="360" w:lineRule="auto"/>
              <w:jc w:val="both"/>
            </w:pPr>
            <w:r>
              <w:rPr>
                <w:sz w:val="22"/>
              </w:rPr>
              <w:t>Delete</w:t>
            </w:r>
          </w:p>
        </w:tc>
        <w:tc>
          <w:tcPr>
            <w:tcW w:w="3640" w:type="dxa"/>
            <w:tcBorders>
              <w:top w:val="single" w:color="000000" w:sz="6" w:space="0"/>
              <w:left w:val="single" w:color="000000" w:sz="6" w:space="0"/>
              <w:bottom w:val="single" w:color="000000" w:sz="6" w:space="0"/>
              <w:right w:val="single" w:color="000000" w:sz="6" w:space="0"/>
            </w:tcBorders>
          </w:tcPr>
          <w:p w14:paraId="6FD1BA3C">
            <w:pPr>
              <w:spacing w:line="360" w:lineRule="auto"/>
              <w:jc w:val="both"/>
            </w:pPr>
            <w:r>
              <w:rPr>
                <w:sz w:val="22"/>
              </w:rPr>
              <w:t>A file is removed from a monitored directory</w:t>
            </w:r>
          </w:p>
        </w:tc>
        <w:tc>
          <w:tcPr>
            <w:tcW w:w="3961" w:type="dxa"/>
            <w:tcBorders>
              <w:top w:val="single" w:color="000000" w:sz="6" w:space="0"/>
              <w:left w:val="single" w:color="000000" w:sz="6" w:space="0"/>
              <w:bottom w:val="single" w:color="000000" w:sz="6" w:space="0"/>
              <w:right w:val="single" w:color="000000" w:sz="6" w:space="0"/>
            </w:tcBorders>
          </w:tcPr>
          <w:p w14:paraId="5BE293E5">
            <w:pPr>
              <w:spacing w:line="360" w:lineRule="auto"/>
              <w:jc w:val="both"/>
            </w:pPr>
            <w:r>
              <w:rPr>
                <w:sz w:val="22"/>
              </w:rPr>
              <w:t>Medium signal; cleanup or destructive encryption</w:t>
            </w:r>
          </w:p>
        </w:tc>
      </w:tr>
    </w:tbl>
    <w:p w14:paraId="1557FF10">
      <w:pPr>
        <w:keepNext/>
        <w:spacing w:before="160" w:after="80" w:line="360" w:lineRule="auto"/>
        <w:jc w:val="center"/>
        <w:rPr>
          <w:b/>
        </w:rPr>
      </w:pPr>
      <w:r>
        <w:rPr>
          <w:b/>
          <w:sz w:val="22"/>
        </w:rPr>
        <w:t>Table 1.1: File-operation event types captured</w:t>
      </w:r>
    </w:p>
    <w:p w14:paraId="6BE0C008">
      <w:pPr>
        <w:pStyle w:val="3"/>
        <w:spacing w:before="200" w:after="120" w:line="360" w:lineRule="auto"/>
        <w:jc w:val="both"/>
        <w:rPr>
          <w:rFonts w:ascii="Times New Roman" w:hAnsi="Times New Roman" w:cs="Times New Roman"/>
        </w:rPr>
      </w:pPr>
      <w:r>
        <w:rPr>
          <w:rFonts w:ascii="Times New Roman" w:hAnsi="Times New Roman" w:eastAsia="Times New Roman" w:cs="Times New Roman"/>
          <w:b/>
          <w:color w:val="000000"/>
          <w:sz w:val="24"/>
        </w:rPr>
        <w:t xml:space="preserve">     1.4 Machine Learning for Ransomware Detection</w:t>
      </w:r>
    </w:p>
    <w:p w14:paraId="2833EE17">
      <w:pPr>
        <w:spacing w:after="120" w:line="360" w:lineRule="auto"/>
        <w:ind w:left="284" w:firstLine="720"/>
        <w:jc w:val="both"/>
      </w:pPr>
      <w:r>
        <w:t>Because the count of operations per unit time differs markedly between ordinary office work and encryption, machine learning can learn the boundary between the two. Events are aggregated into fixed one-second windows, a feature vector is computed for each window, and a classifier assigns the window to a benign or a ransomware-like class. The detection pipeline is shown in Fig. 1.3. The clean separation that this task offers in principle is visible in Fig. 1.2, which contrasts the per-window operation counts of benign and ransomware-like activity [10], [11], [12].</w:t>
      </w:r>
    </w:p>
    <w:p w14:paraId="6B41B382">
      <w:pPr>
        <w:keepNext/>
        <w:spacing w:before="160" w:after="80" w:line="360" w:lineRule="auto"/>
        <w:jc w:val="center"/>
      </w:pPr>
      <w:r>
        <w:drawing>
          <wp:inline distT="0" distB="0" distL="114300" distR="114300">
            <wp:extent cx="5120640" cy="2758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120640" cy="2758566"/>
                    </a:xfrm>
                    <a:prstGeom prst="rect">
                      <a:avLst/>
                    </a:prstGeom>
                  </pic:spPr>
                </pic:pic>
              </a:graphicData>
            </a:graphic>
          </wp:inline>
        </w:drawing>
      </w:r>
    </w:p>
    <w:p w14:paraId="5290632F">
      <w:pPr>
        <w:spacing w:line="360" w:lineRule="auto"/>
        <w:jc w:val="center"/>
        <w:rPr>
          <w:b/>
          <w:bCs/>
          <w:iCs/>
        </w:rPr>
      </w:pPr>
      <w:r>
        <w:rPr>
          <w:b/>
          <w:bCs/>
          <w:iCs/>
          <w:sz w:val="21"/>
        </w:rPr>
        <w:t>Figure 1.2: Per-window file-operation counts: benign versus ransomware-like</w:t>
      </w:r>
    </w:p>
    <w:p w14:paraId="0839DDB7">
      <w:pPr>
        <w:keepNext/>
        <w:spacing w:before="160" w:after="80" w:line="360" w:lineRule="auto"/>
        <w:jc w:val="center"/>
      </w:pPr>
      <w:r>
        <w:drawing>
          <wp:inline distT="0" distB="0" distL="114300" distR="114300">
            <wp:extent cx="5120640" cy="1478915"/>
            <wp:effectExtent l="0" t="0" r="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120640" cy="1478915"/>
                    </a:xfrm>
                    <a:prstGeom prst="rect">
                      <a:avLst/>
                    </a:prstGeom>
                  </pic:spPr>
                </pic:pic>
              </a:graphicData>
            </a:graphic>
          </wp:inline>
        </w:drawing>
      </w:r>
    </w:p>
    <w:p w14:paraId="2EFB6E94">
      <w:pPr>
        <w:spacing w:line="360" w:lineRule="auto"/>
        <w:jc w:val="center"/>
        <w:rPr>
          <w:b/>
          <w:bCs/>
          <w:iCs/>
        </w:rPr>
      </w:pPr>
      <w:r>
        <w:rPr>
          <w:b/>
          <w:bCs/>
          <w:iCs/>
          <w:sz w:val="21"/>
        </w:rPr>
        <w:t>Figure 1.3: Server-side machine-learning detection pipeline</w:t>
      </w:r>
    </w:p>
    <w:p w14:paraId="7ECDE6F9">
      <w:pPr>
        <w:pStyle w:val="3"/>
        <w:tabs>
          <w:tab w:val="left" w:pos="426"/>
        </w:tabs>
        <w:spacing w:before="200" w:after="120" w:line="360" w:lineRule="auto"/>
        <w:jc w:val="both"/>
        <w:rPr>
          <w:rFonts w:ascii="Times New Roman" w:hAnsi="Times New Roman" w:cs="Times New Roman"/>
        </w:rPr>
      </w:pPr>
      <w:r>
        <w:rPr>
          <w:rFonts w:ascii="Times New Roman" w:hAnsi="Times New Roman" w:eastAsia="Times New Roman" w:cs="Times New Roman"/>
          <w:b/>
          <w:color w:val="000000"/>
          <w:sz w:val="24"/>
        </w:rPr>
        <w:t xml:space="preserve">     1.5 Cost-Sensitive Learning</w:t>
      </w:r>
    </w:p>
    <w:p w14:paraId="3C22DC0A">
      <w:pPr>
        <w:spacing w:after="120" w:line="360" w:lineRule="auto"/>
        <w:ind w:left="284"/>
        <w:jc w:val="both"/>
      </w:pPr>
      <w:r>
        <w:t xml:space="preserve">       Ransomware detection is an asymmetric problem. A false negative - a missed attack - can cost an entire file store, whereas a false positive costs only the analyst time required to investigate an alarm. Standard classifiers optimise accuracy and treat both errors as equally bad, which is inappropriate here. Cost-sensitive learning instead assigns an explicit price to each error type. Following the base paper, this project charges a missed attack ten times a false alarm, C_FP = 1 and C_FN = 10, and ranks models by their total cost rather than by accuracy [13], [14].</w:t>
      </w:r>
    </w:p>
    <w:p w14:paraId="20602F98">
      <w:pPr>
        <w:pStyle w:val="3"/>
        <w:spacing w:before="200" w:after="120" w:line="360" w:lineRule="auto"/>
        <w:ind w:firstLine="240" w:firstLineChars="100"/>
        <w:jc w:val="both"/>
        <w:rPr>
          <w:rFonts w:ascii="Times New Roman" w:hAnsi="Times New Roman" w:cs="Times New Roman"/>
        </w:rPr>
      </w:pPr>
      <w:r>
        <w:rPr>
          <w:rFonts w:ascii="Times New Roman" w:hAnsi="Times New Roman" w:eastAsia="Times New Roman" w:cs="Times New Roman"/>
          <w:b/>
          <w:color w:val="000000"/>
          <w:sz w:val="24"/>
        </w:rPr>
        <w:t>1.6 The Base Paper and Its Limitations</w:t>
      </w:r>
    </w:p>
    <w:p w14:paraId="250EAA65">
      <w:pPr>
        <w:spacing w:after="120" w:line="360" w:lineRule="auto"/>
        <w:ind w:left="284" w:firstLine="436"/>
        <w:jc w:val="both"/>
      </w:pPr>
      <w:r>
        <w:t>The closest prior work is the study of Aranyi, Miseta and Szucs [1], which logs create, rename and delete operations server-side, aggregates them into one-second windows, and classifies each window with five classical classifiers. Its best model, XGBoost, reaches a sensitivity of 91.87 per cent on executed ransomware samples. Two of the limitations that study acknowledges are structural rather than incidental. The first is that three raw counts carry a provable ceiling: an attack window and a benign window with identical three counts are indistinguishable to any classifier of those counts, so that part of the signal can never be separated. The second is that transfer to an unseen family, adversarial rate limiting, concept drift and run-to-run dispersion were named as future work but never measured [1].</w:t>
      </w:r>
    </w:p>
    <w:p w14:paraId="3EABA5CE">
      <w:pPr>
        <w:pStyle w:val="3"/>
        <w:spacing w:before="200" w:after="120" w:line="360" w:lineRule="auto"/>
        <w:jc w:val="both"/>
        <w:rPr>
          <w:rFonts w:ascii="Times New Roman" w:hAnsi="Times New Roman" w:cs="Times New Roman"/>
        </w:rPr>
      </w:pPr>
      <w:r>
        <w:rPr>
          <w:rFonts w:ascii="Times New Roman" w:hAnsi="Times New Roman" w:eastAsia="Times New Roman" w:cs="Times New Roman"/>
          <w:b/>
          <w:color w:val="000000"/>
          <w:sz w:val="24"/>
        </w:rPr>
        <w:t xml:space="preserve">    1.7 Motivation</w:t>
      </w:r>
    </w:p>
    <w:p w14:paraId="5A04A3C1">
      <w:pPr>
        <w:spacing w:after="120" w:line="360" w:lineRule="auto"/>
        <w:ind w:left="284"/>
        <w:jc w:val="both"/>
      </w:pPr>
      <w:r>
        <w:t xml:space="preserve">      Endpoint protection is unreliable in environments where client machines cannot be instrumented, and privacy rules restrict the collection of rich host telemetry. Server-side file-operation logs are already present on the file server, contain metadata only, and require nothing to be installed on clients. Yet the count-only feature set of the base paper leaves a measurable part of the signal unused. This project is motivated by the observation that the ceiling of count-only detection is a window-horizon artefact rather than a fundamental feature-type artefact, and that replacing the per-second counts with trailing temporal aggregates should recover the lost signal. It is further motivated by the need to measure, rather than assume, the robustness of the detector under transfer, evasion and drift [1], [2].</w:t>
      </w:r>
    </w:p>
    <w:p w14:paraId="7F0B0DBC">
      <w:pPr>
        <w:pStyle w:val="3"/>
        <w:spacing w:before="200" w:after="120" w:line="360" w:lineRule="auto"/>
        <w:ind w:firstLine="240" w:firstLineChars="100"/>
        <w:jc w:val="both"/>
        <w:rPr>
          <w:rFonts w:ascii="Times New Roman" w:hAnsi="Times New Roman" w:cs="Times New Roman"/>
        </w:rPr>
      </w:pPr>
      <w:r>
        <w:rPr>
          <w:rFonts w:ascii="Times New Roman" w:hAnsi="Times New Roman" w:eastAsia="Times New Roman" w:cs="Times New Roman"/>
          <w:b/>
          <w:color w:val="000000"/>
          <w:sz w:val="24"/>
        </w:rPr>
        <w:t>1.8 Objectives</w:t>
      </w:r>
    </w:p>
    <w:p w14:paraId="661AD157">
      <w:pPr>
        <w:spacing w:after="120" w:line="360" w:lineRule="auto"/>
        <w:ind w:firstLine="720"/>
        <w:jc w:val="both"/>
      </w:pPr>
      <w:r>
        <w:t>The specific objectives of this project are:</w:t>
      </w:r>
    </w:p>
    <w:p w14:paraId="2DDDF41D">
      <w:pPr>
        <w:spacing w:after="80" w:line="360" w:lineRule="auto"/>
        <w:ind w:left="1440" w:hanging="240"/>
        <w:jc w:val="both"/>
      </w:pPr>
      <w:r>
        <w:t>•</w:t>
      </w:r>
      <w:r>
        <w:tab/>
      </w:r>
      <w:r>
        <w:t>To design a server-side ransomware detector that operates on file create, rename and delete operations without reading file contents or installing a client agent.</w:t>
      </w:r>
    </w:p>
    <w:p w14:paraId="36EAB987">
      <w:pPr>
        <w:spacing w:after="80" w:line="360" w:lineRule="auto"/>
        <w:ind w:left="1440" w:hanging="240"/>
        <w:jc w:val="both"/>
      </w:pPr>
      <w:r>
        <w:t>•</w:t>
      </w:r>
      <w:r>
        <w:tab/>
      </w:r>
      <w:r>
        <w:t>To demonstrate that the count-only ceiling of the base paper is a window-horizon artefact by replacing the three per-second counts with multi-scale trailing temporal features and measuring the change in a controlled ablation.</w:t>
      </w:r>
    </w:p>
    <w:p w14:paraId="65DC4456">
      <w:pPr>
        <w:spacing w:after="80" w:line="360" w:lineRule="auto"/>
        <w:ind w:left="1440" w:hanging="240"/>
        <w:jc w:val="both"/>
      </w:pPr>
      <w:r>
        <w:t>•</w:t>
      </w:r>
      <w:r>
        <w:tab/>
      </w:r>
      <w:r>
        <w:t>To evaluate five classifiers - Decision Tree, Random Forest, a probability-calibrated SVM, AdaBoost and XGBoost - under a cost-sensitive objective in which a missed attack costs ten times a false alarm.</w:t>
      </w:r>
    </w:p>
    <w:p w14:paraId="4E367E58">
      <w:pPr>
        <w:spacing w:after="80" w:line="360" w:lineRule="auto"/>
        <w:ind w:left="1440" w:hanging="240"/>
        <w:jc w:val="both"/>
      </w:pPr>
      <w:r>
        <w:t>•</w:t>
      </w:r>
      <w:r>
        <w:tab/>
      </w:r>
      <w:r>
        <w:t>To select an operating threshold by minimising the cost function on a held-out split and to attribute each detection to operator-level feature groups.</w:t>
      </w:r>
    </w:p>
    <w:p w14:paraId="1B99CD6A">
      <w:pPr>
        <w:spacing w:after="80" w:line="360" w:lineRule="auto"/>
        <w:ind w:left="1424" w:hanging="224"/>
        <w:jc w:val="both"/>
      </w:pPr>
      <w:r>
        <w:t>•</w:t>
      </w:r>
      <w:r>
        <w:tab/>
      </w:r>
      <w:r>
        <w:t>To measure generalisation to an unseen ransomware family, robustness under rate-limited and mimicry evasion, and recovery after concept drift using a Population Stability Index monitor.</w:t>
      </w:r>
    </w:p>
    <w:p w14:paraId="766A0E02">
      <w:pPr>
        <w:spacing w:after="80" w:line="360" w:lineRule="auto"/>
        <w:ind w:left="1424" w:hanging="224"/>
        <w:jc w:val="both"/>
      </w:pPr>
      <w:r>
        <w:t>•</w:t>
      </w:r>
      <w:r>
        <w:tab/>
      </w:r>
      <w:r>
        <w:t>To implement the detector as a deployable application with a real-time dashboard, a REST API, deduplicated alert sinks and a canary-file ground-truth mechanism, and to verify it with a test suite and continuous integration.</w:t>
      </w:r>
    </w:p>
    <w:p w14:paraId="5DA84CE6">
      <w:pPr>
        <w:pStyle w:val="3"/>
        <w:spacing w:before="200" w:after="120" w:line="360" w:lineRule="auto"/>
        <w:ind w:firstLine="240" w:firstLineChars="100"/>
        <w:jc w:val="both"/>
        <w:rPr>
          <w:rFonts w:ascii="Times New Roman" w:hAnsi="Times New Roman" w:cs="Times New Roman"/>
        </w:rPr>
      </w:pPr>
      <w:r>
        <w:rPr>
          <w:rFonts w:ascii="Times New Roman" w:hAnsi="Times New Roman" w:eastAsia="Times New Roman" w:cs="Times New Roman"/>
          <w:b/>
          <w:color w:val="000000"/>
          <w:sz w:val="24"/>
        </w:rPr>
        <w:t>1.9 Scope of the Project</w:t>
      </w:r>
    </w:p>
    <w:p w14:paraId="1C9AFC3B">
      <w:pPr>
        <w:spacing w:after="120" w:line="360" w:lineRule="auto"/>
        <w:ind w:left="284" w:firstLine="720"/>
        <w:jc w:val="both"/>
      </w:pPr>
      <w:r>
        <w:t>The scope of Phase I is the design, implementation and offline evaluation of the detector described above. The system observes only create, rename and delete operations; it does not read file content, compute entropy, or inspect file paths. It is evaluated on behaviour-faithful emulated data because no labelled corpus of real server-side file-operation logs was available, and every performance figure must therefore be read as pipeline behaviour on modelled behaviour rather than as a field detection rate. In-place file modification that does not involve a rename is out of the current observation set and is recorded as a limitation [7], [8].</w:t>
      </w:r>
    </w:p>
    <w:p w14:paraId="00CB33C3">
      <w:pPr>
        <w:pStyle w:val="3"/>
        <w:spacing w:before="200" w:after="120" w:line="360" w:lineRule="auto"/>
        <w:ind w:firstLine="240" w:firstLineChars="100"/>
        <w:jc w:val="both"/>
        <w:rPr>
          <w:rFonts w:ascii="Times New Roman" w:hAnsi="Times New Roman" w:cs="Times New Roman"/>
        </w:rPr>
      </w:pPr>
      <w:r>
        <w:rPr>
          <w:rFonts w:ascii="Times New Roman" w:hAnsi="Times New Roman" w:eastAsia="Times New Roman" w:cs="Times New Roman"/>
          <w:b/>
          <w:color w:val="000000"/>
          <w:sz w:val="24"/>
        </w:rPr>
        <w:t>1.10 Organisation of the Report</w:t>
      </w:r>
    </w:p>
    <w:p w14:paraId="0E8D6887">
      <w:pPr>
        <w:tabs>
          <w:tab w:val="left" w:pos="709"/>
          <w:tab w:val="left" w:pos="851"/>
        </w:tabs>
        <w:spacing w:after="120" w:line="360" w:lineRule="auto"/>
        <w:ind w:left="284" w:firstLine="720"/>
        <w:jc w:val="both"/>
      </w:pPr>
      <w:r>
        <w:t>The remainder of this report is organised as follows. Chapter 2 surveys the related literature and identifies the research gap. Chapter 3 presents the system study, contrasting the existing system with the proposed one. Chapter 4 lists the hardware and software requirements. Chapter 5 details the system design and implementation and reports the experimental results. Chapter 6 concludes and outlines future work. The appendix and references follow.</w:t>
      </w:r>
    </w:p>
    <w:p w14:paraId="61EFCEB8">
      <w:pPr>
        <w:spacing w:line="360" w:lineRule="auto"/>
      </w:pPr>
    </w:p>
    <w:p w14:paraId="2A64C0B8"/>
    <w:p w14:paraId="49E27A9F"/>
    <w:p w14:paraId="26AF411E"/>
    <w:p w14:paraId="5C139814">
      <w:pPr>
        <w:pStyle w:val="2"/>
        <w:spacing w:before="120" w:after="240" w:line="360" w:lineRule="auto"/>
        <w:jc w:val="center"/>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lang w:val="en-IN"/>
        </w:rPr>
        <w:t>CHAPTER 2</w:t>
      </w:r>
    </w:p>
    <w:p w14:paraId="76BE2C86">
      <w:pPr>
        <w:pStyle w:val="2"/>
        <w:spacing w:before="120" w:after="240" w:line="360" w:lineRule="auto"/>
        <w:rPr>
          <w:rFonts w:ascii="Times New Roman" w:hAnsi="Times New Roman" w:cs="Times New Roman"/>
        </w:rPr>
      </w:pPr>
      <w:r>
        <w:rPr>
          <w:rFonts w:ascii="Times New Roman" w:hAnsi="Times New Roman" w:eastAsia="Times New Roman" w:cs="Times New Roman"/>
          <w:b/>
          <w:color w:val="000000"/>
          <w:sz w:val="28"/>
          <w:szCs w:val="28"/>
        </w:rPr>
        <w:t>2. LITERATURE SURVEY</w:t>
      </w:r>
    </w:p>
    <w:p w14:paraId="78BF1B25">
      <w:pPr>
        <w:pStyle w:val="2"/>
        <w:spacing w:before="120" w:after="240" w:line="360" w:lineRule="auto"/>
        <w:ind w:firstLine="240" w:firstLineChars="100"/>
        <w:jc w:val="both"/>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 2.1 Literature Survey Overview</w:t>
      </w:r>
    </w:p>
    <w:p w14:paraId="56814E0E">
      <w:pPr>
        <w:spacing w:line="360" w:lineRule="auto"/>
        <w:ind w:left="284" w:firstLine="436"/>
        <w:jc w:val="both"/>
        <w:rPr>
          <w:szCs w:val="24"/>
        </w:rPr>
      </w:pPr>
      <w:r>
        <w:rPr>
          <w:szCs w:val="24"/>
        </w:rPr>
        <w:t>Ransomware detection has been an active area of research for more than a decade, and the published work divides naturally into four families that differ in the vantage point from which evidence is collected. Host-based detectors observe the file system and the processes of the machine being protected. Sandbox-based analysers characterise malware offline by executing it in an instrumented environment and recording what it does. Network-level detectors inspect traffic for the command-and-control and file-sharing patterns that crypto-ransomware exhibits. Server-side log-based detectors infer encryption from the metadata of file operations that a shared file server records while it is under attack. Each family rests on a different kind of evidence, and each family inherits the practical deployment constraints of the component it observes [2], [7], [8].</w:t>
      </w:r>
    </w:p>
    <w:p w14:paraId="399C536A">
      <w:pPr>
        <w:tabs>
          <w:tab w:val="left" w:pos="709"/>
          <w:tab w:val="left" w:pos="851"/>
        </w:tabs>
        <w:spacing w:line="360" w:lineRule="auto"/>
        <w:ind w:left="284" w:firstLine="436"/>
        <w:jc w:val="both"/>
        <w:rPr>
          <w:szCs w:val="24"/>
        </w:rPr>
      </w:pPr>
      <w:r>
        <w:rPr>
          <w:szCs w:val="24"/>
        </w:rPr>
        <w:t xml:space="preserve"> Read chronologically, the literature shows a consistent methodological progression. The first generation, represented by CryptoLock [7] and ShieldFS [8], combined traces of file-system operations with Shannon-entropy measurements of file contents and acted within seconds of observing an encryption burst. The second generation, represented by UNVEIL [9] and EldeRan [15], moved away from reading file content and towards purely behavioural signals, learning the sequence and the statistical signature of file, registry and API activity. A third strand moved the observation point off the machine altogether and inspected traffic characteristics inside a software-defined fabric [5]. The most recent work, by Aranyi, Miseta and Szucs [1], moved the observation point from the individual endpoint to the shared file server and demonstrated that a very small set of aggregate file-operation counts collected per second is sufficient for strong detection [1].</w:t>
      </w:r>
    </w:p>
    <w:p w14:paraId="3D38EBAA">
      <w:pPr>
        <w:tabs>
          <w:tab w:val="left" w:pos="851"/>
        </w:tabs>
        <w:spacing w:line="360" w:lineRule="auto"/>
        <w:ind w:left="284" w:firstLine="720"/>
        <w:jc w:val="both"/>
        <w:rPr>
          <w:szCs w:val="24"/>
        </w:rPr>
      </w:pPr>
      <w:r>
        <w:rPr>
          <w:szCs w:val="24"/>
        </w:rPr>
        <w:t xml:space="preserve"> Two limitations recur throughout this literature. The first is a deployment limitation: every detector that reads file content or installs a kernel component requires an agent on each protected machine, and such agents are frequently unavailable precisely where the exposure is greatest, namely on locked-down endpoints and on unmanaged devices that write to a shared store. The second is a representation limitation that is stated less often but is mathematically unavoidable. When a detector reduces a stream of file operations to a small vector of per-period counts, it fixes a horizon, and any attack window and any benign window that happen to produce the same counts are identical to that representation and cannot be separated by any classifier of that representation, however well the classifier is trained. Part of the available signal is therefore discarded before the classifier is ever applied, and no subsequent increase in model capacity or in training volume can recover it [9], [15].</w:t>
      </w:r>
    </w:p>
    <w:p w14:paraId="4BB5B0A6">
      <w:pPr>
        <w:spacing w:line="360" w:lineRule="auto"/>
        <w:ind w:left="284" w:firstLine="720"/>
        <w:jc w:val="both"/>
        <w:rPr>
          <w:szCs w:val="24"/>
        </w:rPr>
      </w:pPr>
      <w:r>
        <w:rPr>
          <w:szCs w:val="24"/>
        </w:rPr>
        <w:t>This chapter surveys six representative studies in the narrative style of a literature overview. For each study it states what was proposed, what the method actually does, what the evaluation demonstrated, and what the study leaves unresolved. The studies are presented in order of proximity to the present work, moving from host-based detection towards the server-side log-based detection that forms the direct antecedent of this project. The survey is followed by a comparative analysis, an explicit statement of the research gap it exposes, the ideas adopted from the literature, and the resulting problem selection [1].</w:t>
      </w:r>
    </w:p>
    <w:p w14:paraId="1446AC9F">
      <w:pPr>
        <w:spacing w:line="360" w:lineRule="auto"/>
        <w:ind w:left="284" w:firstLine="720"/>
        <w:jc w:val="both"/>
        <w:rPr>
          <w:szCs w:val="24"/>
        </w:rPr>
      </w:pPr>
      <w:r>
        <w:rPr>
          <w:szCs w:val="24"/>
        </w:rPr>
        <w:t>The earliest of these studies is CryptoLock, proposed by Scaife, Carter, Traynor and Butler [7] as a system that detects ransomware by monitoring file-system activity together with the entropy of file contents in real time, and restores the affected files before encryption completes. The central intuition of the system is that encryption is a gradual and observable process rather than an instantaneous event. A background process samples the entropy of files that a monitored application has open, and the pair of rising entropy together with a burst of file operations is treated as the signature of an encryptor. When that signature is observed, the files currently being encrypted are copied to a shadow backup before their contents are overwritten, so that the victim is not required to pay in order to recover data [7].</w:t>
      </w:r>
    </w:p>
    <w:p w14:paraId="7658FAD8">
      <w:pPr>
        <w:spacing w:line="360" w:lineRule="auto"/>
        <w:ind w:left="284" w:firstLine="720"/>
        <w:jc w:val="both"/>
        <w:rPr>
          <w:szCs w:val="24"/>
        </w:rPr>
      </w:pPr>
      <w:r>
        <w:rPr>
          <w:szCs w:val="24"/>
        </w:rPr>
        <w:t>The significance of CryptoLock lies in the claim on which all later work rests: file-system behaviour alone carries enough signal to identify an encryptor in its early phase, and the cost of making that identification can be kept very small. The work also demonstrates that the useful detection point is the beginning of the encryption run rather than its completion, since data that has already been encrypted is usually unrecoverable, whereas data that has been detected but not yet overwritten can simply be protected. Evaluation against a set of real ransomware families confirmed that the approach produces detection within a small number of file operations of the attack beginning [7].</w:t>
      </w:r>
    </w:p>
    <w:p w14:paraId="4E9C1B51">
      <w:pPr>
        <w:spacing w:line="360" w:lineRule="auto"/>
        <w:ind w:left="284" w:firstLine="720"/>
        <w:jc w:val="both"/>
        <w:rPr>
          <w:szCs w:val="24"/>
        </w:rPr>
      </w:pPr>
      <w:r>
        <w:rPr>
          <w:szCs w:val="24"/>
        </w:rPr>
        <w:t xml:space="preserve"> Nevertheless, the mechanism depends on inspecting the contents of files that are open on the protected host, and this imposes two costs. Read access to file content is precisely what privacy regulation and internal data-classification policy are designed to restrict, so in many enterprise environments a security tool that continuously reads user data is difficult to justify and more difficult still to deploy. In addition, the mechanism is per-host: CryptoLock protects the machine on which it runs, so an organisation must install and maintain software on every endpoint that holds valuable files, and the tool provides no visibility into a file server on behalf of a client that has no agent installed. Both costs disappear when the observation point is moved to a component that already sees every operation performed against a shared store. For the present project, CryptoLock contributes two durable insights. The first is that the timing of detection matters more than the sophistication of the classifier, which supports aggregating events at fine granularity and evaluating continuously rather than analysing a batch. The second is that a behavioural signal paired with a content signal carries partially independent information; this work deliberately retains only the behavioural half of that pair in order to preserve the metadata-only, privacy-preserving character of server-side logging, and must therefore recover any lost accuracy by improving the temporal representation instead of by adding content features [7].</w:t>
      </w:r>
    </w:p>
    <w:p w14:paraId="55D0CD2A">
      <w:pPr>
        <w:tabs>
          <w:tab w:val="left" w:pos="709"/>
          <w:tab w:val="left" w:pos="851"/>
        </w:tabs>
        <w:spacing w:line="360" w:lineRule="auto"/>
        <w:ind w:left="284" w:firstLine="720"/>
        <w:jc w:val="both"/>
        <w:rPr>
          <w:szCs w:val="24"/>
        </w:rPr>
      </w:pPr>
      <w:r>
        <w:rPr>
          <w:szCs w:val="24"/>
        </w:rPr>
        <w:t>ShieldFS, presented by Continella, Guagnelli, Zingaro, De Pasquale, Barenghi, Zanero and Maggi [8], is a self-healing file system implemented as a Windows minifilter driver. ShieldFS intercepts every file operation that reaches the lower layers of the file-system stack, extracts a small set of low-level features from the intercepted request, and passes them to a rule engine that decides whether the operation is consistent with ransomware behaviour. When the rule engine declares an encryption run, the file-system state is rolled back to a consistent earlier point using journal entries, so that the damage is undone rather than merely reported [8].</w:t>
      </w:r>
    </w:p>
    <w:p w14:paraId="465B9CD3">
      <w:pPr>
        <w:spacing w:line="360" w:lineRule="auto"/>
        <w:ind w:left="284" w:firstLine="720"/>
        <w:jc w:val="both"/>
        <w:rPr>
          <w:szCs w:val="24"/>
        </w:rPr>
      </w:pPr>
      <w:r>
        <w:rPr>
          <w:szCs w:val="24"/>
        </w:rPr>
        <w:t>ShieldFS strengthens the CryptoLock result in two ways. Because the observation point is the file-system driver itself, the intercepted features describe the actual semantics of each request rather than the sampling behaviour of a monitoring process, which reduces the chance that an encryptor operating between two samples escapes observation. Because the recovery mechanism is built into the file system rather than added to it, the response is automatic and does not depend on an administrator noticing an alert. The paper reports experiments against several ransomware families in which the encryption attempt was detected early enough for the affected files to be restored without loss [8].</w:t>
      </w:r>
    </w:p>
    <w:p w14:paraId="439C18F4">
      <w:pPr>
        <w:spacing w:line="360" w:lineRule="auto"/>
        <w:ind w:left="284" w:firstLine="720"/>
        <w:jc w:val="both"/>
        <w:rPr>
          <w:szCs w:val="24"/>
        </w:rPr>
      </w:pPr>
      <w:r>
        <w:rPr>
          <w:szCs w:val="24"/>
        </w:rPr>
        <w:t>The cost of this design, however, is a dependency on privileged and platform-specific software. A minifilter driver must be compiled, signed and installed on every host, and it is bound to a particular operating system and file-system implementation, so maintenance and portability become genuine engineering obligations rather than administrative ones. The system also inherits the content-inspection constraint of its predecessor, since the entropy of file content is one of the features on which the rule engine depends. ShieldFS is consequently well suited to a managed desktop estate and poorly suited to an environment in which one shared file server serves many clients that cannot be instrumented, which is precisely the environment this project addresses. Its transferable contribution is architectural rather than algorithmic: it demonstrates that the earliest reliable point at which encryption can be observed is the file-system operation itself, before the data is committed, and that a detector which sees every operation can still act while recovery remains possible. This project keeps that principle and changes the vantage point, reading the operations not by intercepting them at the endpoint but from the stream of metadata events that the file server already publishes, which requires no privileged component on any client [8].</w:t>
      </w:r>
    </w:p>
    <w:p w14:paraId="56761B5C">
      <w:pPr>
        <w:spacing w:line="360" w:lineRule="auto"/>
        <w:ind w:left="426" w:firstLine="720"/>
        <w:jc w:val="both"/>
        <w:rPr>
          <w:szCs w:val="24"/>
        </w:rPr>
      </w:pPr>
      <w:r>
        <w:rPr>
          <w:szCs w:val="24"/>
        </w:rPr>
        <w:t>A different line of work characterises samples rather than protecting running systems. UNVEIL, presented by Kharaz, Arshad, Mulliner, Robertson and Kirda [9], executes each sample in a sandbox and records the sequence of file-system operations that the sample performs, together with a screen-lock signal indicating when the sample locks the desktop. The recorded sequences are used to train a classifier, which is then evaluated over a large corpus of real samples to measure how reliably it separates ransomware from benign software [9].</w:t>
      </w:r>
    </w:p>
    <w:p w14:paraId="0C0486A5">
      <w:pPr>
        <w:spacing w:line="360" w:lineRule="auto"/>
        <w:ind w:left="426" w:firstLine="720"/>
        <w:jc w:val="both"/>
        <w:rPr>
          <w:szCs w:val="24"/>
        </w:rPr>
      </w:pPr>
      <w:r>
        <w:rPr>
          <w:szCs w:val="24"/>
        </w:rPr>
        <w:t>UNVEIL makes an important methodological point about the difference between reporting a high detection rate and demonstrating one. Because the system is automated and is applied to a large corpus, the reported figures derive from the whole corpus rather than from a handful of favourable samples, and the paper is candid about the categories of behaviour that remain difficult, in particular samples that perform little file activity before encrypting. The work also confirms that the order and the shape of the operation sequence, and not merely the total number of operations, carries discriminating information: a benign office application that saves many files and an encryptor that rewrites many files produce similar totals but very different sequences [9].</w:t>
      </w:r>
    </w:p>
    <w:p w14:paraId="24AE22D6">
      <w:pPr>
        <w:spacing w:line="360" w:lineRule="auto"/>
        <w:ind w:left="426" w:firstLine="720"/>
        <w:jc w:val="both"/>
        <w:rPr>
          <w:szCs w:val="24"/>
        </w:rPr>
      </w:pPr>
      <w:r>
        <w:rPr>
          <w:szCs w:val="24"/>
        </w:rPr>
        <w:t>The principal limitation of UNVEIL for the present purpose, however, is that it is an offline analysis technique rather than a live monitor. It characterises a sample by executing it under instrumentation, so it can be applied before or during the deployment of a candidate program but cannot be applied to an encryption run already in progress on a production server, and its features are collected inside a sandbox whose depth of instrumentation a production file server will not tolerate. In other words, UNVEIL answers the question of what ransomware looks like, but not the question of what to do about an attack that is happening now. Its contribution to this project is the observation that sequence and temporal shape matter more than volume, which is the direct theoretical justification for the multi-scale trailing temporal features adopted in Chapter 5: if a short-window count cannot distinguish a benign burst from a malicious one, the discriminating information must lie in how the counts evolve across successive windows, and that is exactly what trailing aggregates at several horizons encode [9].</w:t>
      </w:r>
    </w:p>
    <w:p w14:paraId="477B3CBD">
      <w:pPr>
        <w:spacing w:line="360" w:lineRule="auto"/>
        <w:ind w:left="426" w:firstLine="720"/>
        <w:jc w:val="both"/>
        <w:rPr>
          <w:szCs w:val="24"/>
        </w:rPr>
      </w:pPr>
      <w:r>
        <w:rPr>
          <w:szCs w:val="24"/>
        </w:rPr>
        <w:t>EldeRan, investigated by Sgandurra, Munoz-Gonzalez, Mohsen and Lupu [15], examines the benefits, the limitations and the detection uses of automated dynamic analysis of ransomware. EldeRan executes samples in a sandbox and extracts roughly twenty behavioural features drawn from three sources: file input and output activity, registry activity and API-call activity. These features are used to train and compare classifiers, and the paper analyses explicitly what each source of evidence contributes to the detection result [15].</w:t>
      </w:r>
    </w:p>
    <w:p w14:paraId="5DD6060F">
      <w:pPr>
        <w:tabs>
          <w:tab w:val="left" w:pos="1134"/>
        </w:tabs>
        <w:spacing w:line="360" w:lineRule="auto"/>
        <w:ind w:left="426" w:firstLine="720"/>
        <w:jc w:val="both"/>
        <w:rPr>
          <w:szCs w:val="24"/>
        </w:rPr>
      </w:pPr>
      <w:r>
        <w:rPr>
          <w:szCs w:val="24"/>
        </w:rPr>
        <w:t>The value of EldeRan lies in its systematic treatment of the feature space. By decomposing behaviour into file, registry and API activity and measuring the contribution of each group, the work shows that file input and output alone is sufficient for a strong result in most cases, while registry and API evidence add robustness mainly in the ambiguous cases. This is an important result for server-side deployment, because it implies that a detector restricted to file operations is not making an arbitrary sacrifice; it is giving up evidence that is largely redundant for the dominant case [15]. EldeRan also demonstrates that behaviour-derived features generalise across families better than static features such as strings or byte n-grams, which change with every repack and are easily obfuscated [15], [16].</w:t>
      </w:r>
    </w:p>
    <w:p w14:paraId="76B360C3">
      <w:pPr>
        <w:tabs>
          <w:tab w:val="left" w:pos="142"/>
        </w:tabs>
        <w:spacing w:line="360" w:lineRule="auto"/>
        <w:ind w:left="426" w:firstLine="294"/>
        <w:jc w:val="both"/>
        <w:rPr>
          <w:szCs w:val="24"/>
        </w:rPr>
      </w:pPr>
      <w:r>
        <w:rPr>
          <w:szCs w:val="24"/>
        </w:rPr>
        <w:t>The limitation of EldeRan with respect to this project is again one of vantage point. The features are extracted from inside an instrumented sandbox during controlled execution, which requires telemetry too deep to be collected from a live file server without intrusive software, and the analysis is offline rather than operational. Registry and API-call evidence in particular is unavailable to a server-side observer by construction, since the server sees file operations and nothing of the client processes that caused them. The present work therefore takes from EldeRan the principle that behavioural features generalise, and resolves the telemetry problem by moving to an evidence source that requires no client instrumentation at all. The server-side log contains create, rename and delete operations produced by every client, instrumented or not, and because the file server records them in the course of its ordinary service they are available without installing or trusting any additional software [15].</w:t>
      </w:r>
    </w:p>
    <w:p w14:paraId="5A940795">
      <w:pPr>
        <w:tabs>
          <w:tab w:val="left" w:pos="142"/>
          <w:tab w:val="left" w:pos="1134"/>
        </w:tabs>
        <w:spacing w:line="360" w:lineRule="auto"/>
        <w:ind w:left="426" w:firstLine="294"/>
        <w:jc w:val="both"/>
        <w:rPr>
          <w:szCs w:val="24"/>
        </w:rPr>
      </w:pPr>
      <w:r>
        <w:rPr>
          <w:szCs w:val="24"/>
        </w:rPr>
        <w:t xml:space="preserve">      Cabaj, Gregorczyk and Mazurczyk [5] proposed a network-level method for detecting crypto-ransomware from the characteristics of HTTP traffic. Inside a software-defined network the method analyses flow statistics derived from HTTP request and response headers, exploiting the observation that ransomware families differ from benign applications in the number of distinct destinations contacted, in the size and regularity of the objects requested, and in the proportion of requests that retrieve rather than post content. These features are inexpensive to collect and do not require inspection of the payload [5].</w:t>
      </w:r>
    </w:p>
    <w:p w14:paraId="7BF3CAF3">
      <w:pPr>
        <w:tabs>
          <w:tab w:val="left" w:pos="142"/>
          <w:tab w:val="left" w:pos="851"/>
          <w:tab w:val="left" w:pos="1134"/>
          <w:tab w:val="left" w:pos="1276"/>
        </w:tabs>
        <w:spacing w:line="360" w:lineRule="auto"/>
        <w:ind w:left="426" w:firstLine="294"/>
        <w:jc w:val="both"/>
        <w:rPr>
          <w:szCs w:val="24"/>
        </w:rPr>
      </w:pPr>
      <w:r>
        <w:rPr>
          <w:szCs w:val="24"/>
        </w:rPr>
        <w:t xml:space="preserve">       The approach complements rather than replaces the endpoint methods, and it has real operational advantages, because the collection point is a network device and the detector therefore sees traffic from every host on the segment without installing anything on those hosts, and can be deployed as a service function on existing switching infrastructure. The paper reports high detection rates against the families used in the evaluation and demonstrates a cost low enough for line-rate deployment [5].</w:t>
      </w:r>
    </w:p>
    <w:p w14:paraId="52BDB4BA">
      <w:pPr>
        <w:tabs>
          <w:tab w:val="left" w:pos="142"/>
        </w:tabs>
        <w:spacing w:line="360" w:lineRule="auto"/>
        <w:ind w:left="426" w:firstLine="294"/>
        <w:jc w:val="both"/>
        <w:rPr>
          <w:szCs w:val="24"/>
        </w:rPr>
      </w:pPr>
      <w:r>
        <w:rPr>
          <w:szCs w:val="24"/>
        </w:rPr>
        <w:t xml:space="preserve">        A network vantage point is nevertheless blind to the case that matters most for this project. Ransomware that encrypts files already present on a host, or on a mounted file share, generates little or no traffic beyond the initial delivery of the payload, so a network detector may observe nothing at all during the encryption run itself. The method also requires visibility into the network fabric and becomes unreliable behind encryption or tunnelling, and its features are weakest exactly where the attacker has most control, namely in the low-and-slow profile that deliberately mimics legitimate traffic. For a shared file server the file operations themselves are a strictly better evidence source, because they are produced locally by the attack itself and cannot be suppressed without the encryptor ceasing to encrypt. The present work therefore treats network-level detection as complementary context and confines its own observation to the server-side file-operation stream. The lesson adopted from this strand is methodological: features should be chosen so that the attacker cannot cheaply suppress them, and file-operation metadata, which the encryptor must produce in order to function, satisfies that requirement more completely than traffic features do [5].</w:t>
      </w:r>
    </w:p>
    <w:p w14:paraId="52CB2580">
      <w:pPr>
        <w:tabs>
          <w:tab w:val="left" w:pos="142"/>
        </w:tabs>
        <w:spacing w:line="360" w:lineRule="auto"/>
        <w:ind w:left="426" w:firstLine="294"/>
        <w:jc w:val="both"/>
        <w:rPr>
          <w:szCs w:val="24"/>
        </w:rPr>
      </w:pPr>
      <w:r>
        <w:rPr>
          <w:szCs w:val="24"/>
        </w:rPr>
        <w:t xml:space="preserve">        The closest antecedent to the present work is the study of Aranyi, Miseta and Szucs [1]. Those authors constructed a virtualised small- and medium-enterprise file server environment, drove it with four automated user profiles that reproduce the working patterns of typical office roles under on-site and remote conditions, and executed five real ransomware samples against it at randomly chosen times. File create, rename and delete operations were collected by Fluent Bit and stored in InfluxDB, aggregated into fixed one-second windows, and classified by five classical machine-learning models after their hyperparameters were tuned by grid search. The best model, XGBoost, reached a sensitivity of 91.87 per cent on the executed samples, detecting 192 of 209 attack seconds, at sub-millisecond inference cost, and this was achieved without any client-side access [1].</w:t>
      </w:r>
    </w:p>
    <w:p w14:paraId="566A88D9">
      <w:pPr>
        <w:tabs>
          <w:tab w:val="left" w:pos="142"/>
          <w:tab w:val="left" w:pos="1134"/>
        </w:tabs>
        <w:spacing w:line="360" w:lineRule="auto"/>
        <w:ind w:left="426" w:firstLine="294"/>
        <w:jc w:val="both"/>
        <w:rPr>
          <w:szCs w:val="24"/>
        </w:rPr>
      </w:pPr>
      <w:r>
        <w:rPr>
          <w:szCs w:val="24"/>
        </w:rPr>
        <w:t xml:space="preserve">         The most important contribution of that study is architectural. It demonstrates that the file server is a sufficient observation point for ransomware detection: the three metadata event types that a server already logs are enough to separate encryption from ordinary office activity with high accuracy, no file content is read, no endpoint agent is required, and the inference cost is small enough to support continuous evaluation. It also establishes the comparative basis for the classical classifiers, showing that gradient-boosted trees, random forests and support vector machines all perform adequately on this feature space, so that the choice among them matters less than one might expect [1].</w:t>
      </w:r>
    </w:p>
    <w:p w14:paraId="5010D582">
      <w:pPr>
        <w:tabs>
          <w:tab w:val="left" w:pos="142"/>
        </w:tabs>
        <w:spacing w:line="360" w:lineRule="auto"/>
        <w:ind w:left="426" w:firstLine="294"/>
        <w:jc w:val="both"/>
        <w:rPr>
          <w:szCs w:val="24"/>
        </w:rPr>
      </w:pPr>
      <w:r>
        <w:rPr>
          <w:szCs w:val="24"/>
        </w:rPr>
        <w:t xml:space="preserve">          The limitations identified in that study are, however, structural rather than incidental, and this project treats them as its point of departure. The first is the ceiling implied by a three-count representation. If an attack window and a benign window are assigned the same three integers they are the same point in feature space, and no classifier of those features can separate them; the paper's own tables contain attack windows whose counts fall inside the benign envelope, so part of the signal is unreachable however the classifier is tuned. The second is that the design leaves several important questions unmeasured. The paper claims in its abstract that the detector is family-independent but never evaluates transfer to a family absent from training; it names adversarial rate limiting, or low-and-slow encryption, as the principal limitation without measuring the rate at which detection fails; it applies a fixed decision threshold of 0.5 despite the ten-to-one asymmetry between the cost of a missed attack and the cost of a false alarm; and it reports a single run, so the ranking of the five models is a point estimate with no dispersion attached to it [1].</w:t>
      </w:r>
    </w:p>
    <w:p w14:paraId="30DBAC8D">
      <w:pPr>
        <w:tabs>
          <w:tab w:val="left" w:pos="142"/>
          <w:tab w:val="left" w:pos="1418"/>
        </w:tabs>
        <w:spacing w:line="360" w:lineRule="auto"/>
        <w:ind w:left="426" w:firstLine="294"/>
        <w:jc w:val="both"/>
        <w:rPr>
          <w:szCs w:val="24"/>
        </w:rPr>
      </w:pPr>
      <w:r>
        <w:rPr>
          <w:szCs w:val="24"/>
        </w:rPr>
        <w:t xml:space="preserve">            Above all, the base paper fixes a single one-second aggregation horizon, and that choice determines the entire behaviour of the detector. It makes burst encryption obvious and it makes slow encryption invisible, because an encryptor that renames and deletes a few files per second produces counts that fall inside the ordinary range of office activity. The present work argues that this is an artefact of the horizon rather than an inherent property of the evidence, and that the remedy is to give the classifier access to the recent history of the operation stream rather than to a single instant of it [1].</w:t>
      </w:r>
    </w:p>
    <w:p w14:paraId="76776C45">
      <w:pPr>
        <w:tabs>
          <w:tab w:val="left" w:pos="142"/>
          <w:tab w:val="left" w:pos="1134"/>
        </w:tabs>
        <w:spacing w:line="360" w:lineRule="auto"/>
        <w:ind w:left="426" w:firstLine="294"/>
        <w:jc w:val="both"/>
        <w:rPr>
          <w:szCs w:val="24"/>
        </w:rPr>
      </w:pPr>
      <w:r>
        <w:rPr>
          <w:szCs w:val="24"/>
        </w:rPr>
        <w:t xml:space="preserve">        Placed side by side, the six studies differ along four axes that determine what each can observe and what each can prove: the telemetry it reads, the way it represents that telemetry, whether it operates live on a running system, and whether it was evaluated against real samples. CryptoLock and ShieldFS read file-system activity together with entropy from the protected host, represent it as input-output and entropy features, operate live and were evaluated on real samples, but both require a privileged component on every endpoint. UNVEIL and EldeRan read operation sequences and roughly twenty behavioural features from an instrumented sandbox, were also evaluated on real samples, but neither operates live and both require telemetry that a production file server will not tolerate. Cabaj et al. read HTTP flow statistics from the network, operate live without host instrumentation and were evaluated on real samples, but cannot observe purely local file operations. The base paper reads server-side logs, operates live and was evaluated on real samples, but represents its telemetry as three counts per one-second window. This project keeps the server-side telemetry of the base paper, represents it as multi-scale trailing temporal features computed over 3, 5, 10 and 30-second horizons, operates live, and is evaluated on behaviour-faithful emulated data rather than on executed malware, a limitation stated in Chapter 1 and bounded wherever the results are reported [7], [8], [15].</w:t>
      </w:r>
    </w:p>
    <w:p w14:paraId="5E81851B">
      <w:pPr>
        <w:tabs>
          <w:tab w:val="left" w:pos="142"/>
          <w:tab w:val="left" w:pos="1276"/>
        </w:tabs>
        <w:spacing w:line="360" w:lineRule="auto"/>
        <w:ind w:left="426" w:firstLine="294"/>
        <w:jc w:val="both"/>
        <w:rPr>
          <w:szCs w:val="24"/>
        </w:rPr>
      </w:pPr>
      <w:r>
        <w:rPr>
          <w:szCs w:val="24"/>
        </w:rPr>
        <w:t xml:space="preserve">        Read together, the six studies expose four gaps that none of them closes. The first is the count-only ceiling of the base paper: because its feature vector is three integers per one-second window, and because two windows with identical counts are indistinguishable to any classifier of that vector, the maximum achievable separability is bounded by the proportion of attack windows lying inside the benign envelope. This is a property of the representation rather than of the classifier, so it cannot be closed by tuning, by choosing a better model or by adding training data; it can only be closed by changing the representation [1], [2].</w:t>
      </w:r>
    </w:p>
    <w:p w14:paraId="29DC4855">
      <w:pPr>
        <w:tabs>
          <w:tab w:val="left" w:pos="142"/>
          <w:tab w:val="left" w:pos="851"/>
          <w:tab w:val="left" w:pos="1276"/>
        </w:tabs>
        <w:spacing w:line="360" w:lineRule="auto"/>
        <w:ind w:left="426" w:firstLine="294"/>
        <w:jc w:val="both"/>
        <w:rPr>
          <w:szCs w:val="24"/>
        </w:rPr>
      </w:pPr>
      <w:r>
        <w:rPr>
          <w:szCs w:val="24"/>
        </w:rPr>
        <w:t xml:space="preserve">       The second gap concerns generalisation. Family-independent detection is asserted rather than measured, and none of the surveyed studies evaluates transfer to a wholly unseen family using an episode-aware split, without which a reported sensitivity cannot be distinguished from one that has been fitted to the particular families on which it was measured. The third gap concerns adversarial behaviour. Rate-limited encryption, in which an attacker deliberately reduces the operation rate to stay below any burst threshold, is named in the literature as the principal practical weakness of count-based detection [17], yet no surveyed work measures the rate at which detection collapses. The fourth gap is methodological and affects every study in the survey: results are reported from a single run with a single random seed, so the reported ranking of models is a point estimate whose confidence interval is never stated, and a difference of a few percentage points between two classifiers on one split is not evidence that either of them is better. Related to this, no surveyed work reports any form of attribution, so an operator who receives an alert is not told which observable property of the window caused it, and no surveyed work monitors concept drift, so a deployed detector can decay silently as the workload of the file server changes [18].</w:t>
      </w:r>
    </w:p>
    <w:p w14:paraId="02CFB176">
      <w:pPr>
        <w:tabs>
          <w:tab w:val="left" w:pos="284"/>
        </w:tabs>
        <w:spacing w:line="360" w:lineRule="auto"/>
        <w:ind w:left="426" w:firstLine="720"/>
        <w:jc w:val="both"/>
        <w:rPr>
          <w:szCs w:val="24"/>
        </w:rPr>
      </w:pPr>
      <w:r>
        <w:rPr>
          <w:szCs w:val="24"/>
        </w:rPr>
        <w:t>Five ideas were adopted from the survey and shaped the design of this project. The first, taken from Scaife et al. [7] and Continella et al. [8], is that file-operation behaviour is a strong and intrinsically privacy-preserving ransomware signal, so the project adopts server-side create, rename and delete events as its only input and reads no file content. The second, taken from Kharaz et al. [9] and Sgandurra et al. [15], is that the shape of the operation stream over time is more informative than its volume at any single instant, which motivates replacing the per-second counts with multi-scale trailing temporal aggregates. The third, following Aranyi et al. [1], is that a fixed set of classical classifiers provides broad coverage of inductive biases at negligible cost, so all five are evaluated rather than one being assumed superior [1].</w:t>
      </w:r>
    </w:p>
    <w:p w14:paraId="74D7A167">
      <w:pPr>
        <w:tabs>
          <w:tab w:val="left" w:pos="426"/>
        </w:tabs>
        <w:spacing w:line="360" w:lineRule="auto"/>
        <w:ind w:left="426" w:firstLine="294"/>
        <w:jc w:val="both"/>
        <w:rPr>
          <w:szCs w:val="24"/>
        </w:rPr>
      </w:pPr>
      <w:r>
        <w:rPr>
          <w:szCs w:val="24"/>
        </w:rPr>
        <w:t>The fourth idea is that the two error types of a ransomware detector are not equally important. A missed attack can cost an entire file store while a false alarm costs only the analyst time required to dismiss it, so the evaluation is made cost-sensitive with a missed attack charged ten times a false alarm, and the operating threshold is chosen to minimise that cost rather than fixed at 0.5. The fifth idea is that a detector which is deployed must be monitored and explained: it must report which observable property triggered an alarm, and it must detect the point at which its own assumptions no longer hold [13].</w:t>
      </w:r>
    </w:p>
    <w:p w14:paraId="0F57ECB3">
      <w:pPr>
        <w:tabs>
          <w:tab w:val="left" w:pos="142"/>
          <w:tab w:val="left" w:pos="1134"/>
        </w:tabs>
        <w:spacing w:line="360" w:lineRule="auto"/>
        <w:ind w:left="426" w:firstLine="294"/>
        <w:jc w:val="both"/>
        <w:rPr>
          <w:szCs w:val="24"/>
        </w:rPr>
      </w:pPr>
      <w:r>
        <w:rPr>
          <w:szCs w:val="24"/>
        </w:rPr>
        <w:t xml:space="preserve">       Combining the base paper with the gaps identified above leads to a single well-posed problem. The project keeps server-side file-operation logging as its telemetry, because that is the only surveyed evidence source requiring neither client instrumentation nor access to file content. It replaces the three per-second counts with multi-scale trailing temporal features so that the count-only ceiling is removed at its cause rather than worked around at the model. It retains the five-classifier comparison, makes that comparison cost-sensitive, and selects the operating threshold by minimising the cost function on a held-out split instead of fixing it at 0.5. Finally, it performs the experiments that the base paper names but does not execute: leave-one-family-out transfer, an evasion study that measures the collapse of detection under rate-limited encryption, a multi-seed study that attaches a confidence interval to the model ranking, and a drift study that measures recovery rather than merely detecting decay. The resulting system is called the Adaptive Server-Side Ransomware Detection framework and is described in the following chapters [1], [19].</w:t>
      </w:r>
    </w:p>
    <w:p w14:paraId="5462931C">
      <w:pPr>
        <w:pStyle w:val="16"/>
        <w:tabs>
          <w:tab w:val="left" w:pos="142"/>
          <w:tab w:val="left" w:pos="284"/>
        </w:tabs>
        <w:spacing w:before="200" w:beforeAutospacing="0" w:after="160" w:afterAutospacing="0" w:line="360" w:lineRule="auto"/>
        <w:jc w:val="both"/>
      </w:pPr>
      <w:r>
        <w:rPr>
          <w:b/>
          <w:bCs/>
          <w:color w:val="000000"/>
        </w:rPr>
        <w:t xml:space="preserve">     2.</w:t>
      </w:r>
      <w:r>
        <w:rPr>
          <w:rFonts w:hint="default"/>
          <w:b/>
          <w:bCs/>
          <w:color w:val="000000"/>
          <w:lang w:val="en-US"/>
        </w:rPr>
        <w:t>2</w:t>
      </w:r>
      <w:r>
        <w:rPr>
          <w:b/>
          <w:bCs/>
          <w:color w:val="000000"/>
        </w:rPr>
        <w:t xml:space="preserve"> LITERATURE SURVEY TABLE</w:t>
      </w:r>
    </w:p>
    <w:tbl>
      <w:tblPr>
        <w:tblStyle w:val="18"/>
        <w:tblW w:w="87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9"/>
        <w:gridCol w:w="1279"/>
        <w:gridCol w:w="1307"/>
        <w:gridCol w:w="1145"/>
        <w:gridCol w:w="2082"/>
        <w:gridCol w:w="2336"/>
      </w:tblGrid>
      <w:tr w14:paraId="4B935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1" w:hRule="atLeast"/>
        </w:trPr>
        <w:tc>
          <w:tcPr>
            <w:tcW w:w="559" w:type="dxa"/>
          </w:tcPr>
          <w:p w14:paraId="60086714">
            <w:pPr>
              <w:widowControl w:val="0"/>
              <w:spacing w:line="360" w:lineRule="auto"/>
              <w:jc w:val="center"/>
              <w:rPr>
                <w:b/>
                <w:bCs/>
                <w:sz w:val="20"/>
                <w:lang w:eastAsia="en-IN"/>
              </w:rPr>
            </w:pPr>
            <w:r>
              <w:rPr>
                <w:b/>
                <w:bCs/>
                <w:sz w:val="20"/>
                <w:lang w:eastAsia="en-IN"/>
              </w:rPr>
              <w:t>S.</w:t>
            </w:r>
          </w:p>
          <w:p w14:paraId="64B283F1">
            <w:pPr>
              <w:widowControl w:val="0"/>
              <w:spacing w:line="360" w:lineRule="auto"/>
              <w:jc w:val="center"/>
              <w:rPr>
                <w:b/>
                <w:bCs/>
                <w:sz w:val="20"/>
                <w:szCs w:val="24"/>
                <w:lang w:eastAsia="en-IN"/>
              </w:rPr>
            </w:pPr>
            <w:r>
              <w:rPr>
                <w:b/>
                <w:bCs/>
                <w:sz w:val="20"/>
                <w:lang w:eastAsia="en-IN"/>
              </w:rPr>
              <w:t>No</w:t>
            </w:r>
          </w:p>
        </w:tc>
        <w:tc>
          <w:tcPr>
            <w:tcW w:w="1279" w:type="dxa"/>
          </w:tcPr>
          <w:p w14:paraId="2F7CAE89">
            <w:pPr>
              <w:widowControl w:val="0"/>
              <w:spacing w:line="360" w:lineRule="auto"/>
              <w:jc w:val="center"/>
              <w:rPr>
                <w:b/>
                <w:bCs/>
                <w:sz w:val="20"/>
                <w:szCs w:val="24"/>
                <w:lang w:eastAsia="en-IN"/>
              </w:rPr>
            </w:pPr>
            <w:r>
              <w:rPr>
                <w:b/>
                <w:bCs/>
                <w:sz w:val="20"/>
                <w:lang w:eastAsia="en-IN"/>
              </w:rPr>
              <w:t>Title</w:t>
            </w:r>
          </w:p>
        </w:tc>
        <w:tc>
          <w:tcPr>
            <w:tcW w:w="1307" w:type="dxa"/>
          </w:tcPr>
          <w:p w14:paraId="5D408C85">
            <w:pPr>
              <w:widowControl w:val="0"/>
              <w:spacing w:line="360" w:lineRule="auto"/>
              <w:jc w:val="center"/>
              <w:rPr>
                <w:b/>
                <w:bCs/>
                <w:sz w:val="20"/>
                <w:szCs w:val="24"/>
                <w:lang w:eastAsia="en-IN"/>
              </w:rPr>
            </w:pPr>
            <w:r>
              <w:rPr>
                <w:b/>
                <w:bCs/>
                <w:sz w:val="20"/>
                <w:lang w:eastAsia="en-IN"/>
              </w:rPr>
              <w:t>Author(s)</w:t>
            </w:r>
          </w:p>
        </w:tc>
        <w:tc>
          <w:tcPr>
            <w:tcW w:w="1145" w:type="dxa"/>
          </w:tcPr>
          <w:p w14:paraId="105BA07D">
            <w:pPr>
              <w:widowControl w:val="0"/>
              <w:spacing w:line="360" w:lineRule="auto"/>
              <w:jc w:val="center"/>
              <w:rPr>
                <w:b/>
                <w:bCs/>
                <w:sz w:val="20"/>
                <w:szCs w:val="24"/>
                <w:lang w:eastAsia="en-IN"/>
              </w:rPr>
            </w:pPr>
            <w:r>
              <w:rPr>
                <w:b/>
                <w:bCs/>
                <w:sz w:val="20"/>
                <w:lang w:eastAsia="en-IN"/>
              </w:rPr>
              <w:t>Year</w:t>
            </w:r>
          </w:p>
        </w:tc>
        <w:tc>
          <w:tcPr>
            <w:tcW w:w="2082" w:type="dxa"/>
          </w:tcPr>
          <w:p w14:paraId="26288A8B">
            <w:pPr>
              <w:widowControl w:val="0"/>
              <w:spacing w:line="360" w:lineRule="auto"/>
              <w:jc w:val="center"/>
              <w:rPr>
                <w:b/>
                <w:bCs/>
                <w:sz w:val="20"/>
                <w:szCs w:val="24"/>
                <w:lang w:eastAsia="en-IN"/>
              </w:rPr>
            </w:pPr>
            <w:r>
              <w:rPr>
                <w:b/>
                <w:bCs/>
                <w:sz w:val="20"/>
                <w:lang w:eastAsia="en-IN"/>
              </w:rPr>
              <w:t>Algorithm Used</w:t>
            </w:r>
          </w:p>
        </w:tc>
        <w:tc>
          <w:tcPr>
            <w:tcW w:w="2336" w:type="dxa"/>
          </w:tcPr>
          <w:p w14:paraId="7C57B3A2">
            <w:pPr>
              <w:widowControl w:val="0"/>
              <w:spacing w:line="360" w:lineRule="auto"/>
              <w:jc w:val="center"/>
              <w:rPr>
                <w:b/>
                <w:bCs/>
                <w:sz w:val="20"/>
                <w:szCs w:val="24"/>
                <w:lang w:eastAsia="en-IN"/>
              </w:rPr>
            </w:pPr>
            <w:r>
              <w:rPr>
                <w:b/>
                <w:bCs/>
                <w:sz w:val="20"/>
                <w:lang w:eastAsia="en-IN"/>
              </w:rPr>
              <w:t>Key Findings</w:t>
            </w:r>
          </w:p>
        </w:tc>
      </w:tr>
      <w:tr w14:paraId="264DF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Pr>
          <w:p w14:paraId="6E683258">
            <w:pPr>
              <w:widowControl w:val="0"/>
              <w:spacing w:line="360" w:lineRule="auto"/>
              <w:jc w:val="center"/>
              <w:rPr>
                <w:sz w:val="20"/>
                <w:szCs w:val="24"/>
                <w:lang w:eastAsia="en-IN"/>
              </w:rPr>
            </w:pPr>
            <w:r>
              <w:rPr>
                <w:sz w:val="20"/>
                <w:lang w:eastAsia="en-IN"/>
              </w:rPr>
              <w:t>1</w:t>
            </w:r>
          </w:p>
        </w:tc>
        <w:tc>
          <w:tcPr>
            <w:tcW w:w="1279" w:type="dxa"/>
          </w:tcPr>
          <w:p w14:paraId="2E605F7E">
            <w:pPr>
              <w:widowControl w:val="0"/>
              <w:spacing w:line="360" w:lineRule="auto"/>
              <w:jc w:val="both"/>
              <w:rPr>
                <w:sz w:val="20"/>
                <w:szCs w:val="24"/>
                <w:lang w:eastAsia="en-IN"/>
              </w:rPr>
            </w:pPr>
            <w:r>
              <w:rPr>
                <w:sz w:val="20"/>
                <w:lang w:eastAsia="en-IN"/>
              </w:rPr>
              <w:t>CryptoLock (and Drop It): Stopping Ransomware Attacks on User Data</w:t>
            </w:r>
          </w:p>
        </w:tc>
        <w:tc>
          <w:tcPr>
            <w:tcW w:w="1307" w:type="dxa"/>
          </w:tcPr>
          <w:p w14:paraId="423C32A0">
            <w:pPr>
              <w:widowControl w:val="0"/>
              <w:spacing w:line="360" w:lineRule="auto"/>
              <w:jc w:val="both"/>
              <w:rPr>
                <w:sz w:val="20"/>
                <w:szCs w:val="24"/>
                <w:lang w:eastAsia="en-IN"/>
              </w:rPr>
            </w:pPr>
            <w:r>
              <w:rPr>
                <w:sz w:val="20"/>
                <w:lang w:eastAsia="en-IN"/>
              </w:rPr>
              <w:t>N. Scaife, H. Carter, P. Traynor, R. W. Butler</w:t>
            </w:r>
          </w:p>
        </w:tc>
        <w:tc>
          <w:tcPr>
            <w:tcW w:w="1145" w:type="dxa"/>
          </w:tcPr>
          <w:p w14:paraId="1A6EF367">
            <w:pPr>
              <w:widowControl w:val="0"/>
              <w:spacing w:line="360" w:lineRule="auto"/>
              <w:jc w:val="left"/>
              <w:rPr>
                <w:sz w:val="20"/>
                <w:szCs w:val="24"/>
                <w:lang w:eastAsia="en-IN"/>
              </w:rPr>
            </w:pPr>
            <w:r>
              <w:rPr>
                <w:sz w:val="20"/>
                <w:lang w:eastAsia="en-IN"/>
              </w:rPr>
              <w:t>2016</w:t>
            </w:r>
          </w:p>
        </w:tc>
        <w:tc>
          <w:tcPr>
            <w:tcW w:w="2082" w:type="dxa"/>
          </w:tcPr>
          <w:p w14:paraId="2D7C70A4">
            <w:pPr>
              <w:widowControl w:val="0"/>
              <w:spacing w:line="360" w:lineRule="auto"/>
              <w:jc w:val="both"/>
              <w:rPr>
                <w:sz w:val="20"/>
                <w:szCs w:val="24"/>
                <w:lang w:eastAsia="en-IN"/>
              </w:rPr>
            </w:pPr>
            <w:r>
              <w:rPr>
                <w:sz w:val="20"/>
                <w:lang w:eastAsia="en-IN"/>
              </w:rPr>
              <w:t>File-system activity monitoring combined with Shannon entropy of file contents; rising entropy plus a burst of file operations triggers a copy to shadow backup before overwrite</w:t>
            </w:r>
          </w:p>
        </w:tc>
        <w:tc>
          <w:tcPr>
            <w:tcW w:w="2336" w:type="dxa"/>
          </w:tcPr>
          <w:p w14:paraId="19F9FC3A">
            <w:pPr>
              <w:widowControl w:val="0"/>
              <w:spacing w:line="360" w:lineRule="auto"/>
              <w:jc w:val="both"/>
              <w:rPr>
                <w:sz w:val="20"/>
                <w:szCs w:val="24"/>
                <w:lang w:eastAsia="en-IN"/>
              </w:rPr>
            </w:pPr>
            <w:r>
              <w:rPr>
                <w:sz w:val="20"/>
                <w:lang w:eastAsia="en-IN"/>
              </w:rPr>
              <w:t>Encryption is gradual and therefore observable early. Detection occurred within a small number of file operations of attack start and files were restored without payment. Establishes that file-system behaviour alone identifies an encryptor in its early phase.</w:t>
            </w:r>
          </w:p>
        </w:tc>
      </w:tr>
      <w:tr w14:paraId="53A0A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Pr>
          <w:p w14:paraId="18E96753">
            <w:pPr>
              <w:widowControl w:val="0"/>
              <w:spacing w:line="360" w:lineRule="auto"/>
              <w:jc w:val="center"/>
              <w:rPr>
                <w:sz w:val="20"/>
                <w:szCs w:val="24"/>
                <w:lang w:eastAsia="en-IN"/>
              </w:rPr>
            </w:pPr>
            <w:r>
              <w:rPr>
                <w:sz w:val="20"/>
                <w:lang w:eastAsia="en-IN"/>
              </w:rPr>
              <w:t>2</w:t>
            </w:r>
          </w:p>
        </w:tc>
        <w:tc>
          <w:tcPr>
            <w:tcW w:w="1279" w:type="dxa"/>
          </w:tcPr>
          <w:p w14:paraId="4D2D9CDD">
            <w:pPr>
              <w:widowControl w:val="0"/>
              <w:spacing w:line="360" w:lineRule="auto"/>
              <w:jc w:val="both"/>
              <w:rPr>
                <w:sz w:val="20"/>
                <w:szCs w:val="24"/>
                <w:lang w:eastAsia="en-IN"/>
              </w:rPr>
            </w:pPr>
            <w:r>
              <w:rPr>
                <w:sz w:val="20"/>
                <w:lang w:eastAsia="en-IN"/>
              </w:rPr>
              <w:t>ShieldFS: A Self-Healing, Ransomware-Aware Filesystem</w:t>
            </w:r>
          </w:p>
        </w:tc>
        <w:tc>
          <w:tcPr>
            <w:tcW w:w="1307" w:type="dxa"/>
          </w:tcPr>
          <w:p w14:paraId="69E7AF96">
            <w:pPr>
              <w:widowControl w:val="0"/>
              <w:spacing w:line="360" w:lineRule="auto"/>
              <w:jc w:val="both"/>
              <w:rPr>
                <w:sz w:val="20"/>
                <w:szCs w:val="24"/>
                <w:lang w:eastAsia="en-IN"/>
              </w:rPr>
            </w:pPr>
            <w:r>
              <w:rPr>
                <w:sz w:val="20"/>
                <w:lang w:eastAsia="en-IN"/>
              </w:rPr>
              <w:t>A. Continella, A. Guagnelli, G. Zingaro, G. De Pasquale, A. Barenghi, S. Zanero, F. Maggi</w:t>
            </w:r>
          </w:p>
        </w:tc>
        <w:tc>
          <w:tcPr>
            <w:tcW w:w="1145" w:type="dxa"/>
          </w:tcPr>
          <w:p w14:paraId="7847FD82">
            <w:pPr>
              <w:widowControl w:val="0"/>
              <w:spacing w:line="360" w:lineRule="auto"/>
              <w:jc w:val="left"/>
              <w:rPr>
                <w:sz w:val="20"/>
                <w:szCs w:val="24"/>
                <w:lang w:eastAsia="en-IN"/>
              </w:rPr>
            </w:pPr>
            <w:r>
              <w:rPr>
                <w:sz w:val="20"/>
                <w:lang w:eastAsia="en-IN"/>
              </w:rPr>
              <w:t>2016</w:t>
            </w:r>
          </w:p>
        </w:tc>
        <w:tc>
          <w:tcPr>
            <w:tcW w:w="2082" w:type="dxa"/>
          </w:tcPr>
          <w:p w14:paraId="7CD55344">
            <w:pPr>
              <w:widowControl w:val="0"/>
              <w:spacing w:line="360" w:lineRule="auto"/>
              <w:jc w:val="both"/>
              <w:rPr>
                <w:sz w:val="20"/>
                <w:szCs w:val="24"/>
                <w:lang w:eastAsia="en-IN"/>
              </w:rPr>
            </w:pPr>
            <w:r>
              <w:rPr>
                <w:sz w:val="20"/>
                <w:lang w:eastAsia="en-IN"/>
              </w:rPr>
              <w:t>Windows minifilter driver intercepting every file-system request; rule engine over low-level I/O and entropy features; journal-based rollback of file-system state</w:t>
            </w:r>
          </w:p>
        </w:tc>
        <w:tc>
          <w:tcPr>
            <w:tcW w:w="2336" w:type="dxa"/>
          </w:tcPr>
          <w:p w14:paraId="1EE85F67">
            <w:pPr>
              <w:widowControl w:val="0"/>
              <w:spacing w:line="360" w:lineRule="auto"/>
              <w:jc w:val="both"/>
              <w:rPr>
                <w:sz w:val="20"/>
                <w:szCs w:val="24"/>
                <w:lang w:eastAsia="en-IN"/>
              </w:rPr>
            </w:pPr>
            <w:r>
              <w:rPr>
                <w:sz w:val="20"/>
                <w:lang w:eastAsia="en-IN"/>
              </w:rPr>
              <w:t>Driver-level observation captures true request semantics rather than sampled behaviour, and recovery is automatic, so files were restored without loss. Cost is a signed kernel driver on every host plus continued content inspection.</w:t>
            </w:r>
          </w:p>
        </w:tc>
      </w:tr>
      <w:tr w14:paraId="1DC83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Pr>
          <w:p w14:paraId="54C416F7">
            <w:pPr>
              <w:widowControl w:val="0"/>
              <w:spacing w:line="360" w:lineRule="auto"/>
              <w:jc w:val="center"/>
              <w:rPr>
                <w:sz w:val="20"/>
                <w:szCs w:val="24"/>
                <w:lang w:eastAsia="en-IN"/>
              </w:rPr>
            </w:pPr>
            <w:r>
              <w:rPr>
                <w:sz w:val="20"/>
                <w:lang w:eastAsia="en-IN"/>
              </w:rPr>
              <w:t>3</w:t>
            </w:r>
          </w:p>
        </w:tc>
        <w:tc>
          <w:tcPr>
            <w:tcW w:w="1279" w:type="dxa"/>
          </w:tcPr>
          <w:p w14:paraId="01B1F14E">
            <w:pPr>
              <w:widowControl w:val="0"/>
              <w:spacing w:line="360" w:lineRule="auto"/>
              <w:jc w:val="both"/>
              <w:rPr>
                <w:sz w:val="20"/>
                <w:szCs w:val="24"/>
                <w:lang w:eastAsia="en-IN"/>
              </w:rPr>
            </w:pPr>
            <w:r>
              <w:rPr>
                <w:sz w:val="20"/>
                <w:lang w:eastAsia="en-IN"/>
              </w:rPr>
              <w:t>UNVEIL: A Large-Scale, Automated Approach to Detecting Ransomware</w:t>
            </w:r>
          </w:p>
        </w:tc>
        <w:tc>
          <w:tcPr>
            <w:tcW w:w="1307" w:type="dxa"/>
          </w:tcPr>
          <w:p w14:paraId="2282DC35">
            <w:pPr>
              <w:widowControl w:val="0"/>
              <w:spacing w:line="360" w:lineRule="auto"/>
              <w:jc w:val="both"/>
              <w:rPr>
                <w:sz w:val="20"/>
                <w:szCs w:val="24"/>
                <w:lang w:eastAsia="en-IN"/>
              </w:rPr>
            </w:pPr>
            <w:r>
              <w:rPr>
                <w:sz w:val="20"/>
                <w:lang w:eastAsia="en-IN"/>
              </w:rPr>
              <w:t>A. Kharaz, S. Arshad, C. Mulliner, W. Robertson, E. Kirda</w:t>
            </w:r>
          </w:p>
        </w:tc>
        <w:tc>
          <w:tcPr>
            <w:tcW w:w="1145" w:type="dxa"/>
          </w:tcPr>
          <w:p w14:paraId="1146B0CE">
            <w:pPr>
              <w:widowControl w:val="0"/>
              <w:spacing w:line="360" w:lineRule="auto"/>
              <w:jc w:val="left"/>
              <w:rPr>
                <w:sz w:val="20"/>
                <w:szCs w:val="24"/>
                <w:lang w:eastAsia="en-IN"/>
              </w:rPr>
            </w:pPr>
            <w:r>
              <w:rPr>
                <w:sz w:val="20"/>
                <w:lang w:eastAsia="en-IN"/>
              </w:rPr>
              <w:t>2016</w:t>
            </w:r>
          </w:p>
        </w:tc>
        <w:tc>
          <w:tcPr>
            <w:tcW w:w="2082" w:type="dxa"/>
          </w:tcPr>
          <w:p w14:paraId="5FF98741">
            <w:pPr>
              <w:widowControl w:val="0"/>
              <w:spacing w:line="360" w:lineRule="auto"/>
              <w:jc w:val="both"/>
              <w:rPr>
                <w:sz w:val="20"/>
                <w:szCs w:val="24"/>
                <w:lang w:eastAsia="en-IN"/>
              </w:rPr>
            </w:pPr>
            <w:r>
              <w:rPr>
                <w:sz w:val="20"/>
                <w:lang w:eastAsia="en-IN"/>
              </w:rPr>
              <w:t>Sandbox execution with sequence learning over recorded file-system operation traces, supplemented by a screen-lock signal; evaluated over a large real-sample corpus</w:t>
            </w:r>
          </w:p>
        </w:tc>
        <w:tc>
          <w:tcPr>
            <w:tcW w:w="2336" w:type="dxa"/>
          </w:tcPr>
          <w:p w14:paraId="02C6C034">
            <w:pPr>
              <w:widowControl w:val="0"/>
              <w:spacing w:line="360" w:lineRule="auto"/>
              <w:jc w:val="both"/>
              <w:rPr>
                <w:sz w:val="20"/>
                <w:szCs w:val="24"/>
                <w:lang w:eastAsia="en-IN"/>
              </w:rPr>
            </w:pPr>
            <w:r>
              <w:rPr>
                <w:sz w:val="20"/>
                <w:lang w:eastAsia="en-IN"/>
              </w:rPr>
              <w:t>The order and shape of the sequence discriminates where the total does not — a benign save-heavy app and an encryptor produce similar totals but different sequences. Being offline, it characterises what ransomware looks like rather than acting on a live attack.</w:t>
            </w:r>
          </w:p>
        </w:tc>
      </w:tr>
      <w:tr w14:paraId="6A81E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Pr>
          <w:p w14:paraId="2577F48D">
            <w:pPr>
              <w:widowControl w:val="0"/>
              <w:spacing w:line="360" w:lineRule="auto"/>
              <w:jc w:val="center"/>
              <w:rPr>
                <w:sz w:val="20"/>
                <w:szCs w:val="24"/>
                <w:lang w:eastAsia="en-IN"/>
              </w:rPr>
            </w:pPr>
            <w:r>
              <w:rPr>
                <w:sz w:val="20"/>
                <w:lang w:eastAsia="en-IN"/>
              </w:rPr>
              <w:t>4</w:t>
            </w:r>
          </w:p>
        </w:tc>
        <w:tc>
          <w:tcPr>
            <w:tcW w:w="1279" w:type="dxa"/>
          </w:tcPr>
          <w:p w14:paraId="05ED7F5F">
            <w:pPr>
              <w:widowControl w:val="0"/>
              <w:spacing w:line="360" w:lineRule="auto"/>
              <w:jc w:val="both"/>
              <w:rPr>
                <w:sz w:val="20"/>
                <w:szCs w:val="24"/>
                <w:lang w:eastAsia="en-IN"/>
              </w:rPr>
            </w:pPr>
            <w:r>
              <w:rPr>
                <w:sz w:val="20"/>
                <w:lang w:eastAsia="en-IN"/>
              </w:rPr>
              <w:t>Automated Dynamic Analysis of Ransomware: Benefits, Limitations and Use for Detection (EldeRan)</w:t>
            </w:r>
          </w:p>
        </w:tc>
        <w:tc>
          <w:tcPr>
            <w:tcW w:w="1307" w:type="dxa"/>
          </w:tcPr>
          <w:p w14:paraId="033C1131">
            <w:pPr>
              <w:widowControl w:val="0"/>
              <w:spacing w:line="360" w:lineRule="auto"/>
              <w:jc w:val="both"/>
              <w:rPr>
                <w:sz w:val="20"/>
                <w:szCs w:val="24"/>
                <w:lang w:eastAsia="en-IN"/>
              </w:rPr>
            </w:pPr>
            <w:r>
              <w:rPr>
                <w:sz w:val="20"/>
                <w:lang w:eastAsia="en-IN"/>
              </w:rPr>
              <w:t>D. Sgandurra, L. Munoz-Gonzalez, R. Mohsen, E. C. Lupu</w:t>
            </w:r>
          </w:p>
        </w:tc>
        <w:tc>
          <w:tcPr>
            <w:tcW w:w="1145" w:type="dxa"/>
          </w:tcPr>
          <w:p w14:paraId="326C48B0">
            <w:pPr>
              <w:widowControl w:val="0"/>
              <w:spacing w:line="360" w:lineRule="auto"/>
              <w:jc w:val="left"/>
              <w:rPr>
                <w:sz w:val="20"/>
                <w:szCs w:val="24"/>
                <w:lang w:eastAsia="en-IN"/>
              </w:rPr>
            </w:pPr>
            <w:r>
              <w:rPr>
                <w:sz w:val="20"/>
                <w:lang w:eastAsia="en-IN"/>
              </w:rPr>
              <w:t>2016</w:t>
            </w:r>
          </w:p>
        </w:tc>
        <w:tc>
          <w:tcPr>
            <w:tcW w:w="2082" w:type="dxa"/>
          </w:tcPr>
          <w:p w14:paraId="7F2D5124">
            <w:pPr>
              <w:widowControl w:val="0"/>
              <w:spacing w:line="360" w:lineRule="auto"/>
              <w:jc w:val="both"/>
              <w:rPr>
                <w:sz w:val="20"/>
                <w:szCs w:val="24"/>
                <w:lang w:eastAsia="en-IN"/>
              </w:rPr>
            </w:pPr>
            <w:r>
              <w:rPr>
                <w:sz w:val="20"/>
                <w:lang w:eastAsia="en-IN"/>
              </w:rPr>
              <w:t>~20 behavioural features from three sources (file I/O, registry, API calls), comparative classifier training with explicit per-source contribution analysis</w:t>
            </w:r>
          </w:p>
        </w:tc>
        <w:tc>
          <w:tcPr>
            <w:tcW w:w="2336" w:type="dxa"/>
          </w:tcPr>
          <w:p w14:paraId="088ED4AF">
            <w:pPr>
              <w:widowControl w:val="0"/>
              <w:spacing w:line="360" w:lineRule="auto"/>
              <w:jc w:val="both"/>
              <w:rPr>
                <w:sz w:val="20"/>
                <w:szCs w:val="24"/>
                <w:lang w:eastAsia="en-IN"/>
              </w:rPr>
            </w:pPr>
            <w:r>
              <w:rPr>
                <w:sz w:val="20"/>
                <w:lang w:eastAsia="en-IN"/>
              </w:rPr>
              <w:t>File I/O alone gives a strong result; registry and API evidence adds robustness mainly in ambiguous cases, so a file-operation-only detector sacrifices little. Behavioural features generalise across families better than static strings or byte n-grams.</w:t>
            </w:r>
          </w:p>
        </w:tc>
      </w:tr>
      <w:tr w14:paraId="7B03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9" w:type="dxa"/>
          </w:tcPr>
          <w:p w14:paraId="13BEEBC8">
            <w:pPr>
              <w:widowControl w:val="0"/>
              <w:spacing w:line="360" w:lineRule="auto"/>
              <w:jc w:val="center"/>
              <w:rPr>
                <w:sz w:val="20"/>
                <w:szCs w:val="24"/>
                <w:lang w:eastAsia="en-IN"/>
              </w:rPr>
            </w:pPr>
            <w:r>
              <w:rPr>
                <w:sz w:val="20"/>
                <w:lang w:eastAsia="en-IN"/>
              </w:rPr>
              <w:t>5</w:t>
            </w:r>
          </w:p>
        </w:tc>
        <w:tc>
          <w:tcPr>
            <w:tcW w:w="1279" w:type="dxa"/>
          </w:tcPr>
          <w:p w14:paraId="1E680763">
            <w:pPr>
              <w:widowControl w:val="0"/>
              <w:spacing w:line="360" w:lineRule="auto"/>
              <w:jc w:val="both"/>
              <w:rPr>
                <w:sz w:val="20"/>
                <w:szCs w:val="24"/>
                <w:lang w:eastAsia="en-IN"/>
              </w:rPr>
            </w:pPr>
            <w:r>
              <w:rPr>
                <w:sz w:val="20"/>
                <w:lang w:eastAsia="en-IN"/>
              </w:rPr>
              <w:t>Software-Defined Networking-Based Crypto Ransomware Detection Using HTTP Traffic Characteristics</w:t>
            </w:r>
          </w:p>
        </w:tc>
        <w:tc>
          <w:tcPr>
            <w:tcW w:w="1307" w:type="dxa"/>
          </w:tcPr>
          <w:p w14:paraId="17F02F7E">
            <w:pPr>
              <w:widowControl w:val="0"/>
              <w:spacing w:line="360" w:lineRule="auto"/>
              <w:jc w:val="both"/>
              <w:rPr>
                <w:sz w:val="20"/>
                <w:szCs w:val="24"/>
                <w:lang w:eastAsia="en-IN"/>
              </w:rPr>
            </w:pPr>
            <w:r>
              <w:rPr>
                <w:sz w:val="20"/>
                <w:lang w:eastAsia="en-IN"/>
              </w:rPr>
              <w:t>K. Cabaj, M. Gregorczyk, W. Mazurczyk</w:t>
            </w:r>
          </w:p>
        </w:tc>
        <w:tc>
          <w:tcPr>
            <w:tcW w:w="1145" w:type="dxa"/>
          </w:tcPr>
          <w:p w14:paraId="745AB608">
            <w:pPr>
              <w:widowControl w:val="0"/>
              <w:spacing w:line="360" w:lineRule="auto"/>
              <w:jc w:val="left"/>
              <w:rPr>
                <w:sz w:val="20"/>
                <w:szCs w:val="24"/>
                <w:lang w:eastAsia="en-IN"/>
              </w:rPr>
            </w:pPr>
            <w:r>
              <w:rPr>
                <w:sz w:val="20"/>
                <w:lang w:eastAsia="en-IN"/>
              </w:rPr>
              <w:t>2018</w:t>
            </w:r>
          </w:p>
        </w:tc>
        <w:tc>
          <w:tcPr>
            <w:tcW w:w="2082" w:type="dxa"/>
          </w:tcPr>
          <w:p w14:paraId="57065920">
            <w:pPr>
              <w:widowControl w:val="0"/>
              <w:spacing w:line="360" w:lineRule="auto"/>
              <w:jc w:val="both"/>
              <w:rPr>
                <w:sz w:val="20"/>
                <w:szCs w:val="24"/>
                <w:lang w:eastAsia="en-IN"/>
              </w:rPr>
            </w:pPr>
            <w:r>
              <w:rPr>
                <w:sz w:val="20"/>
                <w:lang w:eastAsia="en-IN"/>
              </w:rPr>
              <w:t>Flow statistics from HTTP request/response headers inside an SDN — distinct destinations contacted, object size and regularity, proportion of retrieving vs posting requests</w:t>
            </w:r>
          </w:p>
        </w:tc>
        <w:tc>
          <w:tcPr>
            <w:tcW w:w="2336" w:type="dxa"/>
          </w:tcPr>
          <w:p w14:paraId="29960328">
            <w:pPr>
              <w:widowControl w:val="0"/>
              <w:spacing w:line="360" w:lineRule="auto"/>
              <w:jc w:val="both"/>
              <w:rPr>
                <w:sz w:val="20"/>
                <w:szCs w:val="24"/>
                <w:lang w:eastAsia="en-IN"/>
              </w:rPr>
            </w:pPr>
            <w:r>
              <w:rPr>
                <w:sz w:val="20"/>
                <w:lang w:eastAsia="en-IN"/>
              </w:rPr>
              <w:t>High detection at cost low enough for line-rate deployment, and no agent needed on hosts. However it is blind to purely local file operations and weakest under low-and-slow traffic that mimics legitimate use.</w:t>
            </w:r>
          </w:p>
        </w:tc>
      </w:tr>
    </w:tbl>
    <w:p w14:paraId="60310A9F">
      <w:pPr>
        <w:pStyle w:val="16"/>
        <w:spacing w:beforeAutospacing="0" w:afterAutospacing="0" w:line="360" w:lineRule="auto"/>
        <w:jc w:val="center"/>
        <w:rPr>
          <w:b/>
          <w:bCs/>
        </w:rPr>
      </w:pPr>
      <w:r>
        <w:rPr>
          <w:b/>
          <w:bCs/>
        </w:rPr>
        <w:t xml:space="preserve">Table 2.1: </w:t>
      </w:r>
      <w:r>
        <w:rPr>
          <w:b/>
          <w:bCs/>
          <w:color w:val="000000"/>
        </w:rPr>
        <w:t>Literature survey summary table</w:t>
      </w:r>
    </w:p>
    <w:p w14:paraId="4C7EF0D9">
      <w:pPr>
        <w:spacing w:after="120" w:line="414" w:lineRule="auto"/>
        <w:jc w:val="center"/>
        <w:rPr>
          <w:b/>
          <w:sz w:val="28"/>
        </w:rPr>
      </w:pPr>
    </w:p>
    <w:p w14:paraId="7BAA0A37">
      <w:pPr>
        <w:spacing w:after="120" w:line="414" w:lineRule="auto"/>
        <w:jc w:val="center"/>
        <w:rPr>
          <w:b/>
          <w:sz w:val="28"/>
        </w:rPr>
      </w:pPr>
    </w:p>
    <w:p w14:paraId="5A5427A9">
      <w:pPr>
        <w:spacing w:after="120" w:line="414" w:lineRule="auto"/>
        <w:jc w:val="center"/>
        <w:rPr>
          <w:b/>
          <w:sz w:val="28"/>
        </w:rPr>
      </w:pPr>
    </w:p>
    <w:p w14:paraId="7449EE35">
      <w:pPr>
        <w:spacing w:after="120" w:line="414" w:lineRule="auto"/>
        <w:jc w:val="center"/>
      </w:pPr>
      <w:r>
        <w:rPr>
          <w:b/>
          <w:sz w:val="28"/>
        </w:rPr>
        <w:t>CHAPTER 3</w:t>
      </w:r>
    </w:p>
    <w:p w14:paraId="534451A7">
      <w:pPr>
        <w:spacing w:after="280" w:line="414" w:lineRule="auto"/>
      </w:pPr>
      <w:r>
        <w:rPr>
          <w:b/>
          <w:sz w:val="28"/>
        </w:rPr>
        <w:t>3. SYSTEM STUDY</w:t>
      </w:r>
    </w:p>
    <w:p w14:paraId="7EFD4ACE">
      <w:pPr>
        <w:keepNext/>
        <w:spacing w:before="240" w:after="160" w:line="414" w:lineRule="auto"/>
        <w:ind w:firstLine="240" w:firstLineChars="100"/>
      </w:pPr>
      <w:r>
        <w:rPr>
          <w:b/>
        </w:rPr>
        <w:t xml:space="preserve"> 3.1 EXISTING SYSTEM</w:t>
      </w:r>
    </w:p>
    <w:p w14:paraId="562BCA8E">
      <w:pPr>
        <w:tabs>
          <w:tab w:val="left" w:pos="142"/>
          <w:tab w:val="left" w:pos="426"/>
          <w:tab w:val="left" w:pos="709"/>
        </w:tabs>
        <w:spacing w:after="0" w:line="414" w:lineRule="auto"/>
        <w:ind w:left="284" w:firstLine="436"/>
        <w:jc w:val="both"/>
      </w:pPr>
      <w:r>
        <w:t>The existing system for reference is the server-side count-based pipeline of Aranyi et al. [1]. A virtualised enterprise environment emits file operations; a logging layer built on Fluent Bit and InfluxDB timestamps them; the events are aggregated into one-second intervals; each interval is reduced to three counts, namely the number of file creations, renames and deletions; five machine-learning models are trained on those counts; and each new window is classified in near real time [1].</w:t>
      </w:r>
    </w:p>
    <w:p w14:paraId="69067E07">
      <w:pPr>
        <w:spacing w:after="0" w:line="414" w:lineRule="auto"/>
        <w:ind w:left="240" w:leftChars="100" w:firstLine="600" w:firstLineChars="250"/>
        <w:jc w:val="both"/>
      </w:pPr>
      <w:r>
        <w:t>A working implementation of this baseline already exists inside the project. It captures operating-system file events through a filesystem observer, aggregates them in a one-second loop, scores each window with the selected classifier, stores every prediction in a SQLite database, and exposes the result through a REST interface and a browser dashboard. That implementation is genuine and is described further in Chapter 5 [1], [19].</w:t>
      </w:r>
    </w:p>
    <w:p w14:paraId="391DC795">
      <w:pPr>
        <w:keepNext/>
        <w:tabs>
          <w:tab w:val="left" w:pos="284"/>
        </w:tabs>
        <w:spacing w:before="240" w:after="160" w:line="414" w:lineRule="auto"/>
      </w:pPr>
      <w:r>
        <w:rPr>
          <w:b/>
        </w:rPr>
        <w:t xml:space="preserve">     3.2 ISSUES IDENTIFIED IN THE EXISTING SYSTEM</w:t>
      </w:r>
    </w:p>
    <w:p w14:paraId="467E6E54">
      <w:pPr>
        <w:spacing w:after="0" w:line="414" w:lineRule="auto"/>
        <w:ind w:left="1120" w:hanging="360"/>
        <w:jc w:val="both"/>
      </w:pPr>
      <w:r>
        <w:t>•</w:t>
      </w:r>
      <w:r>
        <w:tab/>
      </w:r>
      <w:r>
        <w:t>A single fixed one-second window. One window is too short to represent persistence and too long to remain cheap at very high event rates. The system therefore cannot distinguish a burst of work from a sustained attack on principle, not merely on average [1].</w:t>
      </w:r>
    </w:p>
    <w:p w14:paraId="7B5B6620">
      <w:pPr>
        <w:spacing w:after="0" w:line="414" w:lineRule="auto"/>
        <w:ind w:left="1120" w:hanging="360"/>
        <w:jc w:val="both"/>
      </w:pPr>
      <w:r>
        <w:t>•</w:t>
      </w:r>
      <w:r>
        <w:tab/>
      </w:r>
      <w:r>
        <w:t>Three raw counts per window. Counts discard ordering, regularity and duration, which are exactly the properties that distinguish sustained encryption from productive work [1], [17].</w:t>
      </w:r>
    </w:p>
    <w:p w14:paraId="7C69E31D">
      <w:pPr>
        <w:spacing w:after="0" w:line="414" w:lineRule="auto"/>
        <w:ind w:left="1120" w:hanging="360"/>
        <w:jc w:val="both"/>
      </w:pPr>
      <w:r>
        <w:t>•</w:t>
      </w:r>
      <w:r>
        <w:tab/>
      </w:r>
      <w:r>
        <w:t>A static decision threshold of 0.5. This implicitly weights a missed attack and a false alarm equally, which contradicts the operational reality that a missed attack causes irreversible loss [13], [14].</w:t>
      </w:r>
    </w:p>
    <w:p w14:paraId="053ADBBB">
      <w:pPr>
        <w:spacing w:after="0" w:line="414" w:lineRule="auto"/>
        <w:ind w:left="1120" w:hanging="360"/>
        <w:jc w:val="both"/>
      </w:pPr>
      <w:r>
        <w:t>•</w:t>
      </w:r>
      <w:r>
        <w:tab/>
      </w:r>
      <w:r>
        <w:t>Training in a single environment. A model tuned on one workload has no guarantee of transferring to a different server, a different shift pattern or an unseen ransomware family [1].</w:t>
      </w:r>
    </w:p>
    <w:p w14:paraId="3E0C42B7">
      <w:pPr>
        <w:spacing w:after="0" w:line="414" w:lineRule="auto"/>
        <w:ind w:left="1120" w:hanging="360"/>
        <w:jc w:val="both"/>
      </w:pPr>
      <w:r>
        <w:t>•</w:t>
      </w:r>
      <w:r>
        <w:tab/>
      </w:r>
      <w:r>
        <w:t>Cost treated as a selection criterion only. Cost is applied after fitting as a scoring rule rather than during fitting, so the learner never sees the asymmetry [13].</w:t>
      </w:r>
    </w:p>
    <w:p w14:paraId="77683FA4">
      <w:pPr>
        <w:spacing w:after="0" w:line="414" w:lineRule="auto"/>
        <w:ind w:left="1120" w:hanging="360"/>
        <w:jc w:val="both"/>
      </w:pPr>
      <w:r>
        <w:t>•</w:t>
      </w:r>
      <w:r>
        <w:tab/>
      </w:r>
      <w:r>
        <w:t>Robustness not evaluated. Neither behaviour drift nor evasion is measured, so the operating envelope of the detector is unknown [17], [18].</w:t>
      </w:r>
    </w:p>
    <w:p w14:paraId="755E7C9F">
      <w:pPr>
        <w:spacing w:after="0" w:line="414" w:lineRule="auto"/>
        <w:ind w:left="1120" w:hanging="360"/>
        <w:jc w:val="both"/>
      </w:pPr>
      <w:r>
        <w:t>•</w:t>
      </w:r>
      <w:r>
        <w:tab/>
      </w:r>
      <w:r>
        <w:t>Explainability not provided. An operator receiving an alert cannot see which measurements produced it.</w:t>
      </w:r>
    </w:p>
    <w:p w14:paraId="44DFDE51">
      <w:pPr>
        <w:spacing w:before="160" w:after="40" w:line="414" w:lineRule="auto"/>
        <w:jc w:val="both"/>
      </w:pPr>
      <w:r>
        <w:drawing>
          <wp:inline distT="0" distB="0" distL="114300" distR="114300">
            <wp:extent cx="5360035" cy="2994660"/>
            <wp:effectExtent l="0" t="0" r="0" b="0"/>
            <wp:docPr id="1982159234" name="Picture 198215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59234" name="Picture 1982159234"/>
                    <pic:cNvPicPr>
                      <a:picLocks noChangeAspect="1"/>
                    </pic:cNvPicPr>
                  </pic:nvPicPr>
                  <pic:blipFill>
                    <a:blip r:embed="rId10"/>
                    <a:srcRect l="2460" t="5979" r="3025" b="20789"/>
                    <a:stretch>
                      <a:fillRect/>
                    </a:stretch>
                  </pic:blipFill>
                  <pic:spPr>
                    <a:xfrm>
                      <a:off x="0" y="0"/>
                      <a:ext cx="5360580" cy="2994940"/>
                    </a:xfrm>
                    <a:prstGeom prst="rect">
                      <a:avLst/>
                    </a:prstGeom>
                  </pic:spPr>
                </pic:pic>
              </a:graphicData>
            </a:graphic>
          </wp:inline>
        </w:drawing>
      </w:r>
    </w:p>
    <w:p w14:paraId="68AE7C14">
      <w:pPr>
        <w:spacing w:before="120" w:after="160" w:line="414" w:lineRule="auto"/>
        <w:jc w:val="center"/>
        <w:rPr>
          <w:b/>
          <w:bCs/>
          <w:iCs/>
        </w:rPr>
      </w:pPr>
      <w:r>
        <w:rPr>
          <w:b/>
          <w:bCs/>
          <w:iCs/>
        </w:rPr>
        <w:t>Figure 3.1: Architecture of the conventional count-based detection pipeline</w:t>
      </w:r>
    </w:p>
    <w:p w14:paraId="24338716">
      <w:pPr>
        <w:spacing w:before="120" w:after="160" w:line="414" w:lineRule="auto"/>
        <w:ind w:firstLine="240" w:firstLineChars="100"/>
        <w:jc w:val="both"/>
        <w:rPr>
          <w:b/>
        </w:rPr>
      </w:pPr>
      <w:r>
        <w:rPr>
          <w:b/>
        </w:rPr>
        <w:t xml:space="preserve">    3.3 EXISTING SYSTEM ARCHITETURE</w:t>
      </w:r>
    </w:p>
    <w:p w14:paraId="3104AB7C">
      <w:pPr>
        <w:keepNext/>
        <w:spacing w:before="240" w:after="160" w:line="414" w:lineRule="auto"/>
        <w:ind w:left="426" w:firstLine="720"/>
        <w:jc w:val="both"/>
        <w:rPr>
          <w:bCs/>
        </w:rPr>
      </w:pPr>
      <w:r>
        <w:rPr>
          <w:bCs/>
        </w:rPr>
        <w:t>The authors proposed a machine learning-based ransomware detection system that monitors server-side file operations to identify malicious activity in shared file environments. File creation, renaming, and deletion events were collected from a Samba file server and forwarded through a Unix socket using Fluent Bit to an InfluxDB time-series database. The collected logs were periodically exported to CSV files, preprocessed to remove redundant idle records and attack-labelled records with zero file-operation counts, and aggregated into non-overlapping one-second windows. Each window was represented using file-operation counts and a binary label indicating benign or ransomware activity [11], [12].</w:t>
      </w:r>
    </w:p>
    <w:p w14:paraId="67D218DA">
      <w:pPr>
        <w:keepNext/>
        <w:spacing w:before="240" w:after="160" w:line="414" w:lineRule="auto"/>
        <w:ind w:firstLine="240" w:firstLineChars="100"/>
        <w:jc w:val="center"/>
        <w:rPr>
          <w:bCs/>
          <w:i/>
          <w:iCs/>
        </w:rPr>
      </w:pPr>
      <w:r>
        <w:rPr>
          <w:b/>
        </w:rPr>
        <w:drawing>
          <wp:inline distT="0" distB="0" distL="114300" distR="114300">
            <wp:extent cx="5418455" cy="3154045"/>
            <wp:effectExtent l="0" t="0" r="6985" b="635"/>
            <wp:docPr id="1" name="Picture 1" descr="WhatsApp Image 2026-10-16 at 01.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10-16 at 01.19.42"/>
                    <pic:cNvPicPr>
                      <a:picLocks noChangeAspect="1"/>
                    </pic:cNvPicPr>
                  </pic:nvPicPr>
                  <pic:blipFill>
                    <a:blip r:embed="rId11"/>
                    <a:stretch>
                      <a:fillRect/>
                    </a:stretch>
                  </pic:blipFill>
                  <pic:spPr>
                    <a:xfrm>
                      <a:off x="0" y="0"/>
                      <a:ext cx="5418455" cy="3154045"/>
                    </a:xfrm>
                    <a:prstGeom prst="rect">
                      <a:avLst/>
                    </a:prstGeom>
                  </pic:spPr>
                </pic:pic>
              </a:graphicData>
            </a:graphic>
          </wp:inline>
        </w:drawing>
      </w:r>
    </w:p>
    <w:p w14:paraId="02105670">
      <w:pPr>
        <w:keepNext/>
        <w:spacing w:before="240" w:after="160" w:line="414" w:lineRule="auto"/>
        <w:ind w:firstLine="240" w:firstLineChars="100"/>
        <w:jc w:val="center"/>
        <w:rPr>
          <w:b/>
        </w:rPr>
      </w:pPr>
      <w:r>
        <w:rPr>
          <w:b/>
        </w:rPr>
        <w:t>Figure 3.2: Architecture of the existing system</w:t>
      </w:r>
    </w:p>
    <w:p w14:paraId="2F9956E1">
      <w:pPr>
        <w:keepNext/>
        <w:spacing w:before="240" w:after="160" w:line="414" w:lineRule="auto"/>
        <w:ind w:left="567" w:firstLine="720"/>
        <w:jc w:val="both"/>
        <w:rPr>
          <w:bCs/>
        </w:rPr>
      </w:pPr>
      <w:r>
        <w:rPr>
          <w:bCs/>
        </w:rPr>
        <w:t>The authors evaluated five machine learning classifiers: Random Forest [11], Support Vector Machine (SVM) [10], Decision Tree [20], AdaBoost [21], and XGBoost [12]. The models were trained using stratified sampling and optimized through GridSearchCV with k-fold cross-validation [19], prioritizing attack detection sensitivity while limiting false positives. The proposed approach was evaluated in a virtualized environment using a Samba server and Windows clients, with five ransomware families used to generate attack data. A canary-file monitoring mechanism supported attack-state identification and restoration of the experimental environment. The authors assessed the models using accuracy, F1-score, sensitivity, specificity, prediction latency, and cost-sensitive evaluation to determine their suitability for near-real-time ransomware detection [13], [14].</w:t>
      </w:r>
    </w:p>
    <w:p w14:paraId="28A6C085">
      <w:pPr>
        <w:keepNext/>
        <w:spacing w:before="240" w:after="160" w:line="414" w:lineRule="auto"/>
        <w:ind w:left="567" w:hanging="567"/>
      </w:pPr>
      <w:r>
        <w:rPr>
          <w:b/>
        </w:rPr>
        <w:t xml:space="preserve">         3.4 IDENTIFIED RESEARCH GAP</w:t>
      </w:r>
    </w:p>
    <w:p w14:paraId="20346C6F">
      <w:pPr>
        <w:tabs>
          <w:tab w:val="left" w:pos="142"/>
        </w:tabs>
        <w:spacing w:after="0" w:line="414" w:lineRule="auto"/>
        <w:ind w:left="567" w:hanging="567"/>
        <w:jc w:val="both"/>
      </w:pPr>
      <w:r>
        <w:tab/>
      </w:r>
      <w:r>
        <w:tab/>
      </w:r>
      <w:r>
        <w:tab/>
      </w:r>
      <w:r>
        <w:t xml:space="preserve">  </w:t>
      </w:r>
      <w:r>
        <w:tab/>
      </w:r>
      <w:r>
        <w:t xml:space="preserve"> The gap is stated carefully, because the project inventory and the contribution assessment both warn against claiming novelty that the evidence does not support. Server-side file-operation telemetry is a credible and inexpensive detection surface, supported by the host-behavioural literature and by the base paper. Independent, reproducible implementations of that approach, however, are scarce, and the published evaluations either require real malware or heavier instrumentation. A gap therefore exists for a reproducible engineering testbed with a transparent evaluation that implements the count-based pipeline end to end, exposes its cost-sensitive decision rule, and characterises explicitly where the approach fails [1], [2].</w:t>
      </w:r>
    </w:p>
    <w:p w14:paraId="1630A80E">
      <w:pPr>
        <w:tabs>
          <w:tab w:val="left" w:pos="142"/>
        </w:tabs>
        <w:spacing w:after="0" w:line="414" w:lineRule="auto"/>
        <w:ind w:left="567" w:hanging="567"/>
        <w:jc w:val="both"/>
      </w:pPr>
      <w:r>
        <w:tab/>
      </w:r>
      <w:r>
        <w:tab/>
      </w:r>
      <w:r>
        <w:tab/>
      </w:r>
      <w:r>
        <w:t xml:space="preserve">  </w:t>
      </w:r>
      <w:r>
        <w:tab/>
      </w:r>
      <w:r>
        <w:t>This is an engineering and reproducibility gap. It is not a claim of a new detection algorithm. The contribution assessment is explicit that no new algorithm, feature or decision rule is introduced that is demonstrably beyond the base paper, and the project is framed accordingly [1].</w:t>
      </w:r>
    </w:p>
    <w:p w14:paraId="022BD284">
      <w:pPr>
        <w:keepNext/>
        <w:spacing w:before="240" w:after="160" w:line="414" w:lineRule="auto"/>
        <w:ind w:left="567" w:hanging="567"/>
      </w:pPr>
      <w:r>
        <w:rPr>
          <w:b/>
        </w:rPr>
        <w:t xml:space="preserve">         3.5 PROPOSED SYSTEM</w:t>
      </w:r>
    </w:p>
    <w:p w14:paraId="1550D0CB">
      <w:pPr>
        <w:keepNext/>
        <w:spacing w:before="200" w:after="120" w:line="414" w:lineRule="auto"/>
        <w:ind w:firstLine="567"/>
        <w:rPr>
          <w:b/>
          <w:iCs/>
        </w:rPr>
      </w:pPr>
      <w:r>
        <w:rPr>
          <w:b/>
          <w:iCs/>
        </w:rPr>
        <w:t xml:space="preserve">      3.5.1 SYSTEM OVERVIEW</w:t>
      </w:r>
    </w:p>
    <w:p w14:paraId="2C457418">
      <w:pPr>
        <w:keepNext/>
        <w:spacing w:before="200" w:after="120" w:line="414" w:lineRule="auto"/>
        <w:ind w:firstLine="567"/>
        <w:rPr>
          <w:b/>
          <w:iCs/>
        </w:rPr>
      </w:pPr>
      <w:r>
        <w:drawing>
          <wp:inline distT="0" distB="0" distL="114300" distR="114300">
            <wp:extent cx="5614035" cy="2989580"/>
            <wp:effectExtent l="0" t="0" r="9525"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rcRect b="15889"/>
                    <a:stretch>
                      <a:fillRect/>
                    </a:stretch>
                  </pic:blipFill>
                  <pic:spPr>
                    <a:xfrm>
                      <a:off x="0" y="0"/>
                      <a:ext cx="5614035" cy="2989580"/>
                    </a:xfrm>
                    <a:prstGeom prst="rect">
                      <a:avLst/>
                    </a:prstGeom>
                  </pic:spPr>
                </pic:pic>
              </a:graphicData>
            </a:graphic>
          </wp:inline>
        </w:drawing>
      </w:r>
    </w:p>
    <w:p w14:paraId="377BD1F8">
      <w:pPr>
        <w:spacing w:after="0" w:line="414" w:lineRule="auto"/>
        <w:ind w:left="993"/>
        <w:jc w:val="both"/>
        <w:rPr>
          <w:rFonts w:hint="default"/>
          <w:lang w:val="en-US"/>
        </w:rPr>
      </w:pPr>
      <w:r>
        <w:t xml:space="preserve"> </w:t>
      </w:r>
      <w:r>
        <w:tab/>
      </w:r>
      <w:r>
        <w:rPr>
          <w:rFonts w:hint="default"/>
          <w:b/>
          <w:bCs/>
          <w:lang w:val="en-US"/>
        </w:rPr>
        <w:t>Figure 3.3: Architecture of the Proposed ASSRD System</w:t>
      </w:r>
    </w:p>
    <w:p w14:paraId="24A7084F">
      <w:pPr>
        <w:spacing w:after="0" w:line="414" w:lineRule="auto"/>
        <w:ind w:left="993"/>
        <w:jc w:val="both"/>
      </w:pPr>
      <w:r>
        <w:t>The proposed Adaptive Server-Side Ransomware Detection framework retains the server-side collection point and replaces everything downstream of it. It multiplies the temporal resolution of the feature extractor, replaces the fixed threshold with a cost-selected one, adds attribution and drift monitoring, and specifies a three-state alerting path with hysteresis and an offline recovery procedure.</w:t>
      </w:r>
    </w:p>
    <w:p w14:paraId="36F676F9">
      <w:pPr>
        <w:spacing w:after="0" w:line="414" w:lineRule="auto"/>
        <w:ind w:left="993" w:hanging="426"/>
        <w:jc w:val="both"/>
      </w:pPr>
      <w:r>
        <w:t xml:space="preserve">      </w:t>
      </w:r>
      <w:r>
        <w:tab/>
      </w:r>
      <w:r>
        <w:tab/>
      </w:r>
      <w:r>
        <w:t>The proposed Adaptive Server-Side Ransomware Detection (ASSRD) framework begins with the existing server-side monitoring mechanism, which observes file activities within monitored shares. The monitored share acts as the initial collection point, where file system events are captured and forwarded to a per-share event buffer. This buffer organizes the collected events before they are processed by the subsequent components. The framework uses a one-second tick mechanism to reconstruct activity windows, enabling the system to analyse file operations at a finer temporal resolution. This approach preserves the original server-side observation point while improving the granularity of the information available for ransomware detection.</w:t>
      </w:r>
    </w:p>
    <w:p w14:paraId="283EF1BF">
      <w:pPr>
        <w:spacing w:after="0" w:line="414" w:lineRule="auto"/>
        <w:ind w:left="993" w:firstLine="447"/>
        <w:jc w:val="both"/>
      </w:pPr>
      <w:r>
        <w:t>The next stage introduces multi-scale temporal feature extraction, which analyses file activities across multiple time windows of 3, 5, 10, and 30 seconds. By examining activity over different durations, the framework aims to capture both rapid changes and sustained patterns associated with ransomware behaviour. These temporal features are provided to a cost-sensitive classifier that incorporates five machine-learning models. The classification process considers the potential consequences of detection errors rather than relying solely on overall predictive accuracy. This design aims to improve the practical effectiveness of ransomware detection by accounting for the different costs associated with false alarms and missed attacks.</w:t>
      </w:r>
    </w:p>
    <w:p w14:paraId="11CCE436">
      <w:pPr>
        <w:spacing w:after="0" w:line="414" w:lineRule="auto"/>
        <w:ind w:left="993" w:firstLine="447"/>
        <w:jc w:val="both"/>
      </w:pPr>
      <w:r>
        <w:t>Following classification, the framework employs a cost-selected threshold instead of relying on a fixed decision boundary. This threshold is selected according to the intended detection objective and the relative costs of classification errors. The resulting predictions are processed through a three-state alerting mechanism comprising NORMAL, UNSURE, and RANSOMWARE states. Hysteresis is incorporated to reduce unnecessary transitions between states when classification results fluctuate near the decision threshold. Based on these states, the framework supports an alerting mechanism that can communicate detected threats through multiple sinks, including webhooks, email, and syslog. Deduplication is applied to the alerting process to minimise repeated notifications for the same detection event.</w:t>
      </w:r>
    </w:p>
    <w:p w14:paraId="05EBC1FC">
      <w:pPr>
        <w:spacing w:after="0" w:line="414" w:lineRule="auto"/>
        <w:ind w:left="993" w:firstLine="447"/>
        <w:jc w:val="both"/>
        <w:rPr>
          <w:rFonts w:hint="default"/>
          <w:lang w:val="en-US"/>
        </w:rPr>
      </w:pPr>
      <w:r>
        <w:t>The framework further incorporates a Population Stability Index (PSI)-based drift monitor to identify changes in the distribution of incoming features that may affect detection performance. When significant drift is identified, the system supports an offline retraining procedure to update the detection models under controlled conditions. In addition, a dashboard and REST API provide access to detection history and attribution information, helping users examine alerts and understand the factors associated with a classification result. By combining temporal feature extraction, cost-sensitive classification, adaptive threshold selection, state-based alerting, drift monitoring, and operational interfaces, the proposed ASSRD framework extends the original detection pipeline into a more comprehensive server-side ransomware detection and monitoring system</w:t>
      </w:r>
      <w:r>
        <w:rPr>
          <w:rFonts w:hint="default"/>
          <w:lang w:val="en-US"/>
        </w:rPr>
        <w:t>.</w:t>
      </w:r>
    </w:p>
    <w:p w14:paraId="282913AD">
      <w:pPr>
        <w:spacing w:after="0" w:line="414" w:lineRule="auto"/>
        <w:ind w:firstLine="960" w:firstLineChars="400"/>
        <w:jc w:val="both"/>
        <w:rPr>
          <w:rFonts w:hint="default"/>
          <w:lang w:val="en-US"/>
        </w:rPr>
      </w:pPr>
      <w:r>
        <w:rPr>
          <w:b/>
          <w:iCs/>
        </w:rPr>
        <w:t>3.5.2 MODULE DESIGN</w:t>
      </w:r>
    </w:p>
    <w:tbl>
      <w:tblPr>
        <w:tblStyle w:val="18"/>
        <w:tblpPr w:leftFromText="180" w:rightFromText="180" w:vertAnchor="text" w:horzAnchor="page" w:tblpX="2914" w:tblpY="17"/>
        <w:tblOverlap w:val="never"/>
        <w:tblW w:w="83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9"/>
        <w:gridCol w:w="4340"/>
        <w:gridCol w:w="1920"/>
      </w:tblGrid>
      <w:tr w14:paraId="12467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2049" w:type="dxa"/>
            <w:shd w:val="clear" w:color="auto" w:fill="DCE6F1"/>
          </w:tcPr>
          <w:p w14:paraId="4A98B72C">
            <w:pPr>
              <w:widowControl w:val="0"/>
              <w:spacing w:before="40" w:after="40"/>
              <w:jc w:val="center"/>
              <w:rPr>
                <w:sz w:val="20"/>
                <w:highlight w:val="none"/>
                <w:shd w:val="clear" w:color="auto" w:fill="auto"/>
                <w:lang w:eastAsia="en-IN"/>
              </w:rPr>
            </w:pPr>
            <w:r>
              <w:rPr>
                <w:b/>
                <w:sz w:val="22"/>
                <w:highlight w:val="none"/>
                <w:shd w:val="clear" w:color="auto" w:fill="auto"/>
                <w:lang w:eastAsia="en-IN"/>
              </w:rPr>
              <w:t>Module</w:t>
            </w:r>
          </w:p>
        </w:tc>
        <w:tc>
          <w:tcPr>
            <w:tcW w:w="4340" w:type="dxa"/>
            <w:shd w:val="clear" w:color="auto" w:fill="DCE6F1"/>
          </w:tcPr>
          <w:p w14:paraId="6D2A2E3A">
            <w:pPr>
              <w:widowControl w:val="0"/>
              <w:spacing w:before="40" w:after="40"/>
              <w:jc w:val="center"/>
              <w:rPr>
                <w:sz w:val="20"/>
                <w:highlight w:val="none"/>
                <w:shd w:val="clear" w:color="auto" w:fill="auto"/>
                <w:lang w:eastAsia="en-IN"/>
              </w:rPr>
            </w:pPr>
            <w:r>
              <w:rPr>
                <w:b/>
                <w:sz w:val="22"/>
                <w:highlight w:val="none"/>
                <w:shd w:val="clear" w:color="auto" w:fill="auto"/>
                <w:lang w:eastAsia="en-IN"/>
              </w:rPr>
              <w:t>Responsibility</w:t>
            </w:r>
          </w:p>
        </w:tc>
        <w:tc>
          <w:tcPr>
            <w:tcW w:w="1920" w:type="dxa"/>
            <w:shd w:val="clear" w:color="auto" w:fill="DCE6F1"/>
          </w:tcPr>
          <w:p w14:paraId="423502AE">
            <w:pPr>
              <w:widowControl w:val="0"/>
              <w:spacing w:before="40" w:after="40"/>
              <w:jc w:val="center"/>
              <w:rPr>
                <w:sz w:val="20"/>
                <w:highlight w:val="none"/>
                <w:shd w:val="clear" w:color="auto" w:fill="auto"/>
                <w:lang w:eastAsia="en-IN"/>
              </w:rPr>
            </w:pPr>
            <w:r>
              <w:rPr>
                <w:b/>
                <w:sz w:val="22"/>
                <w:highlight w:val="none"/>
                <w:shd w:val="clear" w:color="auto" w:fill="auto"/>
                <w:lang w:eastAsia="en-IN"/>
              </w:rPr>
              <w:t>Status</w:t>
            </w:r>
          </w:p>
        </w:tc>
      </w:tr>
      <w:tr w14:paraId="077A0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9" w:type="dxa"/>
          </w:tcPr>
          <w:p w14:paraId="5DE4888B">
            <w:pPr>
              <w:widowControl w:val="0"/>
              <w:spacing w:before="40" w:after="40"/>
              <w:jc w:val="both"/>
              <w:rPr>
                <w:sz w:val="20"/>
                <w:lang w:eastAsia="en-IN"/>
              </w:rPr>
            </w:pPr>
            <w:r>
              <w:rPr>
                <w:sz w:val="22"/>
                <w:lang w:eastAsia="en-IN"/>
              </w:rPr>
              <w:t>Event capture</w:t>
            </w:r>
          </w:p>
        </w:tc>
        <w:tc>
          <w:tcPr>
            <w:tcW w:w="4340" w:type="dxa"/>
          </w:tcPr>
          <w:p w14:paraId="69F7109F">
            <w:pPr>
              <w:widowControl w:val="0"/>
              <w:spacing w:before="40" w:after="40"/>
              <w:jc w:val="both"/>
              <w:rPr>
                <w:sz w:val="20"/>
                <w:lang w:eastAsia="en-IN"/>
              </w:rPr>
            </w:pPr>
            <w:r>
              <w:rPr>
                <w:sz w:val="22"/>
                <w:lang w:eastAsia="en-IN"/>
              </w:rPr>
              <w:t>Observe operating-system file events on the monitored share and timestamp them</w:t>
            </w:r>
          </w:p>
        </w:tc>
        <w:tc>
          <w:tcPr>
            <w:tcW w:w="1920" w:type="dxa"/>
          </w:tcPr>
          <w:p w14:paraId="4DBD435C">
            <w:pPr>
              <w:widowControl w:val="0"/>
              <w:spacing w:before="40" w:after="40"/>
              <w:jc w:val="both"/>
              <w:rPr>
                <w:sz w:val="20"/>
                <w:lang w:eastAsia="en-IN"/>
              </w:rPr>
            </w:pPr>
            <w:r>
              <w:rPr>
                <w:sz w:val="22"/>
                <w:lang w:eastAsia="en-IN"/>
              </w:rPr>
              <w:t>Implemented</w:t>
            </w:r>
          </w:p>
        </w:tc>
      </w:tr>
      <w:tr w14:paraId="7C16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9" w:type="dxa"/>
          </w:tcPr>
          <w:p w14:paraId="3141D957">
            <w:pPr>
              <w:widowControl w:val="0"/>
              <w:spacing w:before="40" w:after="40"/>
              <w:jc w:val="both"/>
              <w:rPr>
                <w:sz w:val="20"/>
                <w:lang w:eastAsia="en-IN"/>
              </w:rPr>
            </w:pPr>
            <w:r>
              <w:rPr>
                <w:sz w:val="22"/>
                <w:lang w:eastAsia="en-IN"/>
              </w:rPr>
              <w:t>Window aggregation</w:t>
            </w:r>
          </w:p>
        </w:tc>
        <w:tc>
          <w:tcPr>
            <w:tcW w:w="4340" w:type="dxa"/>
          </w:tcPr>
          <w:p w14:paraId="62E56C92">
            <w:pPr>
              <w:widowControl w:val="0"/>
              <w:spacing w:before="40" w:after="40"/>
              <w:jc w:val="both"/>
              <w:rPr>
                <w:sz w:val="20"/>
                <w:lang w:eastAsia="en-IN"/>
              </w:rPr>
            </w:pPr>
            <w:r>
              <w:rPr>
                <w:sz w:val="22"/>
                <w:lang w:eastAsia="en-IN"/>
              </w:rPr>
              <w:t>Partition the event stream into one-second windows and prune expired events</w:t>
            </w:r>
          </w:p>
        </w:tc>
        <w:tc>
          <w:tcPr>
            <w:tcW w:w="1920" w:type="dxa"/>
          </w:tcPr>
          <w:p w14:paraId="5B71B9D2">
            <w:pPr>
              <w:widowControl w:val="0"/>
              <w:spacing w:before="40" w:after="40"/>
              <w:jc w:val="both"/>
              <w:rPr>
                <w:sz w:val="20"/>
                <w:lang w:eastAsia="en-IN"/>
              </w:rPr>
            </w:pPr>
            <w:r>
              <w:rPr>
                <w:sz w:val="22"/>
                <w:lang w:eastAsia="en-IN"/>
              </w:rPr>
              <w:t>Implemented</w:t>
            </w:r>
          </w:p>
        </w:tc>
      </w:tr>
      <w:tr w14:paraId="5C72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9" w:type="dxa"/>
          </w:tcPr>
          <w:p w14:paraId="24B1B510">
            <w:pPr>
              <w:widowControl w:val="0"/>
              <w:spacing w:before="40" w:after="40"/>
              <w:jc w:val="both"/>
              <w:rPr>
                <w:sz w:val="20"/>
                <w:lang w:eastAsia="en-IN"/>
              </w:rPr>
            </w:pPr>
            <w:r>
              <w:rPr>
                <w:sz w:val="22"/>
                <w:lang w:eastAsia="en-IN"/>
              </w:rPr>
              <w:t>Behavioural</w:t>
            </w:r>
            <w:r>
              <w:rPr>
                <w:rFonts w:hint="default"/>
                <w:sz w:val="22"/>
                <w:lang w:val="en-US" w:eastAsia="en-IN"/>
              </w:rPr>
              <w:t xml:space="preserve"> </w:t>
            </w:r>
            <w:r>
              <w:rPr>
                <w:sz w:val="22"/>
                <w:lang w:eastAsia="en-IN"/>
              </w:rPr>
              <w:t>emulator</w:t>
            </w:r>
          </w:p>
        </w:tc>
        <w:tc>
          <w:tcPr>
            <w:tcW w:w="4340" w:type="dxa"/>
          </w:tcPr>
          <w:p w14:paraId="55A6B05F">
            <w:pPr>
              <w:widowControl w:val="0"/>
              <w:spacing w:before="40" w:after="40"/>
              <w:jc w:val="both"/>
              <w:rPr>
                <w:sz w:val="20"/>
                <w:lang w:eastAsia="en-IN"/>
              </w:rPr>
            </w:pPr>
            <w:r>
              <w:rPr>
                <w:sz w:val="22"/>
                <w:lang w:eastAsia="en-IN"/>
              </w:rPr>
              <w:t>Generate benign and ransomware-like traces with controllable families, intensity and rate</w:t>
            </w:r>
          </w:p>
        </w:tc>
        <w:tc>
          <w:tcPr>
            <w:tcW w:w="1920" w:type="dxa"/>
          </w:tcPr>
          <w:p w14:paraId="14F4738C">
            <w:pPr>
              <w:widowControl w:val="0"/>
              <w:spacing w:before="40" w:after="40"/>
              <w:jc w:val="both"/>
              <w:rPr>
                <w:sz w:val="20"/>
                <w:lang w:eastAsia="en-IN"/>
              </w:rPr>
            </w:pPr>
            <w:r>
              <w:rPr>
                <w:sz w:val="22"/>
                <w:lang w:eastAsia="en-IN"/>
              </w:rPr>
              <w:t>Implemented in the prototype</w:t>
            </w:r>
          </w:p>
        </w:tc>
      </w:tr>
      <w:tr w14:paraId="368DF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9" w:type="dxa"/>
          </w:tcPr>
          <w:p w14:paraId="788A864B">
            <w:pPr>
              <w:widowControl w:val="0"/>
              <w:spacing w:before="40" w:after="40"/>
              <w:jc w:val="both"/>
              <w:rPr>
                <w:sz w:val="20"/>
                <w:lang w:eastAsia="en-IN"/>
              </w:rPr>
            </w:pPr>
            <w:r>
              <w:rPr>
                <w:sz w:val="22"/>
                <w:lang w:eastAsia="en-IN"/>
              </w:rPr>
              <w:t>Feature extractor</w:t>
            </w:r>
          </w:p>
        </w:tc>
        <w:tc>
          <w:tcPr>
            <w:tcW w:w="4340" w:type="dxa"/>
          </w:tcPr>
          <w:p w14:paraId="5D6D85EB">
            <w:pPr>
              <w:widowControl w:val="0"/>
              <w:spacing w:before="40" w:after="40"/>
              <w:jc w:val="both"/>
              <w:rPr>
                <w:sz w:val="20"/>
                <w:lang w:eastAsia="en-IN"/>
              </w:rPr>
            </w:pPr>
            <w:r>
              <w:rPr>
                <w:sz w:val="22"/>
                <w:lang w:eastAsia="en-IN"/>
              </w:rPr>
              <w:t>Three raw counts plus twenty-six trailing temporal features over 3, 5, 10 and 30-second windows</w:t>
            </w:r>
          </w:p>
        </w:tc>
        <w:tc>
          <w:tcPr>
            <w:tcW w:w="1920" w:type="dxa"/>
          </w:tcPr>
          <w:p w14:paraId="62A3DF27">
            <w:pPr>
              <w:widowControl w:val="0"/>
              <w:spacing w:before="40" w:after="40"/>
              <w:jc w:val="both"/>
              <w:rPr>
                <w:sz w:val="20"/>
                <w:lang w:eastAsia="en-IN"/>
              </w:rPr>
            </w:pPr>
            <w:r>
              <w:rPr>
                <w:sz w:val="22"/>
                <w:lang w:eastAsia="en-IN"/>
              </w:rPr>
              <w:t>Implemented in the prototype</w:t>
            </w:r>
          </w:p>
        </w:tc>
      </w:tr>
      <w:tr w14:paraId="0820E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9" w:type="dxa"/>
          </w:tcPr>
          <w:p w14:paraId="07240952">
            <w:pPr>
              <w:widowControl w:val="0"/>
              <w:spacing w:before="40" w:after="40"/>
              <w:jc w:val="both"/>
              <w:rPr>
                <w:sz w:val="20"/>
                <w:lang w:eastAsia="en-IN"/>
              </w:rPr>
            </w:pPr>
            <w:r>
              <w:rPr>
                <w:sz w:val="22"/>
                <w:lang w:eastAsia="en-IN"/>
              </w:rPr>
              <w:t>Episode-aware splitter</w:t>
            </w:r>
          </w:p>
        </w:tc>
        <w:tc>
          <w:tcPr>
            <w:tcW w:w="4340" w:type="dxa"/>
          </w:tcPr>
          <w:p w14:paraId="5BA65425">
            <w:pPr>
              <w:widowControl w:val="0"/>
              <w:spacing w:before="40" w:after="40"/>
              <w:jc w:val="both"/>
              <w:rPr>
                <w:sz w:val="20"/>
                <w:lang w:eastAsia="en-IN"/>
              </w:rPr>
            </w:pPr>
            <w:r>
              <w:rPr>
                <w:sz w:val="22"/>
                <w:lang w:eastAsia="en-IN"/>
              </w:rPr>
              <w:t>Partition whole attack episodes across training, validation and test sets</w:t>
            </w:r>
          </w:p>
        </w:tc>
        <w:tc>
          <w:tcPr>
            <w:tcW w:w="1920" w:type="dxa"/>
          </w:tcPr>
          <w:p w14:paraId="381DE931">
            <w:pPr>
              <w:widowControl w:val="0"/>
              <w:spacing w:before="40" w:after="40"/>
              <w:jc w:val="both"/>
              <w:rPr>
                <w:sz w:val="20"/>
                <w:lang w:eastAsia="en-IN"/>
              </w:rPr>
            </w:pPr>
            <w:r>
              <w:rPr>
                <w:sz w:val="22"/>
                <w:lang w:eastAsia="en-IN"/>
              </w:rPr>
              <w:t>Implemented in the prototype</w:t>
            </w:r>
          </w:p>
        </w:tc>
      </w:tr>
      <w:tr w14:paraId="65B75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9" w:type="dxa"/>
          </w:tcPr>
          <w:p w14:paraId="4F818A43">
            <w:pPr>
              <w:widowControl w:val="0"/>
              <w:spacing w:before="40" w:after="40"/>
              <w:jc w:val="both"/>
              <w:rPr>
                <w:sz w:val="20"/>
                <w:lang w:eastAsia="en-IN"/>
              </w:rPr>
            </w:pPr>
            <w:r>
              <w:rPr>
                <w:sz w:val="22"/>
                <w:lang w:eastAsia="en-IN"/>
              </w:rPr>
              <w:t>Classifier bank</w:t>
            </w:r>
          </w:p>
        </w:tc>
        <w:tc>
          <w:tcPr>
            <w:tcW w:w="4340" w:type="dxa"/>
          </w:tcPr>
          <w:p w14:paraId="037EA6E0">
            <w:pPr>
              <w:widowControl w:val="0"/>
              <w:spacing w:before="40" w:after="40"/>
              <w:jc w:val="both"/>
              <w:rPr>
                <w:sz w:val="20"/>
                <w:lang w:eastAsia="en-IN"/>
              </w:rPr>
            </w:pPr>
            <w:r>
              <w:rPr>
                <w:sz w:val="22"/>
                <w:lang w:eastAsia="en-IN"/>
              </w:rPr>
              <w:t>Six cost-sensitive models fitted at fixed hyper-parameters with cost-weighted samples</w:t>
            </w:r>
          </w:p>
        </w:tc>
        <w:tc>
          <w:tcPr>
            <w:tcW w:w="1920" w:type="dxa"/>
          </w:tcPr>
          <w:p w14:paraId="4ADE463E">
            <w:pPr>
              <w:widowControl w:val="0"/>
              <w:spacing w:before="40" w:after="40"/>
              <w:jc w:val="both"/>
              <w:rPr>
                <w:sz w:val="20"/>
                <w:lang w:eastAsia="en-IN"/>
              </w:rPr>
            </w:pPr>
            <w:r>
              <w:rPr>
                <w:sz w:val="22"/>
                <w:lang w:eastAsia="en-IN"/>
              </w:rPr>
              <w:t>Implemented in the prototype</w:t>
            </w:r>
          </w:p>
        </w:tc>
      </w:tr>
      <w:tr w14:paraId="366A2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9" w:type="dxa"/>
          </w:tcPr>
          <w:p w14:paraId="1B66283F">
            <w:pPr>
              <w:widowControl w:val="0"/>
              <w:spacing w:before="40" w:after="40"/>
              <w:jc w:val="both"/>
              <w:rPr>
                <w:sz w:val="20"/>
                <w:lang w:eastAsia="en-IN"/>
              </w:rPr>
            </w:pPr>
            <w:r>
              <w:rPr>
                <w:sz w:val="22"/>
                <w:lang w:eastAsia="en-IN"/>
              </w:rPr>
              <w:t>Threshold selector</w:t>
            </w:r>
          </w:p>
        </w:tc>
        <w:tc>
          <w:tcPr>
            <w:tcW w:w="4340" w:type="dxa"/>
          </w:tcPr>
          <w:p w14:paraId="321A409F">
            <w:pPr>
              <w:widowControl w:val="0"/>
              <w:spacing w:before="40" w:after="40"/>
              <w:jc w:val="both"/>
              <w:rPr>
                <w:sz w:val="20"/>
                <w:lang w:eastAsia="en-IN"/>
              </w:rPr>
            </w:pPr>
            <w:r>
              <w:rPr>
                <w:sz w:val="22"/>
                <w:lang w:eastAsia="en-IN"/>
              </w:rPr>
              <w:t>Minimise validation cost under C_FN = 10 and C_FP = 1, breaking ties towards the higher threshold</w:t>
            </w:r>
          </w:p>
        </w:tc>
        <w:tc>
          <w:tcPr>
            <w:tcW w:w="1920" w:type="dxa"/>
          </w:tcPr>
          <w:p w14:paraId="4B378482">
            <w:pPr>
              <w:widowControl w:val="0"/>
              <w:spacing w:before="40" w:after="40"/>
              <w:jc w:val="both"/>
              <w:rPr>
                <w:sz w:val="20"/>
                <w:lang w:eastAsia="en-IN"/>
              </w:rPr>
            </w:pPr>
            <w:r>
              <w:rPr>
                <w:sz w:val="22"/>
                <w:lang w:eastAsia="en-IN"/>
              </w:rPr>
              <w:t>Implemented in the prototype</w:t>
            </w:r>
          </w:p>
        </w:tc>
      </w:tr>
      <w:tr w14:paraId="2F6F1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9" w:type="dxa"/>
          </w:tcPr>
          <w:p w14:paraId="1CC17FBF">
            <w:pPr>
              <w:widowControl w:val="0"/>
              <w:spacing w:before="40" w:after="40"/>
              <w:jc w:val="both"/>
              <w:rPr>
                <w:sz w:val="20"/>
                <w:lang w:eastAsia="en-IN"/>
              </w:rPr>
            </w:pPr>
            <w:r>
              <w:rPr>
                <w:sz w:val="22"/>
                <w:lang w:eastAsia="en-IN"/>
              </w:rPr>
              <w:t>Attribution</w:t>
            </w:r>
          </w:p>
        </w:tc>
        <w:tc>
          <w:tcPr>
            <w:tcW w:w="4340" w:type="dxa"/>
          </w:tcPr>
          <w:p w14:paraId="52E91BA6">
            <w:pPr>
              <w:widowControl w:val="0"/>
              <w:spacing w:before="40" w:after="40"/>
              <w:jc w:val="both"/>
              <w:rPr>
                <w:sz w:val="20"/>
                <w:lang w:eastAsia="en-IN"/>
              </w:rPr>
            </w:pPr>
            <w:r>
              <w:rPr>
                <w:sz w:val="22"/>
                <w:lang w:eastAsia="en-IN"/>
              </w:rPr>
              <w:t>Group-level decision-path and permutation importance</w:t>
            </w:r>
          </w:p>
        </w:tc>
        <w:tc>
          <w:tcPr>
            <w:tcW w:w="1920" w:type="dxa"/>
          </w:tcPr>
          <w:p w14:paraId="17C309EC">
            <w:pPr>
              <w:widowControl w:val="0"/>
              <w:spacing w:before="40" w:after="40"/>
              <w:jc w:val="both"/>
              <w:rPr>
                <w:sz w:val="20"/>
                <w:lang w:eastAsia="en-IN"/>
              </w:rPr>
            </w:pPr>
            <w:r>
              <w:rPr>
                <w:sz w:val="22"/>
                <w:lang w:eastAsia="en-IN"/>
              </w:rPr>
              <w:t>Specified; offline only</w:t>
            </w:r>
          </w:p>
        </w:tc>
      </w:tr>
      <w:tr w14:paraId="065D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9" w:type="dxa"/>
          </w:tcPr>
          <w:p w14:paraId="5718C31A">
            <w:pPr>
              <w:widowControl w:val="0"/>
              <w:spacing w:before="40" w:after="40"/>
              <w:jc w:val="both"/>
              <w:rPr>
                <w:sz w:val="20"/>
                <w:lang w:eastAsia="en-IN"/>
              </w:rPr>
            </w:pPr>
            <w:r>
              <w:rPr>
                <w:sz w:val="22"/>
                <w:lang w:eastAsia="en-IN"/>
              </w:rPr>
              <w:t>Drift monitor</w:t>
            </w:r>
          </w:p>
        </w:tc>
        <w:tc>
          <w:tcPr>
            <w:tcW w:w="4340" w:type="dxa"/>
          </w:tcPr>
          <w:p w14:paraId="472F883E">
            <w:pPr>
              <w:widowControl w:val="0"/>
              <w:spacing w:before="40" w:after="40"/>
              <w:jc w:val="both"/>
              <w:rPr>
                <w:sz w:val="20"/>
                <w:lang w:eastAsia="en-IN"/>
              </w:rPr>
            </w:pPr>
            <w:r>
              <w:rPr>
                <w:sz w:val="22"/>
                <w:lang w:eastAsia="en-IN"/>
              </w:rPr>
              <w:t>Population Stability Index over feature distributions with offline retraining</w:t>
            </w:r>
          </w:p>
        </w:tc>
        <w:tc>
          <w:tcPr>
            <w:tcW w:w="1920" w:type="dxa"/>
          </w:tcPr>
          <w:p w14:paraId="4025E84D">
            <w:pPr>
              <w:widowControl w:val="0"/>
              <w:spacing w:before="40" w:after="40"/>
              <w:jc w:val="both"/>
              <w:rPr>
                <w:sz w:val="20"/>
                <w:lang w:eastAsia="en-IN"/>
              </w:rPr>
            </w:pPr>
            <w:r>
              <w:rPr>
                <w:sz w:val="22"/>
                <w:lang w:eastAsia="en-IN"/>
              </w:rPr>
              <w:t>Specified; offline only</w:t>
            </w:r>
          </w:p>
        </w:tc>
      </w:tr>
      <w:tr w14:paraId="1F236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9" w:type="dxa"/>
          </w:tcPr>
          <w:p w14:paraId="00D57AB7">
            <w:pPr>
              <w:widowControl w:val="0"/>
              <w:spacing w:before="40" w:after="40"/>
              <w:jc w:val="both"/>
              <w:rPr>
                <w:sz w:val="20"/>
                <w:lang w:eastAsia="en-IN"/>
              </w:rPr>
            </w:pPr>
            <w:r>
              <w:rPr>
                <w:sz w:val="22"/>
                <w:lang w:eastAsia="en-IN"/>
              </w:rPr>
              <w:t>Three-state alerting</w:t>
            </w:r>
          </w:p>
        </w:tc>
        <w:tc>
          <w:tcPr>
            <w:tcW w:w="4340" w:type="dxa"/>
          </w:tcPr>
          <w:p w14:paraId="31DF3111">
            <w:pPr>
              <w:widowControl w:val="0"/>
              <w:spacing w:before="40" w:after="40"/>
              <w:jc w:val="both"/>
              <w:rPr>
                <w:sz w:val="20"/>
                <w:lang w:eastAsia="en-IN"/>
              </w:rPr>
            </w:pPr>
            <w:r>
              <w:rPr>
                <w:sz w:val="22"/>
                <w:lang w:eastAsia="en-IN"/>
              </w:rPr>
              <w:t>Normal, unsure and ransomware states with hysteresis, then dispatch to alert sinks</w:t>
            </w:r>
          </w:p>
        </w:tc>
        <w:tc>
          <w:tcPr>
            <w:tcW w:w="1920" w:type="dxa"/>
          </w:tcPr>
          <w:p w14:paraId="4BBA678D">
            <w:pPr>
              <w:widowControl w:val="0"/>
              <w:spacing w:before="40" w:after="40"/>
              <w:jc w:val="both"/>
              <w:rPr>
                <w:sz w:val="20"/>
                <w:lang w:eastAsia="en-IN"/>
              </w:rPr>
            </w:pPr>
            <w:r>
              <w:rPr>
                <w:sz w:val="22"/>
                <w:lang w:eastAsia="en-IN"/>
              </w:rPr>
              <w:t>Specified; not integrated with the live path</w:t>
            </w:r>
          </w:p>
        </w:tc>
      </w:tr>
    </w:tbl>
    <w:p w14:paraId="0A47458B">
      <w:pPr>
        <w:keepNext/>
        <w:spacing w:before="200" w:after="120" w:line="414" w:lineRule="auto"/>
        <w:rPr>
          <w:b/>
          <w:iCs/>
        </w:rPr>
      </w:pPr>
    </w:p>
    <w:p w14:paraId="7BA89D34">
      <w:pPr>
        <w:keepNext/>
        <w:spacing w:before="200" w:after="120" w:line="414" w:lineRule="auto"/>
        <w:rPr>
          <w:b/>
          <w:iCs/>
        </w:rPr>
      </w:pPr>
    </w:p>
    <w:p w14:paraId="22C1965F">
      <w:pPr>
        <w:keepNext/>
        <w:spacing w:before="200" w:after="120" w:line="414" w:lineRule="auto"/>
        <w:rPr>
          <w:b/>
          <w:iCs/>
        </w:rPr>
      </w:pPr>
    </w:p>
    <w:p w14:paraId="70ED282F">
      <w:pPr>
        <w:keepNext/>
        <w:spacing w:before="200" w:after="120" w:line="414" w:lineRule="auto"/>
        <w:rPr>
          <w:b/>
          <w:iCs/>
        </w:rPr>
      </w:pPr>
    </w:p>
    <w:p w14:paraId="5AE2BEAF">
      <w:pPr>
        <w:keepNext/>
        <w:spacing w:before="200" w:after="120" w:line="414" w:lineRule="auto"/>
        <w:rPr>
          <w:b/>
          <w:iCs/>
        </w:rPr>
      </w:pPr>
    </w:p>
    <w:p w14:paraId="7AE53615">
      <w:pPr>
        <w:keepNext/>
        <w:spacing w:before="200" w:after="120" w:line="414" w:lineRule="auto"/>
        <w:rPr>
          <w:b/>
          <w:iCs/>
        </w:rPr>
      </w:pPr>
    </w:p>
    <w:p w14:paraId="5C836EC0">
      <w:pPr>
        <w:keepNext/>
        <w:spacing w:before="200" w:after="120" w:line="414" w:lineRule="auto"/>
        <w:jc w:val="both"/>
        <w:rPr>
          <w:iCs/>
        </w:rPr>
      </w:pPr>
    </w:p>
    <w:p w14:paraId="76F9990A">
      <w:pPr>
        <w:spacing w:before="120" w:after="160" w:line="414" w:lineRule="auto"/>
        <w:ind w:left="1440" w:leftChars="500" w:hanging="240" w:hangingChars="100"/>
        <w:jc w:val="center"/>
        <w:rPr>
          <w:b/>
          <w:bCs/>
          <w:iCs/>
        </w:rPr>
      </w:pPr>
      <w:r>
        <w:rPr>
          <w:rFonts w:hint="default"/>
          <w:b/>
          <w:bCs/>
          <w:iCs/>
          <w:lang w:val="en-US"/>
        </w:rPr>
        <w:t xml:space="preserve">Table </w:t>
      </w:r>
      <w:r>
        <w:rPr>
          <w:b/>
          <w:bCs/>
          <w:iCs/>
        </w:rPr>
        <w:t>3.1: Modules of the proposed framework and their implementation status</w:t>
      </w:r>
    </w:p>
    <w:p w14:paraId="65DDF2E8">
      <w:pPr>
        <w:spacing w:before="120" w:after="160" w:line="414" w:lineRule="auto"/>
        <w:jc w:val="center"/>
        <w:rPr>
          <w:rFonts w:hint="default"/>
          <w:b/>
          <w:bCs/>
          <w:iCs/>
          <w:lang w:val="en-US"/>
        </w:rPr>
      </w:pPr>
    </w:p>
    <w:p w14:paraId="45FE3F38">
      <w:pPr>
        <w:spacing w:before="120" w:after="160" w:line="414" w:lineRule="auto"/>
        <w:jc w:val="center"/>
        <w:rPr>
          <w:rFonts w:hint="default"/>
          <w:b/>
          <w:bCs/>
          <w:iCs/>
          <w:lang w:val="en-US"/>
        </w:rPr>
      </w:pPr>
    </w:p>
    <w:p w14:paraId="26FFF583">
      <w:pPr>
        <w:spacing w:before="120" w:after="160" w:line="414" w:lineRule="auto"/>
        <w:jc w:val="center"/>
        <w:rPr>
          <w:rFonts w:hint="default"/>
          <w:b/>
          <w:bCs/>
          <w:iCs/>
          <w:lang w:val="en-US"/>
        </w:rPr>
      </w:pPr>
    </w:p>
    <w:p w14:paraId="33D12EC4">
      <w:pPr>
        <w:spacing w:before="120" w:after="160" w:line="414" w:lineRule="auto"/>
        <w:jc w:val="center"/>
        <w:rPr>
          <w:rFonts w:hint="default"/>
          <w:b/>
          <w:bCs/>
          <w:iCs/>
          <w:lang w:val="en-US"/>
        </w:rPr>
      </w:pPr>
    </w:p>
    <w:p w14:paraId="20B70279">
      <w:pPr>
        <w:spacing w:before="120" w:after="160" w:line="414" w:lineRule="auto"/>
        <w:jc w:val="center"/>
        <w:rPr>
          <w:rFonts w:hint="default"/>
          <w:b/>
          <w:bCs/>
          <w:iCs/>
          <w:lang w:val="en-US"/>
        </w:rPr>
      </w:pPr>
    </w:p>
    <w:p w14:paraId="42B4A990">
      <w:pPr>
        <w:spacing w:before="120" w:after="160" w:line="414" w:lineRule="auto"/>
        <w:jc w:val="center"/>
        <w:rPr>
          <w:rFonts w:hint="default"/>
          <w:b/>
          <w:bCs/>
          <w:iCs/>
          <w:lang w:val="en-US"/>
        </w:rPr>
      </w:pPr>
    </w:p>
    <w:p w14:paraId="0F962F54">
      <w:pPr>
        <w:spacing w:before="120" w:after="160" w:line="414" w:lineRule="auto"/>
        <w:jc w:val="center"/>
        <w:rPr>
          <w:rFonts w:hint="default"/>
          <w:b/>
          <w:bCs/>
          <w:iCs/>
          <w:lang w:val="en-US"/>
        </w:rPr>
      </w:pPr>
    </w:p>
    <w:p w14:paraId="2BB6DADC">
      <w:pPr>
        <w:spacing w:before="120" w:after="160" w:line="414" w:lineRule="auto"/>
        <w:jc w:val="center"/>
        <w:rPr>
          <w:rFonts w:hint="default"/>
          <w:b/>
          <w:bCs/>
          <w:iCs/>
          <w:lang w:val="en-US"/>
        </w:rPr>
      </w:pPr>
    </w:p>
    <w:p w14:paraId="42DB384D">
      <w:pPr>
        <w:spacing w:before="120" w:after="160" w:line="414" w:lineRule="auto"/>
        <w:jc w:val="center"/>
        <w:rPr>
          <w:rFonts w:hint="default"/>
          <w:b/>
          <w:bCs/>
          <w:iCs/>
          <w:lang w:val="en-US"/>
        </w:rPr>
      </w:pPr>
    </w:p>
    <w:p w14:paraId="7BE20C66">
      <w:pPr>
        <w:spacing w:before="120" w:after="160" w:line="414" w:lineRule="auto"/>
        <w:jc w:val="center"/>
        <w:rPr>
          <w:rFonts w:hint="default"/>
          <w:b/>
          <w:bCs/>
          <w:iCs/>
          <w:lang w:val="en-US"/>
        </w:rPr>
      </w:pPr>
    </w:p>
    <w:p w14:paraId="331F51DF">
      <w:pPr>
        <w:spacing w:before="120" w:after="160" w:line="414" w:lineRule="auto"/>
        <w:jc w:val="center"/>
        <w:rPr>
          <w:rFonts w:hint="default"/>
          <w:b/>
          <w:bCs/>
          <w:iCs/>
          <w:lang w:val="en-US"/>
        </w:rPr>
      </w:pPr>
    </w:p>
    <w:p w14:paraId="7A1F7C02">
      <w:pPr>
        <w:spacing w:before="120" w:after="160" w:line="414" w:lineRule="auto"/>
        <w:jc w:val="center"/>
        <w:rPr>
          <w:rFonts w:hint="default"/>
          <w:b/>
          <w:bCs/>
          <w:iCs/>
          <w:lang w:val="en-US"/>
        </w:rPr>
      </w:pPr>
    </w:p>
    <w:p w14:paraId="09E2D727">
      <w:pPr>
        <w:spacing w:before="120" w:after="160" w:line="414" w:lineRule="auto"/>
        <w:jc w:val="center"/>
      </w:pPr>
      <w:r>
        <w:rPr>
          <w:rFonts w:hint="default"/>
          <w:b/>
          <w:bCs/>
          <w:iCs/>
          <w:lang w:val="en-US"/>
        </w:rPr>
        <w:t xml:space="preserve">         </w:t>
      </w:r>
    </w:p>
    <w:p w14:paraId="22CC93AA">
      <w:pPr>
        <w:spacing w:line="360" w:lineRule="auto"/>
        <w:ind w:firstLine="140" w:firstLineChars="50"/>
        <w:jc w:val="center"/>
        <w:rPr>
          <w:b/>
          <w:sz w:val="28"/>
          <w:szCs w:val="28"/>
        </w:rPr>
      </w:pPr>
      <w:r>
        <w:rPr>
          <w:b/>
          <w:sz w:val="28"/>
          <w:szCs w:val="28"/>
        </w:rPr>
        <w:t>CHAPTER 4</w:t>
      </w:r>
    </w:p>
    <w:p w14:paraId="1D49A279">
      <w:pPr>
        <w:numPr>
          <w:ilvl w:val="0"/>
          <w:numId w:val="1"/>
        </w:numPr>
        <w:spacing w:after="160" w:line="360" w:lineRule="auto"/>
        <w:rPr>
          <w:sz w:val="28"/>
          <w:szCs w:val="28"/>
        </w:rPr>
      </w:pPr>
      <w:r>
        <w:rPr>
          <w:b/>
          <w:sz w:val="28"/>
          <w:szCs w:val="28"/>
        </w:rPr>
        <w:t>SYSTEM REQUIREMENTS</w:t>
      </w:r>
    </w:p>
    <w:p w14:paraId="2CEABAE6">
      <w:pPr>
        <w:spacing w:line="360" w:lineRule="auto"/>
        <w:ind w:firstLine="720"/>
        <w:jc w:val="both"/>
      </w:pPr>
      <w:r>
        <w:rPr>
          <w:sz w:val="28"/>
        </w:rPr>
        <w:t>The detector is a lightweight analytical service that runs on commodity hardware and consumes only the metadata events that the operating system already delivers for the monitored shares. It requires no GPU, no dedicated storage array and no cluster, and once the models have been trained the live path performs one classification per second per monitored share. The requirements below state the minimum configuration that will run the pipeline end to end and the recommended configuration used to produce the results reported in this project.</w:t>
      </w:r>
    </w:p>
    <w:p w14:paraId="4410D336">
      <w:pPr>
        <w:spacing w:before="120" w:after="120" w:line="360" w:lineRule="auto"/>
        <w:ind w:firstLine="280" w:firstLineChars="100"/>
        <w:jc w:val="both"/>
      </w:pPr>
      <w:r>
        <w:rPr>
          <w:b/>
          <w:sz w:val="28"/>
        </w:rPr>
        <w:t>4.1 Hardware Requirements</w:t>
      </w:r>
    </w:p>
    <w:p w14:paraId="54EA4FCA">
      <w:pPr>
        <w:spacing w:line="360" w:lineRule="auto"/>
        <w:ind w:left="284" w:firstLine="720"/>
        <w:jc w:val="both"/>
        <w:rPr>
          <w:sz w:val="28"/>
        </w:rPr>
      </w:pPr>
      <w:r>
        <w:rPr>
          <w:sz w:val="28"/>
        </w:rPr>
        <w:t>The hardware requirement follows directly from the workload. The offline evaluation trains five to six classifiers over a few tens of thousands of windows, each window requiring twenty-nine feature values, which is a small tabular problem that needs memory rather than parallel compute. The live path is lighter still, since it performs one feature construction and one classification per second per monitored share, and the heaviest single model in the set still completes inference in roughly fifteen milliseconds at the median. Disk space is dominated by the generated traces, the trained artefacts and the detection history rather than by the model files themselves. No component of the design requires a network connection in order to evaluate, so the minimum configuration is sufficient for reproducing every offline result; network capacity becomes relevant only when live capture is enabled across multiple shares.</w:t>
      </w:r>
    </w:p>
    <w:p w14:paraId="4917EDDB">
      <w:pPr>
        <w:spacing w:line="360" w:lineRule="auto"/>
        <w:ind w:left="284" w:firstLine="720"/>
        <w:jc w:val="both"/>
        <w:rPr>
          <w:sz w:val="28"/>
        </w:rPr>
      </w:pPr>
    </w:p>
    <w:p w14:paraId="73115B69">
      <w:pPr>
        <w:spacing w:line="360" w:lineRule="auto"/>
        <w:ind w:left="284" w:firstLine="720"/>
        <w:jc w:val="both"/>
        <w:rPr>
          <w:sz w:val="28"/>
        </w:rPr>
      </w:pPr>
    </w:p>
    <w:tbl>
      <w:tblPr>
        <w:tblStyle w:val="18"/>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1"/>
        <w:gridCol w:w="2543"/>
        <w:gridCol w:w="2385"/>
        <w:gridCol w:w="3407"/>
      </w:tblGrid>
      <w:tr w14:paraId="005003AE">
        <w:tblPrEx>
          <w:tblCellMar>
            <w:top w:w="0" w:type="dxa"/>
            <w:left w:w="108" w:type="dxa"/>
            <w:bottom w:w="0" w:type="dxa"/>
            <w:right w:w="108" w:type="dxa"/>
          </w:tblCellMar>
        </w:tblPrEx>
        <w:tc>
          <w:tcPr>
            <w:tcW w:w="1241" w:type="dxa"/>
            <w:shd w:val="clear" w:color="auto" w:fill="BEBEBE" w:themeFill="background1" w:themeFillShade="BF"/>
            <w:vAlign w:val="center"/>
          </w:tcPr>
          <w:p w14:paraId="50322BE5">
            <w:pPr>
              <w:widowControl/>
              <w:spacing w:line="360" w:lineRule="auto"/>
              <w:jc w:val="center"/>
              <w:rPr>
                <w:rFonts w:eastAsia="SimSun"/>
                <w:b/>
                <w:bCs/>
                <w:sz w:val="24"/>
                <w:szCs w:val="24"/>
                <w:lang w:eastAsia="zh-CN" w:bidi="ar"/>
              </w:rPr>
            </w:pPr>
            <w:r>
              <w:rPr>
                <w:rFonts w:eastAsia="SimSun"/>
                <w:b/>
                <w:bCs/>
                <w:sz w:val="24"/>
                <w:szCs w:val="24"/>
                <w:lang w:eastAsia="zh-CN" w:bidi="ar"/>
              </w:rPr>
              <w:t>S.No.</w:t>
            </w:r>
          </w:p>
        </w:tc>
        <w:tc>
          <w:tcPr>
            <w:tcW w:w="2543" w:type="dxa"/>
            <w:shd w:val="clear" w:color="auto" w:fill="BEBEBE" w:themeFill="background1" w:themeFillShade="BF"/>
            <w:vAlign w:val="center"/>
          </w:tcPr>
          <w:p w14:paraId="2FCAD80B">
            <w:pPr>
              <w:widowControl/>
              <w:spacing w:line="360" w:lineRule="auto"/>
              <w:jc w:val="center"/>
              <w:rPr>
                <w:rFonts w:eastAsia="SimSun"/>
                <w:b/>
                <w:bCs/>
                <w:sz w:val="24"/>
                <w:szCs w:val="24"/>
                <w:lang w:eastAsia="zh-CN" w:bidi="ar"/>
              </w:rPr>
            </w:pPr>
            <w:r>
              <w:rPr>
                <w:rFonts w:eastAsia="SimSun"/>
                <w:b/>
                <w:bCs/>
                <w:sz w:val="24"/>
                <w:szCs w:val="24"/>
                <w:lang w:eastAsia="zh-CN" w:bidi="ar"/>
              </w:rPr>
              <w:t>Hardware Component</w:t>
            </w:r>
          </w:p>
        </w:tc>
        <w:tc>
          <w:tcPr>
            <w:tcW w:w="2385" w:type="dxa"/>
            <w:shd w:val="clear" w:color="auto" w:fill="BEBEBE" w:themeFill="background1" w:themeFillShade="BF"/>
            <w:vAlign w:val="center"/>
          </w:tcPr>
          <w:p w14:paraId="13CEEE66">
            <w:pPr>
              <w:widowControl/>
              <w:spacing w:line="360" w:lineRule="auto"/>
              <w:jc w:val="center"/>
              <w:rPr>
                <w:rFonts w:eastAsia="SimSun"/>
                <w:b/>
                <w:bCs/>
                <w:sz w:val="24"/>
                <w:szCs w:val="24"/>
                <w:lang w:eastAsia="zh-CN" w:bidi="ar"/>
              </w:rPr>
            </w:pPr>
            <w:r>
              <w:rPr>
                <w:rFonts w:eastAsia="SimSun"/>
                <w:b/>
                <w:bCs/>
                <w:sz w:val="24"/>
                <w:szCs w:val="24"/>
                <w:lang w:eastAsia="zh-CN" w:bidi="ar"/>
              </w:rPr>
              <w:t>Minimum Requirement</w:t>
            </w:r>
          </w:p>
        </w:tc>
        <w:tc>
          <w:tcPr>
            <w:tcW w:w="3407" w:type="dxa"/>
            <w:shd w:val="clear" w:color="auto" w:fill="BEBEBE" w:themeFill="background1" w:themeFillShade="BF"/>
            <w:vAlign w:val="center"/>
          </w:tcPr>
          <w:p w14:paraId="049C6EB7">
            <w:pPr>
              <w:widowControl/>
              <w:spacing w:line="360" w:lineRule="auto"/>
              <w:jc w:val="center"/>
              <w:rPr>
                <w:rFonts w:eastAsia="SimSun"/>
                <w:b/>
                <w:bCs/>
                <w:sz w:val="24"/>
                <w:szCs w:val="24"/>
                <w:lang w:eastAsia="zh-CN" w:bidi="ar"/>
              </w:rPr>
            </w:pPr>
            <w:r>
              <w:rPr>
                <w:rFonts w:eastAsia="SimSun"/>
                <w:b/>
                <w:bCs/>
                <w:sz w:val="24"/>
                <w:szCs w:val="24"/>
                <w:lang w:eastAsia="zh-CN" w:bidi="ar"/>
              </w:rPr>
              <w:t>Recommended Requirement</w:t>
            </w:r>
          </w:p>
        </w:tc>
      </w:tr>
      <w:tr w14:paraId="30ECF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18A9C93C">
            <w:pPr>
              <w:widowControl w:val="0"/>
              <w:spacing w:line="360" w:lineRule="auto"/>
              <w:jc w:val="left"/>
              <w:rPr>
                <w:sz w:val="28"/>
                <w:lang w:eastAsia="en-IN"/>
              </w:rPr>
            </w:pPr>
            <w:r>
              <w:rPr>
                <w:sz w:val="28"/>
                <w:lang w:eastAsia="zh-CN"/>
              </w:rPr>
              <w:t>1</w:t>
            </w:r>
          </w:p>
        </w:tc>
        <w:tc>
          <w:tcPr>
            <w:tcW w:w="2543" w:type="dxa"/>
            <w:vAlign w:val="center"/>
          </w:tcPr>
          <w:p w14:paraId="4499BDEB">
            <w:pPr>
              <w:widowControl w:val="0"/>
              <w:spacing w:line="240" w:lineRule="auto"/>
              <w:jc w:val="left"/>
              <w:rPr>
                <w:sz w:val="28"/>
                <w:lang w:eastAsia="en-IN"/>
              </w:rPr>
            </w:pPr>
            <w:r>
              <w:rPr>
                <w:sz w:val="28"/>
                <w:lang w:eastAsia="zh-CN"/>
              </w:rPr>
              <w:t>Processor (CPU)</w:t>
            </w:r>
          </w:p>
        </w:tc>
        <w:tc>
          <w:tcPr>
            <w:tcW w:w="2385" w:type="dxa"/>
            <w:vAlign w:val="center"/>
          </w:tcPr>
          <w:p w14:paraId="5917AE47">
            <w:pPr>
              <w:widowControl w:val="0"/>
              <w:spacing w:line="240" w:lineRule="auto"/>
              <w:jc w:val="both"/>
              <w:rPr>
                <w:sz w:val="28"/>
                <w:lang w:eastAsia="en-IN"/>
              </w:rPr>
            </w:pPr>
            <w:r>
              <w:rPr>
                <w:sz w:val="28"/>
                <w:lang w:eastAsia="zh-CN"/>
              </w:rPr>
              <w:t>Dual-core, 2.5 GHz</w:t>
            </w:r>
          </w:p>
        </w:tc>
        <w:tc>
          <w:tcPr>
            <w:tcW w:w="3407" w:type="dxa"/>
            <w:vAlign w:val="center"/>
          </w:tcPr>
          <w:p w14:paraId="7C85B7E6">
            <w:pPr>
              <w:widowControl w:val="0"/>
              <w:spacing w:line="240" w:lineRule="auto"/>
              <w:jc w:val="left"/>
              <w:rPr>
                <w:sz w:val="28"/>
                <w:lang w:eastAsia="en-IN"/>
              </w:rPr>
            </w:pPr>
            <w:r>
              <w:rPr>
                <w:sz w:val="28"/>
                <w:lang w:eastAsia="zh-CN"/>
              </w:rPr>
              <w:t>Quad-core, 3.0 GHz or higher</w:t>
            </w:r>
          </w:p>
        </w:tc>
      </w:tr>
      <w:tr w14:paraId="503ED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0DF8C4EA">
            <w:pPr>
              <w:widowControl w:val="0"/>
              <w:spacing w:line="360" w:lineRule="auto"/>
              <w:jc w:val="both"/>
              <w:rPr>
                <w:sz w:val="28"/>
                <w:lang w:eastAsia="en-IN"/>
              </w:rPr>
            </w:pPr>
            <w:r>
              <w:rPr>
                <w:sz w:val="28"/>
                <w:lang w:eastAsia="zh-CN"/>
              </w:rPr>
              <w:t>2</w:t>
            </w:r>
          </w:p>
        </w:tc>
        <w:tc>
          <w:tcPr>
            <w:tcW w:w="2543" w:type="dxa"/>
            <w:vAlign w:val="center"/>
          </w:tcPr>
          <w:p w14:paraId="1BA70932">
            <w:pPr>
              <w:widowControl w:val="0"/>
              <w:spacing w:line="240" w:lineRule="auto"/>
              <w:jc w:val="left"/>
              <w:rPr>
                <w:sz w:val="28"/>
                <w:lang w:eastAsia="en-IN"/>
              </w:rPr>
            </w:pPr>
            <w:r>
              <w:rPr>
                <w:sz w:val="28"/>
                <w:lang w:eastAsia="zh-CN"/>
              </w:rPr>
              <w:t>Random Access Memory (RAM)</w:t>
            </w:r>
          </w:p>
        </w:tc>
        <w:tc>
          <w:tcPr>
            <w:tcW w:w="2385" w:type="dxa"/>
            <w:vAlign w:val="center"/>
          </w:tcPr>
          <w:p w14:paraId="721881E0">
            <w:pPr>
              <w:widowControl w:val="0"/>
              <w:spacing w:line="240" w:lineRule="auto"/>
              <w:jc w:val="both"/>
              <w:rPr>
                <w:sz w:val="28"/>
                <w:lang w:eastAsia="en-IN"/>
              </w:rPr>
            </w:pPr>
            <w:r>
              <w:rPr>
                <w:sz w:val="28"/>
                <w:lang w:eastAsia="zh-CN"/>
              </w:rPr>
              <w:t>8 GB</w:t>
            </w:r>
          </w:p>
        </w:tc>
        <w:tc>
          <w:tcPr>
            <w:tcW w:w="3407" w:type="dxa"/>
            <w:vAlign w:val="center"/>
          </w:tcPr>
          <w:p w14:paraId="313B6FDA">
            <w:pPr>
              <w:widowControl w:val="0"/>
              <w:spacing w:line="240" w:lineRule="auto"/>
              <w:jc w:val="left"/>
              <w:rPr>
                <w:sz w:val="28"/>
                <w:lang w:eastAsia="en-IN"/>
              </w:rPr>
            </w:pPr>
            <w:r>
              <w:rPr>
                <w:sz w:val="28"/>
                <w:lang w:eastAsia="zh-CN"/>
              </w:rPr>
              <w:t>16 GB or higher</w:t>
            </w:r>
          </w:p>
        </w:tc>
      </w:tr>
      <w:tr w14:paraId="53BDD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153AAB39">
            <w:pPr>
              <w:widowControl w:val="0"/>
              <w:spacing w:line="360" w:lineRule="auto"/>
              <w:jc w:val="both"/>
              <w:rPr>
                <w:sz w:val="28"/>
                <w:lang w:eastAsia="en-IN"/>
              </w:rPr>
            </w:pPr>
            <w:r>
              <w:rPr>
                <w:sz w:val="28"/>
                <w:lang w:eastAsia="zh-CN"/>
              </w:rPr>
              <w:t>3</w:t>
            </w:r>
          </w:p>
        </w:tc>
        <w:tc>
          <w:tcPr>
            <w:tcW w:w="2543" w:type="dxa"/>
            <w:vAlign w:val="center"/>
          </w:tcPr>
          <w:p w14:paraId="06C757F1">
            <w:pPr>
              <w:widowControl w:val="0"/>
              <w:spacing w:line="240" w:lineRule="auto"/>
              <w:jc w:val="left"/>
              <w:rPr>
                <w:sz w:val="28"/>
                <w:lang w:eastAsia="en-IN"/>
              </w:rPr>
            </w:pPr>
            <w:r>
              <w:rPr>
                <w:sz w:val="28"/>
                <w:lang w:eastAsia="zh-CN"/>
              </w:rPr>
              <w:t>Storage</w:t>
            </w:r>
          </w:p>
        </w:tc>
        <w:tc>
          <w:tcPr>
            <w:tcW w:w="2385" w:type="dxa"/>
            <w:vAlign w:val="center"/>
          </w:tcPr>
          <w:p w14:paraId="28856ECD">
            <w:pPr>
              <w:widowControl w:val="0"/>
              <w:spacing w:line="240" w:lineRule="auto"/>
              <w:jc w:val="both"/>
              <w:rPr>
                <w:sz w:val="28"/>
                <w:lang w:eastAsia="en-IN"/>
              </w:rPr>
            </w:pPr>
            <w:r>
              <w:rPr>
                <w:sz w:val="28"/>
                <w:lang w:eastAsia="zh-CN"/>
              </w:rPr>
              <w:t>20 GB free disk space</w:t>
            </w:r>
          </w:p>
        </w:tc>
        <w:tc>
          <w:tcPr>
            <w:tcW w:w="3407" w:type="dxa"/>
            <w:vAlign w:val="center"/>
          </w:tcPr>
          <w:p w14:paraId="21F8756F">
            <w:pPr>
              <w:widowControl w:val="0"/>
              <w:spacing w:line="240" w:lineRule="auto"/>
              <w:jc w:val="left"/>
              <w:rPr>
                <w:sz w:val="28"/>
                <w:lang w:eastAsia="en-IN"/>
              </w:rPr>
            </w:pPr>
            <w:r>
              <w:rPr>
                <w:sz w:val="28"/>
                <w:lang w:eastAsia="zh-CN"/>
              </w:rPr>
              <w:t>50 GB SSD or higher</w:t>
            </w:r>
          </w:p>
        </w:tc>
      </w:tr>
      <w:tr w14:paraId="54FC3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34FA673D">
            <w:pPr>
              <w:widowControl w:val="0"/>
              <w:spacing w:line="360" w:lineRule="auto"/>
              <w:jc w:val="both"/>
              <w:rPr>
                <w:sz w:val="28"/>
                <w:lang w:eastAsia="en-IN"/>
              </w:rPr>
            </w:pPr>
            <w:r>
              <w:rPr>
                <w:sz w:val="28"/>
                <w:lang w:eastAsia="zh-CN"/>
              </w:rPr>
              <w:t>4</w:t>
            </w:r>
          </w:p>
        </w:tc>
        <w:tc>
          <w:tcPr>
            <w:tcW w:w="2543" w:type="dxa"/>
            <w:vAlign w:val="center"/>
          </w:tcPr>
          <w:p w14:paraId="05577212">
            <w:pPr>
              <w:widowControl w:val="0"/>
              <w:spacing w:line="240" w:lineRule="auto"/>
              <w:jc w:val="left"/>
              <w:rPr>
                <w:sz w:val="28"/>
                <w:lang w:eastAsia="en-IN"/>
              </w:rPr>
            </w:pPr>
            <w:r>
              <w:rPr>
                <w:sz w:val="28"/>
                <w:lang w:eastAsia="zh-CN"/>
              </w:rPr>
              <w:t>Network Interface</w:t>
            </w:r>
          </w:p>
        </w:tc>
        <w:tc>
          <w:tcPr>
            <w:tcW w:w="2385" w:type="dxa"/>
            <w:vAlign w:val="center"/>
          </w:tcPr>
          <w:p w14:paraId="06BFC707">
            <w:pPr>
              <w:widowControl w:val="0"/>
              <w:spacing w:line="240" w:lineRule="auto"/>
              <w:jc w:val="both"/>
              <w:rPr>
                <w:sz w:val="28"/>
                <w:lang w:eastAsia="en-IN"/>
              </w:rPr>
            </w:pPr>
            <w:r>
              <w:rPr>
                <w:sz w:val="28"/>
                <w:lang w:eastAsia="zh-CN"/>
              </w:rPr>
              <w:t>100 Mbps Ethernet</w:t>
            </w:r>
          </w:p>
        </w:tc>
        <w:tc>
          <w:tcPr>
            <w:tcW w:w="3407" w:type="dxa"/>
            <w:vAlign w:val="center"/>
          </w:tcPr>
          <w:p w14:paraId="06430AA6">
            <w:pPr>
              <w:widowControl w:val="0"/>
              <w:spacing w:line="240" w:lineRule="auto"/>
              <w:jc w:val="left"/>
              <w:rPr>
                <w:sz w:val="28"/>
                <w:lang w:eastAsia="en-IN"/>
              </w:rPr>
            </w:pPr>
            <w:r>
              <w:rPr>
                <w:sz w:val="28"/>
                <w:lang w:eastAsia="zh-CN"/>
              </w:rPr>
              <w:t>1 Gbps Ethernet for live event capture</w:t>
            </w:r>
          </w:p>
        </w:tc>
      </w:tr>
      <w:tr w14:paraId="0F846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69F5D358">
            <w:pPr>
              <w:widowControl w:val="0"/>
              <w:spacing w:line="360" w:lineRule="auto"/>
              <w:jc w:val="both"/>
              <w:rPr>
                <w:sz w:val="28"/>
                <w:lang w:eastAsia="en-IN"/>
              </w:rPr>
            </w:pPr>
            <w:r>
              <w:rPr>
                <w:sz w:val="28"/>
                <w:lang w:eastAsia="zh-CN"/>
              </w:rPr>
              <w:t>5</w:t>
            </w:r>
          </w:p>
        </w:tc>
        <w:tc>
          <w:tcPr>
            <w:tcW w:w="2543" w:type="dxa"/>
            <w:vAlign w:val="center"/>
          </w:tcPr>
          <w:p w14:paraId="16B9C9B0">
            <w:pPr>
              <w:widowControl w:val="0"/>
              <w:spacing w:line="240" w:lineRule="auto"/>
              <w:jc w:val="left"/>
              <w:rPr>
                <w:sz w:val="28"/>
                <w:lang w:eastAsia="en-IN"/>
              </w:rPr>
            </w:pPr>
            <w:r>
              <w:rPr>
                <w:sz w:val="28"/>
                <w:lang w:eastAsia="zh-CN"/>
              </w:rPr>
              <w:t>Monitoring Server</w:t>
            </w:r>
          </w:p>
        </w:tc>
        <w:tc>
          <w:tcPr>
            <w:tcW w:w="2385" w:type="dxa"/>
            <w:vAlign w:val="center"/>
          </w:tcPr>
          <w:p w14:paraId="707B1BEF">
            <w:pPr>
              <w:widowControl w:val="0"/>
              <w:spacing w:line="240" w:lineRule="auto"/>
              <w:jc w:val="both"/>
              <w:rPr>
                <w:sz w:val="28"/>
                <w:lang w:eastAsia="en-IN"/>
              </w:rPr>
            </w:pPr>
            <w:r>
              <w:rPr>
                <w:sz w:val="28"/>
                <w:lang w:eastAsia="zh-CN"/>
              </w:rPr>
              <w:t>2-core CPU server</w:t>
            </w:r>
          </w:p>
        </w:tc>
        <w:tc>
          <w:tcPr>
            <w:tcW w:w="3407" w:type="dxa"/>
            <w:vAlign w:val="center"/>
          </w:tcPr>
          <w:p w14:paraId="3DEB861A">
            <w:pPr>
              <w:widowControl w:val="0"/>
              <w:spacing w:line="240" w:lineRule="auto"/>
              <w:jc w:val="left"/>
              <w:rPr>
                <w:sz w:val="28"/>
                <w:lang w:eastAsia="en-IN"/>
              </w:rPr>
            </w:pPr>
            <w:r>
              <w:rPr>
                <w:sz w:val="28"/>
                <w:lang w:eastAsia="zh-CN"/>
              </w:rPr>
              <w:t>4-core or higher server</w:t>
            </w:r>
          </w:p>
        </w:tc>
      </w:tr>
      <w:tr w14:paraId="4FD8E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660B1F12">
            <w:pPr>
              <w:widowControl w:val="0"/>
              <w:spacing w:line="360" w:lineRule="auto"/>
              <w:jc w:val="both"/>
              <w:rPr>
                <w:sz w:val="28"/>
                <w:lang w:eastAsia="en-IN"/>
              </w:rPr>
            </w:pPr>
            <w:r>
              <w:rPr>
                <w:sz w:val="28"/>
                <w:lang w:eastAsia="zh-CN"/>
              </w:rPr>
              <w:t>6</w:t>
            </w:r>
          </w:p>
        </w:tc>
        <w:tc>
          <w:tcPr>
            <w:tcW w:w="2543" w:type="dxa"/>
            <w:vAlign w:val="center"/>
          </w:tcPr>
          <w:p w14:paraId="53B3D778">
            <w:pPr>
              <w:widowControl w:val="0"/>
              <w:spacing w:line="240" w:lineRule="auto"/>
              <w:jc w:val="left"/>
              <w:rPr>
                <w:sz w:val="28"/>
                <w:lang w:eastAsia="en-IN"/>
              </w:rPr>
            </w:pPr>
            <w:r>
              <w:rPr>
                <w:sz w:val="28"/>
                <w:lang w:eastAsia="zh-CN"/>
              </w:rPr>
              <w:t>File Server / Monitored Storage</w:t>
            </w:r>
          </w:p>
        </w:tc>
        <w:tc>
          <w:tcPr>
            <w:tcW w:w="2385" w:type="dxa"/>
            <w:vAlign w:val="center"/>
          </w:tcPr>
          <w:p w14:paraId="355DFFF2">
            <w:pPr>
              <w:widowControl w:val="0"/>
              <w:spacing w:line="240" w:lineRule="auto"/>
              <w:jc w:val="both"/>
              <w:rPr>
                <w:sz w:val="28"/>
                <w:lang w:eastAsia="en-IN"/>
              </w:rPr>
            </w:pPr>
            <w:r>
              <w:rPr>
                <w:sz w:val="28"/>
                <w:lang w:eastAsia="zh-CN"/>
              </w:rPr>
              <w:t>100 GB available storage</w:t>
            </w:r>
          </w:p>
        </w:tc>
        <w:tc>
          <w:tcPr>
            <w:tcW w:w="3407" w:type="dxa"/>
            <w:vAlign w:val="center"/>
          </w:tcPr>
          <w:p w14:paraId="7230A939">
            <w:pPr>
              <w:widowControl w:val="0"/>
              <w:spacing w:line="240" w:lineRule="auto"/>
              <w:jc w:val="left"/>
              <w:rPr>
                <w:sz w:val="28"/>
                <w:lang w:eastAsia="en-IN"/>
              </w:rPr>
            </w:pPr>
            <w:r>
              <w:rPr>
                <w:sz w:val="28"/>
                <w:lang w:eastAsia="zh-CN"/>
              </w:rPr>
              <w:t>500 GB or higher, depending on monitored data volume</w:t>
            </w:r>
          </w:p>
        </w:tc>
      </w:tr>
      <w:tr w14:paraId="6803F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4F0B7FBD">
            <w:pPr>
              <w:widowControl w:val="0"/>
              <w:spacing w:line="360" w:lineRule="auto"/>
              <w:jc w:val="both"/>
              <w:rPr>
                <w:sz w:val="28"/>
                <w:lang w:eastAsia="en-IN"/>
              </w:rPr>
            </w:pPr>
            <w:r>
              <w:rPr>
                <w:sz w:val="28"/>
                <w:lang w:eastAsia="zh-CN"/>
              </w:rPr>
              <w:t>7</w:t>
            </w:r>
          </w:p>
        </w:tc>
        <w:tc>
          <w:tcPr>
            <w:tcW w:w="2543" w:type="dxa"/>
            <w:vAlign w:val="center"/>
          </w:tcPr>
          <w:p w14:paraId="073067B4">
            <w:pPr>
              <w:widowControl w:val="0"/>
              <w:spacing w:line="240" w:lineRule="auto"/>
              <w:jc w:val="left"/>
              <w:rPr>
                <w:sz w:val="28"/>
                <w:lang w:eastAsia="en-IN"/>
              </w:rPr>
            </w:pPr>
            <w:r>
              <w:rPr>
                <w:sz w:val="28"/>
                <w:lang w:eastAsia="zh-CN"/>
              </w:rPr>
              <w:t>Network Adapter</w:t>
            </w:r>
          </w:p>
        </w:tc>
        <w:tc>
          <w:tcPr>
            <w:tcW w:w="2385" w:type="dxa"/>
            <w:vAlign w:val="center"/>
          </w:tcPr>
          <w:p w14:paraId="67072966">
            <w:pPr>
              <w:widowControl w:val="0"/>
              <w:spacing w:line="240" w:lineRule="auto"/>
              <w:jc w:val="both"/>
              <w:rPr>
                <w:sz w:val="28"/>
                <w:lang w:eastAsia="en-IN"/>
              </w:rPr>
            </w:pPr>
            <w:r>
              <w:rPr>
                <w:sz w:val="28"/>
                <w:lang w:eastAsia="zh-CN"/>
              </w:rPr>
              <w:t>Standard Ethernet or Wi-Fi adapter</w:t>
            </w:r>
          </w:p>
        </w:tc>
        <w:tc>
          <w:tcPr>
            <w:tcW w:w="3407" w:type="dxa"/>
            <w:vAlign w:val="center"/>
          </w:tcPr>
          <w:p w14:paraId="18CC1310">
            <w:pPr>
              <w:widowControl w:val="0"/>
              <w:spacing w:line="240" w:lineRule="auto"/>
              <w:jc w:val="left"/>
              <w:rPr>
                <w:sz w:val="28"/>
                <w:lang w:eastAsia="en-IN"/>
              </w:rPr>
            </w:pPr>
            <w:r>
              <w:rPr>
                <w:sz w:val="28"/>
                <w:lang w:eastAsia="zh-CN"/>
              </w:rPr>
              <w:t>Gigabit Ethernet adapter</w:t>
            </w:r>
          </w:p>
        </w:tc>
      </w:tr>
      <w:tr w14:paraId="057D1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7BB17261">
            <w:pPr>
              <w:widowControl w:val="0"/>
              <w:spacing w:line="360" w:lineRule="auto"/>
              <w:jc w:val="both"/>
              <w:rPr>
                <w:sz w:val="28"/>
                <w:lang w:eastAsia="en-IN"/>
              </w:rPr>
            </w:pPr>
            <w:r>
              <w:rPr>
                <w:sz w:val="28"/>
                <w:lang w:eastAsia="zh-CN"/>
              </w:rPr>
              <w:t>8</w:t>
            </w:r>
          </w:p>
        </w:tc>
        <w:tc>
          <w:tcPr>
            <w:tcW w:w="2543" w:type="dxa"/>
            <w:vAlign w:val="center"/>
          </w:tcPr>
          <w:p w14:paraId="617DF949">
            <w:pPr>
              <w:widowControl w:val="0"/>
              <w:spacing w:line="240" w:lineRule="auto"/>
              <w:jc w:val="left"/>
              <w:rPr>
                <w:sz w:val="28"/>
                <w:lang w:eastAsia="en-IN"/>
              </w:rPr>
            </w:pPr>
            <w:r>
              <w:rPr>
                <w:sz w:val="28"/>
                <w:lang w:eastAsia="zh-CN"/>
              </w:rPr>
              <w:t>Data Collection and Processing</w:t>
            </w:r>
          </w:p>
        </w:tc>
        <w:tc>
          <w:tcPr>
            <w:tcW w:w="2385" w:type="dxa"/>
            <w:vAlign w:val="center"/>
          </w:tcPr>
          <w:p w14:paraId="38D13DB6">
            <w:pPr>
              <w:widowControl w:val="0"/>
              <w:spacing w:line="240" w:lineRule="auto"/>
              <w:jc w:val="both"/>
              <w:rPr>
                <w:sz w:val="28"/>
                <w:lang w:eastAsia="en-IN"/>
              </w:rPr>
            </w:pPr>
            <w:r>
              <w:rPr>
                <w:sz w:val="28"/>
                <w:lang w:eastAsia="zh-CN"/>
              </w:rPr>
              <w:t>Basic server capable of collecting file-operation events</w:t>
            </w:r>
          </w:p>
        </w:tc>
        <w:tc>
          <w:tcPr>
            <w:tcW w:w="3407" w:type="dxa"/>
            <w:vAlign w:val="center"/>
          </w:tcPr>
          <w:p w14:paraId="4E3940F0">
            <w:pPr>
              <w:widowControl w:val="0"/>
              <w:spacing w:line="240" w:lineRule="auto"/>
              <w:jc w:val="left"/>
              <w:rPr>
                <w:sz w:val="28"/>
                <w:lang w:eastAsia="en-IN"/>
              </w:rPr>
            </w:pPr>
            <w:r>
              <w:rPr>
                <w:sz w:val="28"/>
                <w:lang w:eastAsia="zh-CN"/>
              </w:rPr>
              <w:t>Dedicated server resources for continuous event collection and processing</w:t>
            </w:r>
          </w:p>
        </w:tc>
      </w:tr>
      <w:tr w14:paraId="0C4EE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2C0873F0">
            <w:pPr>
              <w:widowControl w:val="0"/>
              <w:spacing w:line="360" w:lineRule="auto"/>
              <w:jc w:val="both"/>
              <w:rPr>
                <w:sz w:val="28"/>
                <w:lang w:eastAsia="zh-CN"/>
              </w:rPr>
            </w:pPr>
            <w:r>
              <w:rPr>
                <w:sz w:val="28"/>
                <w:lang w:eastAsia="zh-CN"/>
              </w:rPr>
              <w:t>9</w:t>
            </w:r>
          </w:p>
        </w:tc>
        <w:tc>
          <w:tcPr>
            <w:tcW w:w="2543" w:type="dxa"/>
            <w:vAlign w:val="center"/>
          </w:tcPr>
          <w:p w14:paraId="5B548AB0">
            <w:pPr>
              <w:widowControl w:val="0"/>
              <w:spacing w:line="240" w:lineRule="auto"/>
              <w:jc w:val="left"/>
              <w:rPr>
                <w:sz w:val="28"/>
                <w:lang w:eastAsia="zh-CN"/>
              </w:rPr>
            </w:pPr>
            <w:r>
              <w:rPr>
                <w:sz w:val="28"/>
                <w:lang w:eastAsia="zh-CN"/>
              </w:rPr>
              <w:t>Model Execution Hardware</w:t>
            </w:r>
          </w:p>
        </w:tc>
        <w:tc>
          <w:tcPr>
            <w:tcW w:w="2385" w:type="dxa"/>
            <w:vAlign w:val="center"/>
          </w:tcPr>
          <w:p w14:paraId="55596D3C">
            <w:pPr>
              <w:widowControl w:val="0"/>
              <w:spacing w:line="240" w:lineRule="auto"/>
              <w:jc w:val="both"/>
              <w:rPr>
                <w:sz w:val="28"/>
                <w:lang w:eastAsia="zh-CN"/>
              </w:rPr>
            </w:pPr>
            <w:r>
              <w:rPr>
                <w:sz w:val="28"/>
                <w:lang w:eastAsia="zh-CN"/>
              </w:rPr>
              <w:t>Standard CPU for machine-learning inference</w:t>
            </w:r>
          </w:p>
        </w:tc>
        <w:tc>
          <w:tcPr>
            <w:tcW w:w="3407" w:type="dxa"/>
            <w:vAlign w:val="center"/>
          </w:tcPr>
          <w:p w14:paraId="62C074D5">
            <w:pPr>
              <w:widowControl w:val="0"/>
              <w:spacing w:line="240" w:lineRule="auto"/>
              <w:jc w:val="left"/>
              <w:rPr>
                <w:sz w:val="28"/>
                <w:lang w:eastAsia="zh-CN"/>
              </w:rPr>
            </w:pPr>
            <w:r>
              <w:rPr>
                <w:sz w:val="28"/>
                <w:lang w:eastAsia="zh-CN"/>
              </w:rPr>
              <w:t>Multi-core CPU for efficient execution of the five classification models</w:t>
            </w:r>
          </w:p>
        </w:tc>
      </w:tr>
      <w:tr w14:paraId="015B8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1" w:type="dxa"/>
            <w:vAlign w:val="center"/>
          </w:tcPr>
          <w:p w14:paraId="4A197DBB">
            <w:pPr>
              <w:widowControl w:val="0"/>
              <w:spacing w:line="360" w:lineRule="auto"/>
              <w:jc w:val="both"/>
              <w:rPr>
                <w:sz w:val="28"/>
                <w:lang w:eastAsia="zh-CN"/>
              </w:rPr>
            </w:pPr>
            <w:r>
              <w:rPr>
                <w:sz w:val="28"/>
                <w:lang w:eastAsia="zh-CN"/>
              </w:rPr>
              <w:t>10</w:t>
            </w:r>
          </w:p>
        </w:tc>
        <w:tc>
          <w:tcPr>
            <w:tcW w:w="2543" w:type="dxa"/>
            <w:vAlign w:val="center"/>
          </w:tcPr>
          <w:p w14:paraId="4EF95223">
            <w:pPr>
              <w:widowControl w:val="0"/>
              <w:spacing w:line="240" w:lineRule="auto"/>
              <w:jc w:val="left"/>
              <w:rPr>
                <w:sz w:val="28"/>
                <w:lang w:eastAsia="zh-CN"/>
              </w:rPr>
            </w:pPr>
            <w:r>
              <w:rPr>
                <w:sz w:val="28"/>
                <w:lang w:eastAsia="zh-CN"/>
              </w:rPr>
              <w:t>Backup and Recovery Storage</w:t>
            </w:r>
          </w:p>
        </w:tc>
        <w:tc>
          <w:tcPr>
            <w:tcW w:w="2385" w:type="dxa"/>
            <w:vAlign w:val="center"/>
          </w:tcPr>
          <w:p w14:paraId="4DD0F56F">
            <w:pPr>
              <w:widowControl w:val="0"/>
              <w:spacing w:line="240" w:lineRule="auto"/>
              <w:jc w:val="both"/>
              <w:rPr>
                <w:sz w:val="28"/>
                <w:lang w:eastAsia="zh-CN"/>
              </w:rPr>
            </w:pPr>
            <w:r>
              <w:rPr>
                <w:sz w:val="28"/>
                <w:lang w:eastAsia="zh-CN"/>
              </w:rPr>
              <w:t>10 GB available for logs and configuration backups</w:t>
            </w:r>
          </w:p>
        </w:tc>
        <w:tc>
          <w:tcPr>
            <w:tcW w:w="3407" w:type="dxa"/>
            <w:vAlign w:val="center"/>
          </w:tcPr>
          <w:p w14:paraId="646492AA">
            <w:pPr>
              <w:widowControl w:val="0"/>
              <w:spacing w:line="240" w:lineRule="auto"/>
              <w:jc w:val="left"/>
              <w:rPr>
                <w:sz w:val="28"/>
                <w:lang w:eastAsia="zh-CN"/>
              </w:rPr>
            </w:pPr>
            <w:r>
              <w:rPr>
                <w:sz w:val="28"/>
                <w:lang w:eastAsia="zh-CN"/>
              </w:rPr>
              <w:t>50 GB or higher for logs, model versions, and recovery data</w:t>
            </w:r>
          </w:p>
        </w:tc>
      </w:tr>
    </w:tbl>
    <w:p w14:paraId="2E698B79">
      <w:pPr>
        <w:spacing w:before="160" w:after="80" w:line="360" w:lineRule="auto"/>
        <w:jc w:val="center"/>
        <w:rPr>
          <w:b/>
          <w:szCs w:val="24"/>
        </w:rPr>
      </w:pPr>
      <w:r>
        <w:rPr>
          <w:b/>
          <w:szCs w:val="24"/>
        </w:rPr>
        <w:t>Table 4.</w:t>
      </w:r>
      <w:r>
        <w:rPr>
          <w:rFonts w:hint="default"/>
          <w:b/>
          <w:szCs w:val="24"/>
          <w:lang w:val="en-US"/>
        </w:rPr>
        <w:t>1</w:t>
      </w:r>
      <w:r>
        <w:rPr>
          <w:b/>
          <w:szCs w:val="24"/>
        </w:rPr>
        <w:t>: Hardware requirements</w:t>
      </w:r>
    </w:p>
    <w:p w14:paraId="0338EB30">
      <w:pPr>
        <w:spacing w:before="120" w:after="120" w:line="360" w:lineRule="auto"/>
        <w:ind w:firstLine="280" w:firstLineChars="100"/>
        <w:jc w:val="both"/>
      </w:pPr>
      <w:r>
        <w:rPr>
          <w:b/>
          <w:sz w:val="28"/>
        </w:rPr>
        <w:t>4.2 Software Requirements</w:t>
      </w:r>
    </w:p>
    <w:p w14:paraId="39A34BE5">
      <w:pPr>
        <w:tabs>
          <w:tab w:val="left" w:pos="0"/>
          <w:tab w:val="left" w:pos="567"/>
        </w:tabs>
        <w:spacing w:line="360" w:lineRule="auto"/>
        <w:ind w:left="281" w:firstLine="439"/>
        <w:jc w:val="both"/>
        <w:rPr>
          <w:sz w:val="28"/>
        </w:rPr>
      </w:pPr>
      <w:r>
        <w:rPr>
          <w:sz w:val="28"/>
        </w:rPr>
        <w:t>All software is open source and runs on the host that owns the         monitored shares, so no additional machine, hypervisor or network service is introduced by the detector itself. The versions below are those used to produce the results in this report and are stated as minimum versions, so that a deployment may substitute a later release once the test suite has been re-run. The stack divides cleanly into three layers. NumPy, pandas and scipy provide the numerical, tabular and statistical foundation on which the feature extractor and the evaluation metrics are built. scikit-learn supplies the Decision Tree, Random Forest, support vector machine, AdaBoost and logistic regression estimators together with cross-validation, the cost-weighted fitting interface and the metric suite, while XGBoost supplies the regularised gradient-boosting model that performs best in the base paper. watchdog and Flask complete the deployment surface, the first delivering genuine operating-system file events for the live capture path and the second serving the REST interface and the operator dashboard. joblib is used to persist the trained artefacts and to parallelise the training folds.</w:t>
      </w:r>
    </w:p>
    <w:tbl>
      <w:tblPr>
        <w:tblStyle w:val="12"/>
        <w:tblW w:w="9064" w:type="dxa"/>
        <w:jc w:val="center"/>
        <w:tblLayout w:type="fixed"/>
        <w:tblCellMar>
          <w:top w:w="0" w:type="dxa"/>
          <w:left w:w="108" w:type="dxa"/>
          <w:bottom w:w="0" w:type="dxa"/>
          <w:right w:w="108" w:type="dxa"/>
        </w:tblCellMar>
      </w:tblPr>
      <w:tblGrid>
        <w:gridCol w:w="919"/>
        <w:gridCol w:w="1498"/>
        <w:gridCol w:w="1843"/>
        <w:gridCol w:w="4804"/>
      </w:tblGrid>
      <w:tr w14:paraId="03D68853">
        <w:tblPrEx>
          <w:tblCellMar>
            <w:top w:w="0" w:type="dxa"/>
            <w:left w:w="108" w:type="dxa"/>
            <w:bottom w:w="0" w:type="dxa"/>
            <w:right w:w="108" w:type="dxa"/>
          </w:tblCellMar>
        </w:tblPrEx>
        <w:trPr>
          <w:tblHeader/>
          <w:jc w:val="center"/>
        </w:trPr>
        <w:tc>
          <w:tcPr>
            <w:tcW w:w="919" w:type="dxa"/>
            <w:tcBorders>
              <w:top w:val="single" w:color="auto" w:sz="6" w:space="0"/>
              <w:left w:val="single" w:color="auto" w:sz="6" w:space="0"/>
              <w:bottom w:val="single" w:color="auto" w:sz="6" w:space="0"/>
              <w:right w:val="single" w:color="auto" w:sz="6" w:space="0"/>
            </w:tcBorders>
            <w:shd w:val="clear" w:color="auto" w:fill="D9D9D9"/>
            <w:vAlign w:val="center"/>
          </w:tcPr>
          <w:p w14:paraId="48A35BE9">
            <w:pPr>
              <w:spacing w:line="360" w:lineRule="auto"/>
              <w:jc w:val="center"/>
              <w:rPr>
                <w:szCs w:val="24"/>
              </w:rPr>
            </w:pPr>
            <w:r>
              <w:rPr>
                <w:rFonts w:eastAsia="SimSun"/>
                <w:b/>
                <w:bCs/>
                <w:szCs w:val="24"/>
                <w:lang w:eastAsia="zh-CN" w:bidi="ar"/>
              </w:rPr>
              <w:t>S. No.</w:t>
            </w:r>
          </w:p>
        </w:tc>
        <w:tc>
          <w:tcPr>
            <w:tcW w:w="1498" w:type="dxa"/>
            <w:tcBorders>
              <w:top w:val="single" w:color="auto" w:sz="6" w:space="0"/>
              <w:left w:val="single" w:color="auto" w:sz="6" w:space="0"/>
              <w:bottom w:val="single" w:color="auto" w:sz="6" w:space="0"/>
              <w:right w:val="single" w:color="auto" w:sz="6" w:space="0"/>
            </w:tcBorders>
            <w:shd w:val="clear" w:color="auto" w:fill="D9D9D9"/>
            <w:vAlign w:val="center"/>
          </w:tcPr>
          <w:p w14:paraId="3E09C5EC">
            <w:pPr>
              <w:spacing w:line="360" w:lineRule="auto"/>
              <w:jc w:val="center"/>
              <w:rPr>
                <w:szCs w:val="24"/>
              </w:rPr>
            </w:pPr>
            <w:r>
              <w:rPr>
                <w:rFonts w:eastAsia="SimSun"/>
                <w:b/>
                <w:bCs/>
                <w:szCs w:val="24"/>
                <w:lang w:eastAsia="zh-CN" w:bidi="ar"/>
              </w:rPr>
              <w:t>Component</w:t>
            </w:r>
          </w:p>
        </w:tc>
        <w:tc>
          <w:tcPr>
            <w:tcW w:w="1843" w:type="dxa"/>
            <w:tcBorders>
              <w:top w:val="single" w:color="auto" w:sz="6" w:space="0"/>
              <w:left w:val="single" w:color="auto" w:sz="6" w:space="0"/>
              <w:bottom w:val="single" w:color="auto" w:sz="6" w:space="0"/>
              <w:right w:val="single" w:color="auto" w:sz="6" w:space="0"/>
            </w:tcBorders>
            <w:shd w:val="clear" w:color="auto" w:fill="D9D9D9"/>
            <w:vAlign w:val="center"/>
          </w:tcPr>
          <w:p w14:paraId="17FAC521">
            <w:pPr>
              <w:spacing w:line="360" w:lineRule="auto"/>
              <w:jc w:val="center"/>
              <w:rPr>
                <w:szCs w:val="24"/>
              </w:rPr>
            </w:pPr>
            <w:r>
              <w:rPr>
                <w:rFonts w:eastAsia="SimSun"/>
                <w:b/>
                <w:bCs/>
                <w:szCs w:val="24"/>
                <w:lang w:eastAsia="zh-CN" w:bidi="ar"/>
              </w:rPr>
              <w:t>Version</w:t>
            </w:r>
          </w:p>
        </w:tc>
        <w:tc>
          <w:tcPr>
            <w:tcW w:w="4804" w:type="dxa"/>
            <w:tcBorders>
              <w:top w:val="single" w:color="auto" w:sz="6" w:space="0"/>
              <w:left w:val="single" w:color="auto" w:sz="6" w:space="0"/>
              <w:bottom w:val="single" w:color="auto" w:sz="6" w:space="0"/>
              <w:right w:val="single" w:color="auto" w:sz="6" w:space="0"/>
            </w:tcBorders>
            <w:shd w:val="clear" w:color="auto" w:fill="D9D9D9"/>
            <w:vAlign w:val="center"/>
          </w:tcPr>
          <w:p w14:paraId="0A694707">
            <w:pPr>
              <w:spacing w:line="360" w:lineRule="auto"/>
              <w:jc w:val="center"/>
              <w:rPr>
                <w:rFonts w:eastAsia="SimSun"/>
                <w:b/>
                <w:bCs/>
                <w:szCs w:val="24"/>
                <w:lang w:eastAsia="zh-CN" w:bidi="ar"/>
              </w:rPr>
            </w:pPr>
            <w:r>
              <w:rPr>
                <w:rFonts w:eastAsia="SimSun"/>
                <w:b/>
                <w:bCs/>
                <w:szCs w:val="24"/>
                <w:lang w:eastAsia="zh-CN" w:bidi="ar"/>
              </w:rPr>
              <w:t>Role</w:t>
            </w:r>
          </w:p>
        </w:tc>
      </w:tr>
      <w:tr w14:paraId="0D16EC01">
        <w:tblPrEx>
          <w:tblCellMar>
            <w:top w:w="0" w:type="dxa"/>
            <w:left w:w="108" w:type="dxa"/>
            <w:bottom w:w="0" w:type="dxa"/>
            <w:right w:w="108" w:type="dxa"/>
          </w:tblCellMar>
        </w:tblPrEx>
        <w:trPr>
          <w:jc w:val="center"/>
        </w:trPr>
        <w:tc>
          <w:tcPr>
            <w:tcW w:w="919" w:type="dxa"/>
            <w:tcBorders>
              <w:top w:val="single" w:color="auto" w:sz="6" w:space="0"/>
              <w:left w:val="single" w:color="auto" w:sz="6" w:space="0"/>
              <w:bottom w:val="single" w:color="auto" w:sz="6" w:space="0"/>
              <w:right w:val="single" w:color="auto" w:sz="6" w:space="0"/>
            </w:tcBorders>
            <w:vAlign w:val="center"/>
          </w:tcPr>
          <w:p w14:paraId="58389525">
            <w:pPr>
              <w:spacing w:line="360" w:lineRule="auto"/>
              <w:rPr>
                <w:szCs w:val="24"/>
              </w:rPr>
            </w:pPr>
            <w:r>
              <w:rPr>
                <w:rFonts w:eastAsia="SimSun"/>
                <w:szCs w:val="24"/>
                <w:lang w:eastAsia="zh-CN" w:bidi="ar"/>
              </w:rPr>
              <w:t>1</w:t>
            </w:r>
          </w:p>
        </w:tc>
        <w:tc>
          <w:tcPr>
            <w:tcW w:w="1498" w:type="dxa"/>
            <w:tcBorders>
              <w:top w:val="single" w:color="auto" w:sz="6" w:space="0"/>
              <w:left w:val="single" w:color="auto" w:sz="6" w:space="0"/>
              <w:bottom w:val="single" w:color="auto" w:sz="6" w:space="0"/>
              <w:right w:val="single" w:color="auto" w:sz="6" w:space="0"/>
            </w:tcBorders>
            <w:vAlign w:val="center"/>
          </w:tcPr>
          <w:p w14:paraId="0DBE80BD">
            <w:pPr>
              <w:spacing w:line="360" w:lineRule="auto"/>
              <w:rPr>
                <w:szCs w:val="24"/>
              </w:rPr>
            </w:pPr>
            <w:r>
              <w:rPr>
                <w:rFonts w:eastAsia="SimSun"/>
                <w:szCs w:val="24"/>
                <w:lang w:eastAsia="zh-CN" w:bidi="ar"/>
              </w:rPr>
              <w:t>Operating System (Linux)</w:t>
            </w:r>
          </w:p>
        </w:tc>
        <w:tc>
          <w:tcPr>
            <w:tcW w:w="1843" w:type="dxa"/>
            <w:tcBorders>
              <w:top w:val="single" w:color="auto" w:sz="6" w:space="0"/>
              <w:left w:val="single" w:color="auto" w:sz="6" w:space="0"/>
              <w:bottom w:val="single" w:color="auto" w:sz="6" w:space="0"/>
              <w:right w:val="single" w:color="auto" w:sz="6" w:space="0"/>
            </w:tcBorders>
            <w:vAlign w:val="center"/>
          </w:tcPr>
          <w:p w14:paraId="605D9366">
            <w:pPr>
              <w:spacing w:line="360" w:lineRule="auto"/>
              <w:rPr>
                <w:szCs w:val="24"/>
              </w:rPr>
            </w:pPr>
            <w:r>
              <w:rPr>
                <w:rFonts w:eastAsia="SimSun"/>
                <w:szCs w:val="24"/>
                <w:lang w:eastAsia="zh-CN" w:bidi="ar"/>
              </w:rPr>
              <w:t>Ubuntu 22.04 LTS or later</w:t>
            </w:r>
          </w:p>
        </w:tc>
        <w:tc>
          <w:tcPr>
            <w:tcW w:w="4804" w:type="dxa"/>
            <w:tcBorders>
              <w:top w:val="single" w:color="auto" w:sz="6" w:space="0"/>
              <w:left w:val="single" w:color="auto" w:sz="6" w:space="0"/>
              <w:bottom w:val="single" w:color="auto" w:sz="6" w:space="0"/>
              <w:right w:val="single" w:color="auto" w:sz="6" w:space="0"/>
            </w:tcBorders>
            <w:vAlign w:val="center"/>
          </w:tcPr>
          <w:p w14:paraId="00EC8780">
            <w:pPr>
              <w:spacing w:line="360" w:lineRule="auto"/>
              <w:rPr>
                <w:rFonts w:eastAsia="SimSun"/>
                <w:szCs w:val="24"/>
                <w:lang w:eastAsia="zh-CN" w:bidi="ar"/>
              </w:rPr>
            </w:pPr>
            <w:r>
              <w:rPr>
                <w:rFonts w:eastAsia="SimSun"/>
                <w:szCs w:val="24"/>
                <w:lang w:eastAsia="zh-CN" w:bidi="ar"/>
              </w:rPr>
              <w:t>Provides the environment for server-side monitoring and execution.</w:t>
            </w:r>
          </w:p>
        </w:tc>
      </w:tr>
      <w:tr w14:paraId="33766CD9">
        <w:tblPrEx>
          <w:tblCellMar>
            <w:top w:w="0" w:type="dxa"/>
            <w:left w:w="108" w:type="dxa"/>
            <w:bottom w:w="0" w:type="dxa"/>
            <w:right w:w="108" w:type="dxa"/>
          </w:tblCellMar>
        </w:tblPrEx>
        <w:trPr>
          <w:jc w:val="center"/>
        </w:trPr>
        <w:tc>
          <w:tcPr>
            <w:tcW w:w="919" w:type="dxa"/>
            <w:tcBorders>
              <w:top w:val="single" w:color="auto" w:sz="6" w:space="0"/>
              <w:left w:val="single" w:color="auto" w:sz="6" w:space="0"/>
              <w:bottom w:val="single" w:color="auto" w:sz="6" w:space="0"/>
              <w:right w:val="single" w:color="auto" w:sz="6" w:space="0"/>
            </w:tcBorders>
            <w:vAlign w:val="center"/>
          </w:tcPr>
          <w:p w14:paraId="4368A62D">
            <w:pPr>
              <w:spacing w:line="360" w:lineRule="auto"/>
              <w:rPr>
                <w:szCs w:val="24"/>
              </w:rPr>
            </w:pPr>
            <w:r>
              <w:rPr>
                <w:rFonts w:eastAsia="SimSun"/>
                <w:szCs w:val="24"/>
                <w:lang w:eastAsia="zh-CN" w:bidi="ar"/>
              </w:rPr>
              <w:t>2</w:t>
            </w:r>
          </w:p>
        </w:tc>
        <w:tc>
          <w:tcPr>
            <w:tcW w:w="1498" w:type="dxa"/>
            <w:tcBorders>
              <w:top w:val="single" w:color="auto" w:sz="6" w:space="0"/>
              <w:left w:val="single" w:color="auto" w:sz="6" w:space="0"/>
              <w:bottom w:val="single" w:color="auto" w:sz="6" w:space="0"/>
              <w:right w:val="single" w:color="auto" w:sz="6" w:space="0"/>
            </w:tcBorders>
            <w:vAlign w:val="center"/>
          </w:tcPr>
          <w:p w14:paraId="20BBDA17">
            <w:pPr>
              <w:spacing w:line="360" w:lineRule="auto"/>
              <w:rPr>
                <w:szCs w:val="24"/>
              </w:rPr>
            </w:pPr>
            <w:r>
              <w:rPr>
                <w:rFonts w:eastAsia="SimSun"/>
                <w:szCs w:val="24"/>
                <w:lang w:eastAsia="zh-CN" w:bidi="ar"/>
              </w:rPr>
              <w:t>imbalanced-learn</w:t>
            </w:r>
          </w:p>
        </w:tc>
        <w:tc>
          <w:tcPr>
            <w:tcW w:w="1843" w:type="dxa"/>
            <w:tcBorders>
              <w:top w:val="single" w:color="auto" w:sz="6" w:space="0"/>
              <w:left w:val="single" w:color="auto" w:sz="6" w:space="0"/>
              <w:bottom w:val="single" w:color="auto" w:sz="6" w:space="0"/>
              <w:right w:val="single" w:color="auto" w:sz="6" w:space="0"/>
            </w:tcBorders>
            <w:vAlign w:val="center"/>
          </w:tcPr>
          <w:p w14:paraId="61AA55F5">
            <w:pPr>
              <w:spacing w:line="360" w:lineRule="auto"/>
              <w:rPr>
                <w:szCs w:val="24"/>
              </w:rPr>
            </w:pPr>
            <w:r>
              <w:rPr>
                <w:rFonts w:eastAsia="SimSun"/>
                <w:szCs w:val="24"/>
                <w:lang w:eastAsia="zh-CN" w:bidi="ar"/>
              </w:rPr>
              <w:t>0.12 or later</w:t>
            </w:r>
          </w:p>
        </w:tc>
        <w:tc>
          <w:tcPr>
            <w:tcW w:w="4804" w:type="dxa"/>
            <w:tcBorders>
              <w:top w:val="single" w:color="auto" w:sz="6" w:space="0"/>
              <w:left w:val="single" w:color="auto" w:sz="6" w:space="0"/>
              <w:bottom w:val="single" w:color="auto" w:sz="6" w:space="0"/>
              <w:right w:val="single" w:color="auto" w:sz="6" w:space="0"/>
            </w:tcBorders>
            <w:vAlign w:val="center"/>
          </w:tcPr>
          <w:p w14:paraId="5EB07B48">
            <w:pPr>
              <w:spacing w:line="360" w:lineRule="auto"/>
              <w:rPr>
                <w:rFonts w:eastAsia="SimSun"/>
                <w:szCs w:val="24"/>
                <w:lang w:eastAsia="zh-CN" w:bidi="ar"/>
              </w:rPr>
            </w:pPr>
            <w:r>
              <w:rPr>
                <w:rFonts w:eastAsia="SimSun"/>
                <w:szCs w:val="24"/>
                <w:lang w:eastAsia="zh-CN" w:bidi="ar"/>
              </w:rPr>
              <w:t>Supports handling imbalanced datasets during model training.</w:t>
            </w:r>
          </w:p>
        </w:tc>
      </w:tr>
      <w:tr w14:paraId="20FC39CE">
        <w:tblPrEx>
          <w:tblCellMar>
            <w:top w:w="0" w:type="dxa"/>
            <w:left w:w="108" w:type="dxa"/>
            <w:bottom w:w="0" w:type="dxa"/>
            <w:right w:w="108" w:type="dxa"/>
          </w:tblCellMar>
        </w:tblPrEx>
        <w:trPr>
          <w:jc w:val="center"/>
        </w:trPr>
        <w:tc>
          <w:tcPr>
            <w:tcW w:w="919" w:type="dxa"/>
            <w:tcBorders>
              <w:top w:val="single" w:color="auto" w:sz="6" w:space="0"/>
              <w:left w:val="single" w:color="auto" w:sz="6" w:space="0"/>
              <w:bottom w:val="single" w:color="auto" w:sz="6" w:space="0"/>
              <w:right w:val="single" w:color="auto" w:sz="6" w:space="0"/>
            </w:tcBorders>
            <w:vAlign w:val="center"/>
          </w:tcPr>
          <w:p w14:paraId="613A85B0">
            <w:pPr>
              <w:spacing w:line="360" w:lineRule="auto"/>
              <w:rPr>
                <w:szCs w:val="24"/>
              </w:rPr>
            </w:pPr>
            <w:r>
              <w:rPr>
                <w:rFonts w:eastAsia="SimSun"/>
                <w:szCs w:val="24"/>
                <w:lang w:eastAsia="zh-CN" w:bidi="ar"/>
              </w:rPr>
              <w:t>3</w:t>
            </w:r>
          </w:p>
        </w:tc>
        <w:tc>
          <w:tcPr>
            <w:tcW w:w="1498" w:type="dxa"/>
            <w:tcBorders>
              <w:top w:val="single" w:color="auto" w:sz="6" w:space="0"/>
              <w:left w:val="single" w:color="auto" w:sz="6" w:space="0"/>
              <w:bottom w:val="single" w:color="auto" w:sz="6" w:space="0"/>
              <w:right w:val="single" w:color="auto" w:sz="6" w:space="0"/>
            </w:tcBorders>
            <w:vAlign w:val="center"/>
          </w:tcPr>
          <w:p w14:paraId="1D27AE5F">
            <w:pPr>
              <w:spacing w:line="360" w:lineRule="auto"/>
              <w:rPr>
                <w:szCs w:val="24"/>
              </w:rPr>
            </w:pPr>
            <w:r>
              <w:rPr>
                <w:rFonts w:eastAsia="SimSun"/>
                <w:szCs w:val="24"/>
                <w:lang w:eastAsia="zh-CN" w:bidi="ar"/>
              </w:rPr>
              <w:t>Matplotlib</w:t>
            </w:r>
          </w:p>
        </w:tc>
        <w:tc>
          <w:tcPr>
            <w:tcW w:w="1843" w:type="dxa"/>
            <w:tcBorders>
              <w:top w:val="single" w:color="auto" w:sz="6" w:space="0"/>
              <w:left w:val="single" w:color="auto" w:sz="6" w:space="0"/>
              <w:bottom w:val="single" w:color="auto" w:sz="6" w:space="0"/>
              <w:right w:val="single" w:color="auto" w:sz="6" w:space="0"/>
            </w:tcBorders>
            <w:vAlign w:val="center"/>
          </w:tcPr>
          <w:p w14:paraId="1659288A">
            <w:pPr>
              <w:spacing w:line="360" w:lineRule="auto"/>
              <w:rPr>
                <w:szCs w:val="24"/>
              </w:rPr>
            </w:pPr>
            <w:r>
              <w:rPr>
                <w:rFonts w:eastAsia="SimSun"/>
                <w:szCs w:val="24"/>
                <w:lang w:eastAsia="zh-CN" w:bidi="ar"/>
              </w:rPr>
              <w:t>3.8 or later</w:t>
            </w:r>
          </w:p>
        </w:tc>
        <w:tc>
          <w:tcPr>
            <w:tcW w:w="4804" w:type="dxa"/>
            <w:tcBorders>
              <w:top w:val="single" w:color="auto" w:sz="6" w:space="0"/>
              <w:left w:val="single" w:color="auto" w:sz="6" w:space="0"/>
              <w:bottom w:val="single" w:color="auto" w:sz="6" w:space="0"/>
              <w:right w:val="single" w:color="auto" w:sz="6" w:space="0"/>
            </w:tcBorders>
            <w:vAlign w:val="center"/>
          </w:tcPr>
          <w:p w14:paraId="7574E82F">
            <w:pPr>
              <w:spacing w:line="360" w:lineRule="auto"/>
              <w:rPr>
                <w:rFonts w:eastAsia="SimSun"/>
                <w:szCs w:val="24"/>
                <w:lang w:eastAsia="zh-CN" w:bidi="ar"/>
              </w:rPr>
            </w:pPr>
            <w:r>
              <w:rPr>
                <w:rFonts w:eastAsia="SimSun"/>
                <w:szCs w:val="24"/>
                <w:lang w:eastAsia="zh-CN" w:bidi="ar"/>
              </w:rPr>
              <w:t>Visualizes classification results and model performance metrics.</w:t>
            </w:r>
          </w:p>
        </w:tc>
      </w:tr>
      <w:tr w14:paraId="342F2CEA">
        <w:tblPrEx>
          <w:tblCellMar>
            <w:top w:w="0" w:type="dxa"/>
            <w:left w:w="108" w:type="dxa"/>
            <w:bottom w:w="0" w:type="dxa"/>
            <w:right w:w="108" w:type="dxa"/>
          </w:tblCellMar>
        </w:tblPrEx>
        <w:trPr>
          <w:jc w:val="center"/>
        </w:trPr>
        <w:tc>
          <w:tcPr>
            <w:tcW w:w="919" w:type="dxa"/>
            <w:tcBorders>
              <w:top w:val="single" w:color="auto" w:sz="6" w:space="0"/>
              <w:left w:val="single" w:color="auto" w:sz="6" w:space="0"/>
              <w:bottom w:val="single" w:color="auto" w:sz="6" w:space="0"/>
              <w:right w:val="single" w:color="auto" w:sz="6" w:space="0"/>
            </w:tcBorders>
            <w:vAlign w:val="center"/>
          </w:tcPr>
          <w:p w14:paraId="07424884">
            <w:pPr>
              <w:spacing w:line="360" w:lineRule="auto"/>
              <w:rPr>
                <w:szCs w:val="24"/>
              </w:rPr>
            </w:pPr>
            <w:r>
              <w:rPr>
                <w:rFonts w:eastAsia="SimSun"/>
                <w:szCs w:val="24"/>
                <w:lang w:eastAsia="zh-CN" w:bidi="ar"/>
              </w:rPr>
              <w:t>4</w:t>
            </w:r>
          </w:p>
        </w:tc>
        <w:tc>
          <w:tcPr>
            <w:tcW w:w="1498" w:type="dxa"/>
            <w:tcBorders>
              <w:top w:val="single" w:color="auto" w:sz="6" w:space="0"/>
              <w:left w:val="single" w:color="auto" w:sz="6" w:space="0"/>
              <w:bottom w:val="single" w:color="auto" w:sz="6" w:space="0"/>
              <w:right w:val="single" w:color="auto" w:sz="6" w:space="0"/>
            </w:tcBorders>
            <w:vAlign w:val="center"/>
          </w:tcPr>
          <w:p w14:paraId="14E497AB">
            <w:pPr>
              <w:spacing w:line="360" w:lineRule="auto"/>
              <w:rPr>
                <w:szCs w:val="24"/>
              </w:rPr>
            </w:pPr>
            <w:r>
              <w:rPr>
                <w:rFonts w:eastAsia="SimSun"/>
                <w:szCs w:val="24"/>
                <w:lang w:eastAsia="zh-CN" w:bidi="ar"/>
              </w:rPr>
              <w:t>Seaborn</w:t>
            </w:r>
          </w:p>
        </w:tc>
        <w:tc>
          <w:tcPr>
            <w:tcW w:w="1843" w:type="dxa"/>
            <w:tcBorders>
              <w:top w:val="single" w:color="auto" w:sz="6" w:space="0"/>
              <w:left w:val="single" w:color="auto" w:sz="6" w:space="0"/>
              <w:bottom w:val="single" w:color="auto" w:sz="6" w:space="0"/>
              <w:right w:val="single" w:color="auto" w:sz="6" w:space="0"/>
            </w:tcBorders>
            <w:vAlign w:val="center"/>
          </w:tcPr>
          <w:p w14:paraId="209B38F0">
            <w:pPr>
              <w:spacing w:line="360" w:lineRule="auto"/>
              <w:rPr>
                <w:szCs w:val="24"/>
              </w:rPr>
            </w:pPr>
            <w:r>
              <w:rPr>
                <w:rFonts w:eastAsia="SimSun"/>
                <w:szCs w:val="24"/>
                <w:lang w:eastAsia="zh-CN" w:bidi="ar"/>
              </w:rPr>
              <w:t>0.13 or later</w:t>
            </w:r>
          </w:p>
        </w:tc>
        <w:tc>
          <w:tcPr>
            <w:tcW w:w="4804" w:type="dxa"/>
            <w:tcBorders>
              <w:top w:val="single" w:color="auto" w:sz="6" w:space="0"/>
              <w:left w:val="single" w:color="auto" w:sz="6" w:space="0"/>
              <w:bottom w:val="single" w:color="auto" w:sz="6" w:space="0"/>
              <w:right w:val="single" w:color="auto" w:sz="6" w:space="0"/>
            </w:tcBorders>
            <w:vAlign w:val="center"/>
          </w:tcPr>
          <w:p w14:paraId="7DE42367">
            <w:pPr>
              <w:spacing w:line="360" w:lineRule="auto"/>
              <w:rPr>
                <w:rFonts w:eastAsia="SimSun"/>
                <w:szCs w:val="24"/>
                <w:lang w:eastAsia="zh-CN" w:bidi="ar"/>
              </w:rPr>
            </w:pPr>
            <w:r>
              <w:rPr>
                <w:rFonts w:eastAsia="SimSun"/>
                <w:szCs w:val="24"/>
                <w:lang w:eastAsia="zh-CN" w:bidi="ar"/>
              </w:rPr>
              <w:t>Generates statistical plots for analysing detection performance.</w:t>
            </w:r>
          </w:p>
        </w:tc>
      </w:tr>
      <w:tr w14:paraId="34A045B7">
        <w:tblPrEx>
          <w:tblCellMar>
            <w:top w:w="0" w:type="dxa"/>
            <w:left w:w="108" w:type="dxa"/>
            <w:bottom w:w="0" w:type="dxa"/>
            <w:right w:w="108" w:type="dxa"/>
          </w:tblCellMar>
        </w:tblPrEx>
        <w:trPr>
          <w:jc w:val="center"/>
        </w:trPr>
        <w:tc>
          <w:tcPr>
            <w:tcW w:w="919" w:type="dxa"/>
            <w:tcBorders>
              <w:top w:val="single" w:color="auto" w:sz="6" w:space="0"/>
              <w:left w:val="single" w:color="auto" w:sz="6" w:space="0"/>
              <w:bottom w:val="single" w:color="auto" w:sz="6" w:space="0"/>
              <w:right w:val="single" w:color="auto" w:sz="6" w:space="0"/>
            </w:tcBorders>
            <w:vAlign w:val="center"/>
          </w:tcPr>
          <w:p w14:paraId="10DAE8A6">
            <w:pPr>
              <w:spacing w:line="360" w:lineRule="auto"/>
              <w:rPr>
                <w:szCs w:val="24"/>
              </w:rPr>
            </w:pPr>
            <w:r>
              <w:rPr>
                <w:rFonts w:eastAsia="SimSun"/>
                <w:szCs w:val="24"/>
                <w:lang w:eastAsia="zh-CN" w:bidi="ar"/>
              </w:rPr>
              <w:t>5</w:t>
            </w:r>
          </w:p>
        </w:tc>
        <w:tc>
          <w:tcPr>
            <w:tcW w:w="1498" w:type="dxa"/>
            <w:tcBorders>
              <w:top w:val="single" w:color="auto" w:sz="6" w:space="0"/>
              <w:left w:val="single" w:color="auto" w:sz="6" w:space="0"/>
              <w:bottom w:val="single" w:color="auto" w:sz="6" w:space="0"/>
              <w:right w:val="single" w:color="auto" w:sz="6" w:space="0"/>
            </w:tcBorders>
            <w:vAlign w:val="center"/>
          </w:tcPr>
          <w:p w14:paraId="391BE167">
            <w:pPr>
              <w:spacing w:line="360" w:lineRule="auto"/>
              <w:rPr>
                <w:szCs w:val="24"/>
              </w:rPr>
            </w:pPr>
            <w:r>
              <w:rPr>
                <w:rFonts w:eastAsia="SimSun"/>
                <w:szCs w:val="24"/>
                <w:lang w:eastAsia="zh-CN" w:bidi="ar"/>
              </w:rPr>
              <w:t>PyYAML</w:t>
            </w:r>
          </w:p>
        </w:tc>
        <w:tc>
          <w:tcPr>
            <w:tcW w:w="1843" w:type="dxa"/>
            <w:tcBorders>
              <w:top w:val="single" w:color="auto" w:sz="6" w:space="0"/>
              <w:left w:val="single" w:color="auto" w:sz="6" w:space="0"/>
              <w:bottom w:val="single" w:color="auto" w:sz="6" w:space="0"/>
              <w:right w:val="single" w:color="auto" w:sz="6" w:space="0"/>
            </w:tcBorders>
            <w:vAlign w:val="center"/>
          </w:tcPr>
          <w:p w14:paraId="7DA2EFA0">
            <w:pPr>
              <w:spacing w:line="360" w:lineRule="auto"/>
              <w:rPr>
                <w:szCs w:val="24"/>
              </w:rPr>
            </w:pPr>
            <w:r>
              <w:rPr>
                <w:rFonts w:eastAsia="SimSun"/>
                <w:szCs w:val="24"/>
                <w:lang w:eastAsia="zh-CN" w:bidi="ar"/>
              </w:rPr>
              <w:t>6.0 or later</w:t>
            </w:r>
          </w:p>
        </w:tc>
        <w:tc>
          <w:tcPr>
            <w:tcW w:w="4804" w:type="dxa"/>
            <w:tcBorders>
              <w:top w:val="single" w:color="auto" w:sz="6" w:space="0"/>
              <w:left w:val="single" w:color="auto" w:sz="6" w:space="0"/>
              <w:bottom w:val="single" w:color="auto" w:sz="6" w:space="0"/>
              <w:right w:val="single" w:color="auto" w:sz="6" w:space="0"/>
            </w:tcBorders>
            <w:vAlign w:val="center"/>
          </w:tcPr>
          <w:p w14:paraId="6ECFCAB4">
            <w:pPr>
              <w:spacing w:line="360" w:lineRule="auto"/>
              <w:rPr>
                <w:rFonts w:eastAsia="SimSun"/>
                <w:szCs w:val="24"/>
                <w:lang w:eastAsia="zh-CN" w:bidi="ar"/>
              </w:rPr>
            </w:pPr>
            <w:r>
              <w:rPr>
                <w:rFonts w:eastAsia="SimSun"/>
                <w:szCs w:val="24"/>
                <w:lang w:eastAsia="zh-CN" w:bidi="ar"/>
              </w:rPr>
              <w:t>Manages configuration files for system parameters and detection settings.</w:t>
            </w:r>
          </w:p>
        </w:tc>
      </w:tr>
      <w:tr w14:paraId="2460E76A">
        <w:tblPrEx>
          <w:tblCellMar>
            <w:top w:w="0" w:type="dxa"/>
            <w:left w:w="108" w:type="dxa"/>
            <w:bottom w:w="0" w:type="dxa"/>
            <w:right w:w="108" w:type="dxa"/>
          </w:tblCellMar>
        </w:tblPrEx>
        <w:trPr>
          <w:jc w:val="center"/>
        </w:trPr>
        <w:tc>
          <w:tcPr>
            <w:tcW w:w="919" w:type="dxa"/>
            <w:tcBorders>
              <w:top w:val="single" w:color="auto" w:sz="6" w:space="0"/>
              <w:left w:val="single" w:color="auto" w:sz="6" w:space="0"/>
              <w:bottom w:val="single" w:color="auto" w:sz="6" w:space="0"/>
              <w:right w:val="single" w:color="auto" w:sz="6" w:space="0"/>
            </w:tcBorders>
            <w:vAlign w:val="center"/>
          </w:tcPr>
          <w:p w14:paraId="039F4DBC">
            <w:pPr>
              <w:spacing w:line="360" w:lineRule="auto"/>
              <w:rPr>
                <w:szCs w:val="24"/>
              </w:rPr>
            </w:pPr>
            <w:r>
              <w:rPr>
                <w:rFonts w:eastAsia="SimSun"/>
                <w:szCs w:val="24"/>
                <w:lang w:eastAsia="zh-CN" w:bidi="ar"/>
              </w:rPr>
              <w:t>6</w:t>
            </w:r>
          </w:p>
        </w:tc>
        <w:tc>
          <w:tcPr>
            <w:tcW w:w="1498" w:type="dxa"/>
            <w:tcBorders>
              <w:top w:val="single" w:color="auto" w:sz="6" w:space="0"/>
              <w:left w:val="single" w:color="auto" w:sz="6" w:space="0"/>
              <w:bottom w:val="single" w:color="auto" w:sz="6" w:space="0"/>
              <w:right w:val="single" w:color="auto" w:sz="6" w:space="0"/>
            </w:tcBorders>
            <w:vAlign w:val="center"/>
          </w:tcPr>
          <w:p w14:paraId="1175C705">
            <w:pPr>
              <w:spacing w:line="360" w:lineRule="auto"/>
              <w:rPr>
                <w:szCs w:val="24"/>
              </w:rPr>
            </w:pPr>
            <w:r>
              <w:rPr>
                <w:rFonts w:eastAsia="SimSun"/>
                <w:szCs w:val="24"/>
                <w:lang w:eastAsia="zh-CN" w:bidi="ar"/>
              </w:rPr>
              <w:t>Requests</w:t>
            </w:r>
          </w:p>
        </w:tc>
        <w:tc>
          <w:tcPr>
            <w:tcW w:w="1843" w:type="dxa"/>
            <w:tcBorders>
              <w:top w:val="single" w:color="auto" w:sz="6" w:space="0"/>
              <w:left w:val="single" w:color="auto" w:sz="6" w:space="0"/>
              <w:bottom w:val="single" w:color="auto" w:sz="6" w:space="0"/>
              <w:right w:val="single" w:color="auto" w:sz="6" w:space="0"/>
            </w:tcBorders>
            <w:vAlign w:val="center"/>
          </w:tcPr>
          <w:p w14:paraId="6E60B440">
            <w:pPr>
              <w:spacing w:line="360" w:lineRule="auto"/>
              <w:rPr>
                <w:szCs w:val="24"/>
              </w:rPr>
            </w:pPr>
            <w:r>
              <w:rPr>
                <w:rFonts w:eastAsia="SimSun"/>
                <w:szCs w:val="24"/>
                <w:lang w:eastAsia="zh-CN" w:bidi="ar"/>
              </w:rPr>
              <w:t>2.31 or later</w:t>
            </w:r>
          </w:p>
        </w:tc>
        <w:tc>
          <w:tcPr>
            <w:tcW w:w="4804" w:type="dxa"/>
            <w:tcBorders>
              <w:top w:val="single" w:color="auto" w:sz="6" w:space="0"/>
              <w:left w:val="single" w:color="auto" w:sz="6" w:space="0"/>
              <w:bottom w:val="single" w:color="auto" w:sz="6" w:space="0"/>
              <w:right w:val="single" w:color="auto" w:sz="6" w:space="0"/>
            </w:tcBorders>
            <w:vAlign w:val="center"/>
          </w:tcPr>
          <w:p w14:paraId="0EEFE640">
            <w:pPr>
              <w:spacing w:line="360" w:lineRule="auto"/>
              <w:rPr>
                <w:rFonts w:eastAsia="SimSun"/>
                <w:szCs w:val="24"/>
                <w:lang w:eastAsia="zh-CN" w:bidi="ar"/>
              </w:rPr>
            </w:pPr>
            <w:r>
              <w:rPr>
                <w:rFonts w:eastAsia="SimSun"/>
                <w:szCs w:val="24"/>
                <w:lang w:eastAsia="zh-CN" w:bidi="ar"/>
              </w:rPr>
              <w:t>Supports HTTP communication with webhook endpoints and external services.</w:t>
            </w:r>
          </w:p>
        </w:tc>
      </w:tr>
      <w:tr w14:paraId="20E46ADD">
        <w:tblPrEx>
          <w:tblCellMar>
            <w:top w:w="0" w:type="dxa"/>
            <w:left w:w="108" w:type="dxa"/>
            <w:bottom w:w="0" w:type="dxa"/>
            <w:right w:w="108" w:type="dxa"/>
          </w:tblCellMar>
        </w:tblPrEx>
        <w:trPr>
          <w:jc w:val="center"/>
        </w:trPr>
        <w:tc>
          <w:tcPr>
            <w:tcW w:w="919" w:type="dxa"/>
            <w:tcBorders>
              <w:top w:val="single" w:color="auto" w:sz="6" w:space="0"/>
              <w:left w:val="single" w:color="auto" w:sz="6" w:space="0"/>
              <w:bottom w:val="single" w:color="auto" w:sz="6" w:space="0"/>
              <w:right w:val="single" w:color="auto" w:sz="6" w:space="0"/>
            </w:tcBorders>
            <w:vAlign w:val="center"/>
          </w:tcPr>
          <w:p w14:paraId="349A8FE5">
            <w:pPr>
              <w:spacing w:line="360" w:lineRule="auto"/>
              <w:rPr>
                <w:szCs w:val="24"/>
              </w:rPr>
            </w:pPr>
            <w:r>
              <w:rPr>
                <w:rFonts w:eastAsia="SimSun"/>
                <w:szCs w:val="24"/>
                <w:lang w:eastAsia="zh-CN" w:bidi="ar"/>
              </w:rPr>
              <w:t>7</w:t>
            </w:r>
          </w:p>
        </w:tc>
        <w:tc>
          <w:tcPr>
            <w:tcW w:w="1498" w:type="dxa"/>
            <w:tcBorders>
              <w:top w:val="single" w:color="auto" w:sz="6" w:space="0"/>
              <w:left w:val="single" w:color="auto" w:sz="6" w:space="0"/>
              <w:bottom w:val="single" w:color="auto" w:sz="6" w:space="0"/>
              <w:right w:val="single" w:color="auto" w:sz="6" w:space="0"/>
            </w:tcBorders>
            <w:vAlign w:val="center"/>
          </w:tcPr>
          <w:p w14:paraId="288F1B7C">
            <w:pPr>
              <w:spacing w:line="360" w:lineRule="auto"/>
              <w:rPr>
                <w:szCs w:val="24"/>
              </w:rPr>
            </w:pPr>
            <w:r>
              <w:rPr>
                <w:rFonts w:eastAsia="SimSun"/>
                <w:szCs w:val="24"/>
                <w:lang w:eastAsia="zh-CN" w:bidi="ar"/>
              </w:rPr>
              <w:t>Flask-Mail</w:t>
            </w:r>
          </w:p>
        </w:tc>
        <w:tc>
          <w:tcPr>
            <w:tcW w:w="1843" w:type="dxa"/>
            <w:tcBorders>
              <w:top w:val="single" w:color="auto" w:sz="6" w:space="0"/>
              <w:left w:val="single" w:color="auto" w:sz="6" w:space="0"/>
              <w:bottom w:val="single" w:color="auto" w:sz="6" w:space="0"/>
              <w:right w:val="single" w:color="auto" w:sz="6" w:space="0"/>
            </w:tcBorders>
            <w:vAlign w:val="center"/>
          </w:tcPr>
          <w:p w14:paraId="151E2EFA">
            <w:pPr>
              <w:spacing w:line="360" w:lineRule="auto"/>
              <w:rPr>
                <w:szCs w:val="24"/>
              </w:rPr>
            </w:pPr>
            <w:r>
              <w:rPr>
                <w:rFonts w:eastAsia="SimSun"/>
                <w:szCs w:val="24"/>
                <w:lang w:eastAsia="zh-CN" w:bidi="ar"/>
              </w:rPr>
              <w:t>0.10 or later</w:t>
            </w:r>
          </w:p>
        </w:tc>
        <w:tc>
          <w:tcPr>
            <w:tcW w:w="4804" w:type="dxa"/>
            <w:tcBorders>
              <w:top w:val="single" w:color="auto" w:sz="6" w:space="0"/>
              <w:left w:val="single" w:color="auto" w:sz="6" w:space="0"/>
              <w:bottom w:val="single" w:color="auto" w:sz="6" w:space="0"/>
              <w:right w:val="single" w:color="auto" w:sz="6" w:space="0"/>
            </w:tcBorders>
            <w:vAlign w:val="center"/>
          </w:tcPr>
          <w:p w14:paraId="41FCF8DF">
            <w:pPr>
              <w:spacing w:line="360" w:lineRule="auto"/>
              <w:rPr>
                <w:rFonts w:eastAsia="SimSun"/>
                <w:szCs w:val="24"/>
                <w:lang w:eastAsia="zh-CN" w:bidi="ar"/>
              </w:rPr>
            </w:pPr>
            <w:r>
              <w:rPr>
                <w:rFonts w:eastAsia="SimSun"/>
                <w:szCs w:val="24"/>
                <w:lang w:eastAsia="zh-CN" w:bidi="ar"/>
              </w:rPr>
              <w:t>Supports email-based alert notifications through the Flask application.</w:t>
            </w:r>
          </w:p>
        </w:tc>
      </w:tr>
      <w:tr w14:paraId="5DD4E254">
        <w:tblPrEx>
          <w:tblCellMar>
            <w:top w:w="0" w:type="dxa"/>
            <w:left w:w="108" w:type="dxa"/>
            <w:bottom w:w="0" w:type="dxa"/>
            <w:right w:w="108" w:type="dxa"/>
          </w:tblCellMar>
        </w:tblPrEx>
        <w:trPr>
          <w:jc w:val="center"/>
        </w:trPr>
        <w:tc>
          <w:tcPr>
            <w:tcW w:w="919" w:type="dxa"/>
            <w:tcBorders>
              <w:top w:val="single" w:color="auto" w:sz="6" w:space="0"/>
              <w:left w:val="single" w:color="auto" w:sz="6" w:space="0"/>
              <w:bottom w:val="single" w:color="auto" w:sz="6" w:space="0"/>
              <w:right w:val="single" w:color="auto" w:sz="6" w:space="0"/>
            </w:tcBorders>
            <w:vAlign w:val="center"/>
          </w:tcPr>
          <w:p w14:paraId="75E470AE">
            <w:pPr>
              <w:spacing w:line="360" w:lineRule="auto"/>
              <w:rPr>
                <w:szCs w:val="24"/>
              </w:rPr>
            </w:pPr>
            <w:r>
              <w:rPr>
                <w:rFonts w:eastAsia="SimSun"/>
                <w:szCs w:val="24"/>
                <w:lang w:eastAsia="zh-CN" w:bidi="ar"/>
              </w:rPr>
              <w:t>8</w:t>
            </w:r>
          </w:p>
        </w:tc>
        <w:tc>
          <w:tcPr>
            <w:tcW w:w="1498" w:type="dxa"/>
            <w:tcBorders>
              <w:top w:val="single" w:color="auto" w:sz="6" w:space="0"/>
              <w:left w:val="single" w:color="auto" w:sz="6" w:space="0"/>
              <w:bottom w:val="single" w:color="auto" w:sz="6" w:space="0"/>
              <w:right w:val="single" w:color="auto" w:sz="6" w:space="0"/>
            </w:tcBorders>
            <w:vAlign w:val="center"/>
          </w:tcPr>
          <w:p w14:paraId="57C3BF97">
            <w:pPr>
              <w:spacing w:line="360" w:lineRule="auto"/>
              <w:rPr>
                <w:szCs w:val="24"/>
              </w:rPr>
            </w:pPr>
            <w:r>
              <w:rPr>
                <w:rFonts w:eastAsia="SimSun"/>
                <w:szCs w:val="24"/>
                <w:lang w:eastAsia="zh-CN" w:bidi="ar"/>
              </w:rPr>
              <w:t>SQLite</w:t>
            </w:r>
          </w:p>
        </w:tc>
        <w:tc>
          <w:tcPr>
            <w:tcW w:w="1843" w:type="dxa"/>
            <w:tcBorders>
              <w:top w:val="single" w:color="auto" w:sz="6" w:space="0"/>
              <w:left w:val="single" w:color="auto" w:sz="6" w:space="0"/>
              <w:bottom w:val="single" w:color="auto" w:sz="6" w:space="0"/>
              <w:right w:val="single" w:color="auto" w:sz="6" w:space="0"/>
            </w:tcBorders>
            <w:vAlign w:val="center"/>
          </w:tcPr>
          <w:p w14:paraId="0B99F1C7">
            <w:pPr>
              <w:spacing w:line="360" w:lineRule="auto"/>
              <w:rPr>
                <w:szCs w:val="24"/>
              </w:rPr>
            </w:pPr>
            <w:r>
              <w:rPr>
                <w:rFonts w:eastAsia="SimSun"/>
                <w:szCs w:val="24"/>
                <w:lang w:eastAsia="zh-CN" w:bidi="ar"/>
              </w:rPr>
              <w:t>3.40 or later</w:t>
            </w:r>
          </w:p>
        </w:tc>
        <w:tc>
          <w:tcPr>
            <w:tcW w:w="4804" w:type="dxa"/>
            <w:tcBorders>
              <w:top w:val="single" w:color="auto" w:sz="6" w:space="0"/>
              <w:left w:val="single" w:color="auto" w:sz="6" w:space="0"/>
              <w:bottom w:val="single" w:color="auto" w:sz="6" w:space="0"/>
              <w:right w:val="single" w:color="auto" w:sz="6" w:space="0"/>
            </w:tcBorders>
            <w:vAlign w:val="center"/>
          </w:tcPr>
          <w:p w14:paraId="2BDD24AE">
            <w:pPr>
              <w:spacing w:line="360" w:lineRule="auto"/>
              <w:rPr>
                <w:szCs w:val="24"/>
              </w:rPr>
            </w:pPr>
            <w:r>
              <w:rPr>
                <w:rFonts w:eastAsia="SimSun"/>
                <w:szCs w:val="24"/>
                <w:lang w:eastAsia="zh-CN" w:bidi="ar"/>
              </w:rPr>
              <w:t>Stores detection history, alert records, and application metadata for lightweight deployments.</w:t>
            </w:r>
          </w:p>
        </w:tc>
      </w:tr>
      <w:tr w14:paraId="38625266">
        <w:tblPrEx>
          <w:tblCellMar>
            <w:top w:w="0" w:type="dxa"/>
            <w:left w:w="108" w:type="dxa"/>
            <w:bottom w:w="0" w:type="dxa"/>
            <w:right w:w="108" w:type="dxa"/>
          </w:tblCellMar>
        </w:tblPrEx>
        <w:trPr>
          <w:jc w:val="center"/>
        </w:trPr>
        <w:tc>
          <w:tcPr>
            <w:tcW w:w="919" w:type="dxa"/>
            <w:tcBorders>
              <w:top w:val="single" w:color="auto" w:sz="6" w:space="0"/>
              <w:left w:val="single" w:color="auto" w:sz="6" w:space="0"/>
              <w:bottom w:val="single" w:color="auto" w:sz="6" w:space="0"/>
              <w:right w:val="single" w:color="auto" w:sz="6" w:space="0"/>
            </w:tcBorders>
            <w:vAlign w:val="center"/>
          </w:tcPr>
          <w:p w14:paraId="4AFB966B">
            <w:pPr>
              <w:spacing w:line="360" w:lineRule="auto"/>
              <w:rPr>
                <w:szCs w:val="24"/>
              </w:rPr>
            </w:pPr>
            <w:r>
              <w:rPr>
                <w:rFonts w:eastAsia="SimSun"/>
                <w:szCs w:val="24"/>
                <w:lang w:eastAsia="zh-CN" w:bidi="ar"/>
              </w:rPr>
              <w:t>9</w:t>
            </w:r>
          </w:p>
        </w:tc>
        <w:tc>
          <w:tcPr>
            <w:tcW w:w="1498" w:type="dxa"/>
            <w:tcBorders>
              <w:top w:val="single" w:color="auto" w:sz="6" w:space="0"/>
              <w:left w:val="single" w:color="auto" w:sz="6" w:space="0"/>
              <w:bottom w:val="single" w:color="auto" w:sz="6" w:space="0"/>
              <w:right w:val="single" w:color="auto" w:sz="6" w:space="0"/>
            </w:tcBorders>
            <w:vAlign w:val="center"/>
          </w:tcPr>
          <w:p w14:paraId="30C661E9">
            <w:pPr>
              <w:spacing w:line="360" w:lineRule="auto"/>
              <w:rPr>
                <w:szCs w:val="24"/>
              </w:rPr>
            </w:pPr>
            <w:r>
              <w:rPr>
                <w:rFonts w:eastAsia="SimSun"/>
                <w:szCs w:val="24"/>
                <w:lang w:eastAsia="zh-CN" w:bidi="ar"/>
              </w:rPr>
              <w:t>pytest</w:t>
            </w:r>
          </w:p>
        </w:tc>
        <w:tc>
          <w:tcPr>
            <w:tcW w:w="1843" w:type="dxa"/>
            <w:tcBorders>
              <w:top w:val="single" w:color="auto" w:sz="6" w:space="0"/>
              <w:left w:val="single" w:color="auto" w:sz="6" w:space="0"/>
              <w:bottom w:val="single" w:color="auto" w:sz="6" w:space="0"/>
              <w:right w:val="single" w:color="auto" w:sz="6" w:space="0"/>
            </w:tcBorders>
            <w:vAlign w:val="center"/>
          </w:tcPr>
          <w:p w14:paraId="45A6F5B8">
            <w:pPr>
              <w:spacing w:line="360" w:lineRule="auto"/>
              <w:rPr>
                <w:szCs w:val="24"/>
              </w:rPr>
            </w:pPr>
            <w:r>
              <w:rPr>
                <w:rFonts w:eastAsia="SimSun"/>
                <w:szCs w:val="24"/>
                <w:lang w:eastAsia="zh-CN" w:bidi="ar"/>
              </w:rPr>
              <w:t>8.0 or later</w:t>
            </w:r>
          </w:p>
        </w:tc>
        <w:tc>
          <w:tcPr>
            <w:tcW w:w="4804" w:type="dxa"/>
            <w:tcBorders>
              <w:top w:val="single" w:color="auto" w:sz="6" w:space="0"/>
              <w:left w:val="single" w:color="auto" w:sz="6" w:space="0"/>
              <w:bottom w:val="single" w:color="auto" w:sz="6" w:space="0"/>
              <w:right w:val="single" w:color="auto" w:sz="6" w:space="0"/>
            </w:tcBorders>
            <w:vAlign w:val="center"/>
          </w:tcPr>
          <w:p w14:paraId="312D7806">
            <w:pPr>
              <w:spacing w:line="360" w:lineRule="auto"/>
              <w:rPr>
                <w:szCs w:val="24"/>
              </w:rPr>
            </w:pPr>
            <w:r>
              <w:rPr>
                <w:rFonts w:eastAsia="SimSun"/>
                <w:szCs w:val="24"/>
                <w:lang w:eastAsia="zh-CN" w:bidi="ar"/>
              </w:rPr>
              <w:t>Tests feature extraction, classification, alerting, and system functionality.</w:t>
            </w:r>
          </w:p>
        </w:tc>
      </w:tr>
      <w:tr w14:paraId="2B7B83A7">
        <w:tblPrEx>
          <w:tblCellMar>
            <w:top w:w="0" w:type="dxa"/>
            <w:left w:w="108" w:type="dxa"/>
            <w:bottom w:w="0" w:type="dxa"/>
            <w:right w:w="108" w:type="dxa"/>
          </w:tblCellMar>
        </w:tblPrEx>
        <w:trPr>
          <w:jc w:val="center"/>
        </w:trPr>
        <w:tc>
          <w:tcPr>
            <w:tcW w:w="919" w:type="dxa"/>
            <w:tcBorders>
              <w:top w:val="single" w:color="auto" w:sz="6" w:space="0"/>
              <w:left w:val="single" w:color="auto" w:sz="6" w:space="0"/>
              <w:bottom w:val="single" w:color="auto" w:sz="6" w:space="0"/>
              <w:right w:val="single" w:color="auto" w:sz="6" w:space="0"/>
            </w:tcBorders>
            <w:vAlign w:val="center"/>
          </w:tcPr>
          <w:p w14:paraId="2EFFF330">
            <w:pPr>
              <w:spacing w:line="360" w:lineRule="auto"/>
              <w:rPr>
                <w:szCs w:val="24"/>
              </w:rPr>
            </w:pPr>
            <w:r>
              <w:rPr>
                <w:rFonts w:eastAsia="SimSun"/>
                <w:szCs w:val="24"/>
                <w:lang w:eastAsia="zh-CN" w:bidi="ar"/>
              </w:rPr>
              <w:t>10</w:t>
            </w:r>
          </w:p>
        </w:tc>
        <w:tc>
          <w:tcPr>
            <w:tcW w:w="1498" w:type="dxa"/>
            <w:tcBorders>
              <w:top w:val="single" w:color="auto" w:sz="6" w:space="0"/>
              <w:left w:val="single" w:color="auto" w:sz="6" w:space="0"/>
              <w:bottom w:val="single" w:color="auto" w:sz="6" w:space="0"/>
              <w:right w:val="single" w:color="auto" w:sz="6" w:space="0"/>
            </w:tcBorders>
            <w:vAlign w:val="center"/>
          </w:tcPr>
          <w:p w14:paraId="2C215400">
            <w:pPr>
              <w:spacing w:line="360" w:lineRule="auto"/>
              <w:rPr>
                <w:szCs w:val="24"/>
              </w:rPr>
            </w:pPr>
            <w:r>
              <w:rPr>
                <w:rFonts w:eastAsia="SimSun"/>
                <w:szCs w:val="24"/>
                <w:lang w:eastAsia="zh-CN" w:bidi="ar"/>
              </w:rPr>
              <w:t>psutil</w:t>
            </w:r>
          </w:p>
        </w:tc>
        <w:tc>
          <w:tcPr>
            <w:tcW w:w="1843" w:type="dxa"/>
            <w:tcBorders>
              <w:top w:val="single" w:color="auto" w:sz="6" w:space="0"/>
              <w:left w:val="single" w:color="auto" w:sz="6" w:space="0"/>
              <w:bottom w:val="single" w:color="auto" w:sz="6" w:space="0"/>
              <w:right w:val="single" w:color="auto" w:sz="6" w:space="0"/>
            </w:tcBorders>
            <w:vAlign w:val="center"/>
          </w:tcPr>
          <w:p w14:paraId="15A05C7E">
            <w:pPr>
              <w:spacing w:line="360" w:lineRule="auto"/>
              <w:rPr>
                <w:szCs w:val="24"/>
              </w:rPr>
            </w:pPr>
            <w:r>
              <w:rPr>
                <w:rFonts w:eastAsia="SimSun"/>
                <w:szCs w:val="24"/>
                <w:lang w:eastAsia="zh-CN" w:bidi="ar"/>
              </w:rPr>
              <w:t>5.9 or later</w:t>
            </w:r>
          </w:p>
        </w:tc>
        <w:tc>
          <w:tcPr>
            <w:tcW w:w="4804" w:type="dxa"/>
            <w:tcBorders>
              <w:top w:val="single" w:color="auto" w:sz="6" w:space="0"/>
              <w:left w:val="single" w:color="auto" w:sz="6" w:space="0"/>
              <w:bottom w:val="single" w:color="auto" w:sz="6" w:space="0"/>
              <w:right w:val="single" w:color="auto" w:sz="6" w:space="0"/>
            </w:tcBorders>
            <w:vAlign w:val="center"/>
          </w:tcPr>
          <w:p w14:paraId="4409151B">
            <w:pPr>
              <w:spacing w:line="360" w:lineRule="auto"/>
              <w:rPr>
                <w:szCs w:val="24"/>
              </w:rPr>
            </w:pPr>
            <w:r>
              <w:rPr>
                <w:rFonts w:eastAsia="SimSun"/>
                <w:szCs w:val="24"/>
                <w:lang w:eastAsia="zh-CN" w:bidi="ar"/>
              </w:rPr>
              <w:t>Monitors system resource usage and provides process and system information.</w:t>
            </w:r>
          </w:p>
        </w:tc>
      </w:tr>
    </w:tbl>
    <w:p w14:paraId="3C766526">
      <w:pPr>
        <w:spacing w:line="360" w:lineRule="auto"/>
        <w:jc w:val="center"/>
        <w:rPr>
          <w:szCs w:val="24"/>
        </w:rPr>
      </w:pPr>
      <w:r>
        <w:rPr>
          <w:b/>
          <w:i/>
          <w:iCs/>
          <w:szCs w:val="24"/>
        </w:rPr>
        <w:t>Table 4.4: Software requirements</w:t>
      </w:r>
    </w:p>
    <w:p w14:paraId="25134796">
      <w:pPr>
        <w:spacing w:line="360" w:lineRule="auto"/>
        <w:ind w:left="284" w:firstLine="436"/>
        <w:jc w:val="both"/>
      </w:pPr>
      <w:r>
        <w:rPr>
          <w:sz w:val="28"/>
        </w:rPr>
        <w:t>One environment caveat is recorded because it was actually encountered during implementation. The installed combination of scikit-learn 1.6 and XGBoost 2.1.3 orders their class-inheritance hierarchies in a way that breaks the estimator tag interface on which scikit-learn relies, which prevents the XGBoost estimator from being selected by the grid search or wrapped in the calibration layer. The project therefore carries an explicit compatibility repair that is applied at import time, rather than masking the fault by pinning one library to an older version. The repair is idempotent, is documented in the source, and is covered by the test suite, so that a future dependency upgrade fails loudly in the tests rather than silently in production.</w:t>
      </w:r>
    </w:p>
    <w:p w14:paraId="5A4E893B">
      <w:pPr>
        <w:pStyle w:val="2"/>
        <w:spacing w:before="120" w:after="24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CHAPTER 5</w:t>
      </w:r>
    </w:p>
    <w:p w14:paraId="11F378AC">
      <w:pPr>
        <w:pStyle w:val="2"/>
        <w:spacing w:before="120" w:after="240"/>
        <w:jc w:val="both"/>
        <w:rPr>
          <w:rFonts w:ascii="Times New Roman" w:hAnsi="Times New Roman" w:cs="Times New Roman"/>
          <w:b/>
          <w:bCs/>
          <w:sz w:val="28"/>
          <w:szCs w:val="28"/>
        </w:rPr>
      </w:pPr>
      <w:r>
        <w:rPr>
          <w:rFonts w:ascii="Times New Roman" w:hAnsi="Times New Roman" w:cs="Times New Roman"/>
          <w:b/>
          <w:bCs/>
          <w:color w:val="000000"/>
          <w:sz w:val="28"/>
          <w:szCs w:val="28"/>
        </w:rPr>
        <w:t>5.IMPLEMENTATION</w:t>
      </w:r>
    </w:p>
    <w:p w14:paraId="446928F7">
      <w:pPr>
        <w:pStyle w:val="3"/>
        <w:spacing w:before="200" w:after="120"/>
        <w:ind w:firstLine="240" w:firstLineChars="100"/>
        <w:jc w:val="both"/>
        <w:rPr>
          <w:rFonts w:ascii="Times New Roman" w:hAnsi="Times New Roman" w:cs="Times New Roman"/>
          <w:b/>
          <w:bCs/>
          <w:sz w:val="24"/>
          <w:szCs w:val="24"/>
        </w:rPr>
      </w:pPr>
      <w:r>
        <w:rPr>
          <w:rFonts w:ascii="Times New Roman" w:hAnsi="Times New Roman" w:cs="Times New Roman"/>
          <w:b/>
          <w:bCs/>
          <w:color w:val="000000"/>
          <w:sz w:val="24"/>
          <w:szCs w:val="24"/>
        </w:rPr>
        <w:t xml:space="preserve"> 5.1 SYSTEM ARCHITECTURE</w:t>
      </w:r>
    </w:p>
    <w:p w14:paraId="11555457">
      <w:pPr>
        <w:spacing w:after="120" w:line="360" w:lineRule="auto"/>
        <w:ind w:left="284" w:firstLine="720"/>
        <w:jc w:val="both"/>
      </w:pPr>
      <w:r>
        <w:t>The system is realised as a single Python application with a layered architecture. The capture layer attaches a recursive filesystem observer to each monitored share and appends timestamped events to a thread-safe buffer. The aggregation layer wakes once per second, discards events outside the trailing horizons, and computes the feature vector. The intelligence layer holds the tuned classifiers, the cost-selected threshold and the attribution and drift components. The presentation layer serves the dashboard and the REST API and writes every decision to the SQLite history. This separation keeps the runtime pipeline independent of the dashboard and of the offline experiments.</w:t>
      </w:r>
    </w:p>
    <w:p w14:paraId="11914176">
      <w:pPr>
        <w:pStyle w:val="3"/>
        <w:spacing w:before="200" w:after="120"/>
        <w:ind w:firstLine="240" w:firstLineChars="10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5.2 DATA FLOW DIAGRAM</w:t>
      </w:r>
    </w:p>
    <w:p w14:paraId="0C88F3A8">
      <w:pPr>
        <w:spacing w:after="120" w:line="360" w:lineRule="auto"/>
        <w:ind w:left="284" w:firstLine="720"/>
        <w:jc w:val="both"/>
      </w:pPr>
      <w:r>
        <w:t>The data-flow diagram in Fig. 5.1 shows the movement of data from raw file-system events to the detection user interface. Events entering the capture process are aggregated into windows and features; the classify process scores each window; and the alert and dashboard process reads the persistent detection history and presents it to the operator.</w:t>
      </w:r>
    </w:p>
    <w:p w14:paraId="7CF838D0">
      <w:pPr>
        <w:keepNext/>
        <w:spacing w:before="160" w:after="80"/>
        <w:jc w:val="center"/>
      </w:pPr>
      <w:r>
        <w:drawing>
          <wp:inline distT="0" distB="0" distL="0" distR="0">
            <wp:extent cx="5274310" cy="2417445"/>
            <wp:effectExtent l="0" t="0" r="2540" b="1905"/>
            <wp:docPr id="133974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42816"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2417445"/>
                    </a:xfrm>
                    <a:prstGeom prst="rect">
                      <a:avLst/>
                    </a:prstGeom>
                    <a:noFill/>
                    <a:ln>
                      <a:noFill/>
                    </a:ln>
                  </pic:spPr>
                </pic:pic>
              </a:graphicData>
            </a:graphic>
          </wp:inline>
        </w:drawing>
      </w:r>
    </w:p>
    <w:p w14:paraId="59A87A06">
      <w:pPr>
        <w:jc w:val="center"/>
        <w:rPr>
          <w:b/>
          <w:bCs/>
          <w:iCs/>
          <w:sz w:val="21"/>
        </w:rPr>
      </w:pPr>
      <w:r>
        <w:rPr>
          <w:b/>
          <w:bCs/>
          <w:iCs/>
          <w:sz w:val="21"/>
        </w:rPr>
        <w:t>Figure 5.1: Data-flow diagram of the detection system</w:t>
      </w:r>
    </w:p>
    <w:p w14:paraId="000AAFF3">
      <w:pPr>
        <w:pStyle w:val="3"/>
        <w:spacing w:before="200" w:after="120"/>
        <w:ind w:firstLine="240" w:firstLineChars="10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5.3 USE CASE DESIGN</w:t>
      </w:r>
    </w:p>
    <w:p w14:paraId="350CBEFE">
      <w:pPr>
        <w:tabs>
          <w:tab w:val="left" w:pos="142"/>
        </w:tabs>
        <w:spacing w:after="120" w:line="360" w:lineRule="auto"/>
        <w:ind w:left="142" w:firstLine="578"/>
        <w:jc w:val="both"/>
      </w:pPr>
      <w:r>
        <w:t>The primary actors are the analyst, who monitors the dashboard and investigates alerts, and the administrator, who configures the monitored shares and the alert sinks. The principal use cases are: start and stop monitoring; add or remove a share; view the current prediction and its confidence; fetch the per-window feature counts; request an attribution for the current window; export the detection history and report; and configure webhook, email and syslog alert sinks. State-changing use cases are bound to the local host by default and require a token when one is configured.</w:t>
      </w:r>
    </w:p>
    <w:p w14:paraId="4507D537">
      <w:pPr>
        <w:pStyle w:val="3"/>
        <w:spacing w:before="200" w:after="120"/>
        <w:ind w:firstLine="120" w:firstLineChars="50"/>
        <w:jc w:val="both"/>
        <w:rPr>
          <w:rFonts w:ascii="Times New Roman" w:hAnsi="Times New Roman" w:cs="Times New Roman"/>
          <w:b/>
          <w:bCs/>
          <w:color w:val="000000"/>
          <w:sz w:val="28"/>
          <w:szCs w:val="28"/>
        </w:rPr>
      </w:pPr>
      <w:r>
        <w:rPr>
          <w:rFonts w:ascii="Times New Roman" w:hAnsi="Times New Roman" w:cs="Times New Roman"/>
          <w:b/>
          <w:bCs/>
          <w:color w:val="000000"/>
          <w:sz w:val="24"/>
          <w:szCs w:val="24"/>
        </w:rPr>
        <w:t>5.4 DATABASE DESIGN</w:t>
      </w:r>
    </w:p>
    <w:p w14:paraId="588B7645">
      <w:pPr>
        <w:tabs>
          <w:tab w:val="left" w:pos="0"/>
        </w:tabs>
        <w:spacing w:after="120" w:line="360" w:lineRule="auto"/>
        <w:ind w:left="240" w:leftChars="100" w:firstLine="360" w:firstLineChars="150"/>
        <w:jc w:val="both"/>
        <w:rPr>
          <w:b/>
          <w:bCs/>
        </w:rPr>
      </w:pPr>
      <w:r>
        <w:t>Every window is inserted into a SQLite table with its timestamp, predicted label, confidence, selected threshold and the three operation counts. This produces an auditable detection history that the dashboard reads and that can be exported as a CSV report. The schema is intentionally simple so that the history is self-describing and portable across deployments.</w:t>
      </w:r>
    </w:p>
    <w:p w14:paraId="4A095F7D">
      <w:pPr>
        <w:pStyle w:val="3"/>
        <w:spacing w:before="200" w:after="120"/>
        <w:ind w:left="-142" w:firstLine="240" w:firstLineChars="100"/>
        <w:jc w:val="both"/>
        <w:rPr>
          <w:rFonts w:ascii="Times New Roman" w:hAnsi="Times New Roman" w:cs="Times New Roman"/>
          <w:b/>
          <w:bCs/>
          <w:sz w:val="24"/>
          <w:szCs w:val="24"/>
        </w:rPr>
      </w:pPr>
      <w:r>
        <w:rPr>
          <w:rFonts w:ascii="Times New Roman" w:hAnsi="Times New Roman" w:cs="Times New Roman"/>
          <w:b/>
          <w:bCs/>
          <w:color w:val="000000"/>
          <w:sz w:val="24"/>
          <w:szCs w:val="24"/>
        </w:rPr>
        <w:t>5.5 MULTI-SCALE TEMPORAL FEATURE DESIGN</w:t>
      </w:r>
    </w:p>
    <w:p w14:paraId="64A11207">
      <w:pPr>
        <w:spacing w:after="120" w:line="360" w:lineRule="auto"/>
        <w:ind w:left="142" w:hanging="142"/>
        <w:jc w:val="both"/>
      </w:pPr>
      <w:r>
        <w:t xml:space="preserve">        The central design decision is the replacement of the per-second counts with trailing temporal aggregates. For each scale s in {3, 5, 10, 30} seconds, a trailing window aggregates the interval (t - s, t], and the windows are recomputed on every one-second tick so that the stride is one second by construction. The concatenated feature vector has 26 dimensions. The 3-second scale captures bursts; the 10- and 30-second scales accumulate evidence from slow encryption whose per-second counts stay below any burst threshold. The multi-scale windows are illustrated in Fig. 5.2, and the feature groups and their counts are listed in Table 5.1. The three raw counts are deliberately excluded from the deployed vector so that the temporal aggregates, not the per-second volume, carry the decision.</w:t>
      </w:r>
    </w:p>
    <w:p w14:paraId="206AD599">
      <w:pPr>
        <w:keepNext/>
        <w:spacing w:before="160" w:after="80"/>
        <w:jc w:val="center"/>
      </w:pPr>
      <w:r>
        <w:drawing>
          <wp:inline distT="0" distB="0" distL="114300" distR="114300">
            <wp:extent cx="5120640" cy="193357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120640" cy="1933820"/>
                    </a:xfrm>
                    <a:prstGeom prst="rect">
                      <a:avLst/>
                    </a:prstGeom>
                  </pic:spPr>
                </pic:pic>
              </a:graphicData>
            </a:graphic>
          </wp:inline>
        </w:drawing>
      </w:r>
    </w:p>
    <w:p w14:paraId="3D9108BA">
      <w:pPr>
        <w:jc w:val="center"/>
        <w:rPr>
          <w:b/>
          <w:bCs/>
          <w:iCs/>
          <w:sz w:val="21"/>
        </w:rPr>
      </w:pPr>
      <w:r>
        <w:rPr>
          <w:b/>
          <w:bCs/>
          <w:iCs/>
          <w:sz w:val="21"/>
        </w:rPr>
        <w:t>Figure 5.2: Multi-scale trailing temporal windows (3, 5, 10 and 30 s)</w:t>
      </w:r>
    </w:p>
    <w:p w14:paraId="4AC30D11">
      <w:pPr>
        <w:jc w:val="center"/>
        <w:rPr>
          <w:b/>
          <w:bCs/>
          <w:iCs/>
          <w:sz w:val="21"/>
        </w:rPr>
      </w:pPr>
    </w:p>
    <w:tbl>
      <w:tblPr>
        <w:tblStyle w:val="12"/>
        <w:tblW w:w="0" w:type="auto"/>
        <w:jc w:val="center"/>
        <w:tblLayout w:type="autofit"/>
        <w:tblCellMar>
          <w:top w:w="0" w:type="dxa"/>
          <w:left w:w="108" w:type="dxa"/>
          <w:bottom w:w="0" w:type="dxa"/>
          <w:right w:w="108" w:type="dxa"/>
        </w:tblCellMar>
      </w:tblPr>
      <w:tblGrid>
        <w:gridCol w:w="1709"/>
        <w:gridCol w:w="5188"/>
        <w:gridCol w:w="1709"/>
      </w:tblGrid>
      <w:tr w14:paraId="3AD5F36C">
        <w:tblPrEx>
          <w:tblCellMar>
            <w:top w:w="0" w:type="dxa"/>
            <w:left w:w="108" w:type="dxa"/>
            <w:bottom w:w="0" w:type="dxa"/>
            <w:right w:w="108" w:type="dxa"/>
          </w:tblCellMar>
        </w:tblPrEx>
        <w:trPr>
          <w:jc w:val="center"/>
        </w:trPr>
        <w:tc>
          <w:tcPr>
            <w:tcW w:w="1709" w:type="dxa"/>
            <w:tcBorders>
              <w:top w:val="single" w:color="000000" w:sz="6" w:space="0"/>
              <w:left w:val="single" w:color="000000" w:sz="6" w:space="0"/>
              <w:bottom w:val="single" w:color="000000" w:sz="6" w:space="0"/>
              <w:right w:val="single" w:color="000000" w:sz="6" w:space="0"/>
            </w:tcBorders>
            <w:shd w:val="clear" w:color="auto" w:fill="D9E1F2"/>
          </w:tcPr>
          <w:p w14:paraId="00089F9E">
            <w:pPr>
              <w:jc w:val="center"/>
            </w:pPr>
            <w:r>
              <w:rPr>
                <w:b/>
                <w:sz w:val="22"/>
              </w:rPr>
              <w:t>Group</w:t>
            </w:r>
          </w:p>
        </w:tc>
        <w:tc>
          <w:tcPr>
            <w:tcW w:w="5188" w:type="dxa"/>
            <w:tcBorders>
              <w:top w:val="single" w:color="000000" w:sz="6" w:space="0"/>
              <w:left w:val="single" w:color="000000" w:sz="6" w:space="0"/>
              <w:bottom w:val="single" w:color="000000" w:sz="6" w:space="0"/>
              <w:right w:val="single" w:color="000000" w:sz="6" w:space="0"/>
            </w:tcBorders>
            <w:shd w:val="clear" w:color="auto" w:fill="D9E1F2"/>
          </w:tcPr>
          <w:p w14:paraId="65E00DEB">
            <w:pPr>
              <w:jc w:val="center"/>
            </w:pPr>
            <w:r>
              <w:rPr>
                <w:b/>
                <w:sz w:val="22"/>
              </w:rPr>
              <w:t>Description</w:t>
            </w:r>
          </w:p>
        </w:tc>
        <w:tc>
          <w:tcPr>
            <w:tcW w:w="1709" w:type="dxa"/>
            <w:tcBorders>
              <w:top w:val="single" w:color="000000" w:sz="6" w:space="0"/>
              <w:left w:val="single" w:color="000000" w:sz="6" w:space="0"/>
              <w:bottom w:val="single" w:color="000000" w:sz="6" w:space="0"/>
              <w:right w:val="single" w:color="000000" w:sz="6" w:space="0"/>
            </w:tcBorders>
            <w:shd w:val="clear" w:color="auto" w:fill="D9E1F2"/>
          </w:tcPr>
          <w:p w14:paraId="5F82DFF0">
            <w:pPr>
              <w:jc w:val="center"/>
            </w:pPr>
            <w:r>
              <w:rPr>
                <w:b/>
                <w:sz w:val="22"/>
              </w:rPr>
              <w:t>Features</w:t>
            </w:r>
          </w:p>
        </w:tc>
      </w:tr>
      <w:tr w14:paraId="36D5B906">
        <w:tblPrEx>
          <w:tblCellMar>
            <w:top w:w="0" w:type="dxa"/>
            <w:left w:w="108" w:type="dxa"/>
            <w:bottom w:w="0" w:type="dxa"/>
            <w:right w:w="108" w:type="dxa"/>
          </w:tblCellMar>
        </w:tblPrEx>
        <w:trPr>
          <w:jc w:val="center"/>
        </w:trPr>
        <w:tc>
          <w:tcPr>
            <w:tcW w:w="1709" w:type="dxa"/>
            <w:tcBorders>
              <w:top w:val="single" w:color="000000" w:sz="6" w:space="0"/>
              <w:left w:val="single" w:color="000000" w:sz="6" w:space="0"/>
              <w:bottom w:val="single" w:color="000000" w:sz="6" w:space="0"/>
              <w:right w:val="single" w:color="000000" w:sz="6" w:space="0"/>
            </w:tcBorders>
          </w:tcPr>
          <w:p w14:paraId="3CE84C07">
            <w:pPr>
              <w:jc w:val="both"/>
            </w:pPr>
            <w:r>
              <w:rPr>
                <w:sz w:val="22"/>
              </w:rPr>
              <w:t>A</w:t>
            </w:r>
          </w:p>
        </w:tc>
        <w:tc>
          <w:tcPr>
            <w:tcW w:w="5188" w:type="dxa"/>
            <w:tcBorders>
              <w:top w:val="single" w:color="000000" w:sz="6" w:space="0"/>
              <w:left w:val="single" w:color="000000" w:sz="6" w:space="0"/>
              <w:bottom w:val="single" w:color="000000" w:sz="6" w:space="0"/>
              <w:right w:val="single" w:color="000000" w:sz="6" w:space="0"/>
            </w:tcBorders>
          </w:tcPr>
          <w:p w14:paraId="36B9818F">
            <w:pPr>
              <w:jc w:val="both"/>
            </w:pPr>
            <w:r>
              <w:rPr>
                <w:sz w:val="22"/>
              </w:rPr>
              <w:t>Raw create/rename/delete counts per window (baseline)</w:t>
            </w:r>
          </w:p>
        </w:tc>
        <w:tc>
          <w:tcPr>
            <w:tcW w:w="1709" w:type="dxa"/>
            <w:tcBorders>
              <w:top w:val="single" w:color="000000" w:sz="6" w:space="0"/>
              <w:left w:val="single" w:color="000000" w:sz="6" w:space="0"/>
              <w:bottom w:val="single" w:color="000000" w:sz="6" w:space="0"/>
              <w:right w:val="single" w:color="000000" w:sz="6" w:space="0"/>
            </w:tcBorders>
          </w:tcPr>
          <w:p w14:paraId="05AC1CB3">
            <w:pPr>
              <w:jc w:val="both"/>
            </w:pPr>
            <w:r>
              <w:rPr>
                <w:sz w:val="22"/>
              </w:rPr>
              <w:t>3</w:t>
            </w:r>
          </w:p>
        </w:tc>
      </w:tr>
      <w:tr w14:paraId="48E6221E">
        <w:tblPrEx>
          <w:tblCellMar>
            <w:top w:w="0" w:type="dxa"/>
            <w:left w:w="108" w:type="dxa"/>
            <w:bottom w:w="0" w:type="dxa"/>
            <w:right w:w="108" w:type="dxa"/>
          </w:tblCellMar>
        </w:tblPrEx>
        <w:trPr>
          <w:jc w:val="center"/>
        </w:trPr>
        <w:tc>
          <w:tcPr>
            <w:tcW w:w="1709" w:type="dxa"/>
            <w:tcBorders>
              <w:top w:val="single" w:color="000000" w:sz="6" w:space="0"/>
              <w:left w:val="single" w:color="000000" w:sz="6" w:space="0"/>
              <w:bottom w:val="single" w:color="000000" w:sz="6" w:space="0"/>
              <w:right w:val="single" w:color="000000" w:sz="6" w:space="0"/>
            </w:tcBorders>
          </w:tcPr>
          <w:p w14:paraId="4027E549">
            <w:pPr>
              <w:jc w:val="both"/>
            </w:pPr>
            <w:r>
              <w:rPr>
                <w:sz w:val="22"/>
              </w:rPr>
              <w:t>B</w:t>
            </w:r>
          </w:p>
        </w:tc>
        <w:tc>
          <w:tcPr>
            <w:tcW w:w="5188" w:type="dxa"/>
            <w:tcBorders>
              <w:top w:val="single" w:color="000000" w:sz="6" w:space="0"/>
              <w:left w:val="single" w:color="000000" w:sz="6" w:space="0"/>
              <w:bottom w:val="single" w:color="000000" w:sz="6" w:space="0"/>
              <w:right w:val="single" w:color="000000" w:sz="6" w:space="0"/>
            </w:tcBorders>
          </w:tcPr>
          <w:p w14:paraId="5593EDA5">
            <w:pPr>
              <w:jc w:val="both"/>
            </w:pPr>
            <w:r>
              <w:rPr>
                <w:sz w:val="22"/>
              </w:rPr>
              <w:t>Base counts plus trailing aggregates</w:t>
            </w:r>
          </w:p>
        </w:tc>
        <w:tc>
          <w:tcPr>
            <w:tcW w:w="1709" w:type="dxa"/>
            <w:tcBorders>
              <w:top w:val="single" w:color="000000" w:sz="6" w:space="0"/>
              <w:left w:val="single" w:color="000000" w:sz="6" w:space="0"/>
              <w:bottom w:val="single" w:color="000000" w:sz="6" w:space="0"/>
              <w:right w:val="single" w:color="000000" w:sz="6" w:space="0"/>
            </w:tcBorders>
          </w:tcPr>
          <w:p w14:paraId="2710C1C3">
            <w:pPr>
              <w:jc w:val="both"/>
            </w:pPr>
            <w:r>
              <w:rPr>
                <w:sz w:val="22"/>
              </w:rPr>
              <w:t>15</w:t>
            </w:r>
          </w:p>
        </w:tc>
      </w:tr>
      <w:tr w14:paraId="2E77F7F7">
        <w:tblPrEx>
          <w:tblCellMar>
            <w:top w:w="0" w:type="dxa"/>
            <w:left w:w="108" w:type="dxa"/>
            <w:bottom w:w="0" w:type="dxa"/>
            <w:right w:w="108" w:type="dxa"/>
          </w:tblCellMar>
        </w:tblPrEx>
        <w:trPr>
          <w:jc w:val="center"/>
        </w:trPr>
        <w:tc>
          <w:tcPr>
            <w:tcW w:w="1709" w:type="dxa"/>
            <w:tcBorders>
              <w:top w:val="single" w:color="000000" w:sz="6" w:space="0"/>
              <w:left w:val="single" w:color="000000" w:sz="6" w:space="0"/>
              <w:bottom w:val="single" w:color="000000" w:sz="6" w:space="0"/>
              <w:right w:val="single" w:color="000000" w:sz="6" w:space="0"/>
            </w:tcBorders>
          </w:tcPr>
          <w:p w14:paraId="3FB7AF4B">
            <w:pPr>
              <w:jc w:val="both"/>
            </w:pPr>
            <w:r>
              <w:rPr>
                <w:sz w:val="22"/>
              </w:rPr>
              <w:t>C</w:t>
            </w:r>
          </w:p>
        </w:tc>
        <w:tc>
          <w:tcPr>
            <w:tcW w:w="5188" w:type="dxa"/>
            <w:tcBorders>
              <w:top w:val="single" w:color="000000" w:sz="6" w:space="0"/>
              <w:left w:val="single" w:color="000000" w:sz="6" w:space="0"/>
              <w:bottom w:val="single" w:color="000000" w:sz="6" w:space="0"/>
              <w:right w:val="single" w:color="000000" w:sz="6" w:space="0"/>
            </w:tcBorders>
          </w:tcPr>
          <w:p w14:paraId="04CC9449">
            <w:pPr>
              <w:jc w:val="both"/>
            </w:pPr>
            <w:r>
              <w:rPr>
                <w:sz w:val="22"/>
              </w:rPr>
              <w:t>B plus absolute deltas between scales</w:t>
            </w:r>
          </w:p>
        </w:tc>
        <w:tc>
          <w:tcPr>
            <w:tcW w:w="1709" w:type="dxa"/>
            <w:tcBorders>
              <w:top w:val="single" w:color="000000" w:sz="6" w:space="0"/>
              <w:left w:val="single" w:color="000000" w:sz="6" w:space="0"/>
              <w:bottom w:val="single" w:color="000000" w:sz="6" w:space="0"/>
              <w:right w:val="single" w:color="000000" w:sz="6" w:space="0"/>
            </w:tcBorders>
          </w:tcPr>
          <w:p w14:paraId="3761654C">
            <w:pPr>
              <w:jc w:val="both"/>
            </w:pPr>
            <w:r>
              <w:rPr>
                <w:sz w:val="22"/>
              </w:rPr>
              <w:t>23</w:t>
            </w:r>
          </w:p>
        </w:tc>
      </w:tr>
      <w:tr w14:paraId="6AD91772">
        <w:tblPrEx>
          <w:tblCellMar>
            <w:top w:w="0" w:type="dxa"/>
            <w:left w:w="108" w:type="dxa"/>
            <w:bottom w:w="0" w:type="dxa"/>
            <w:right w:w="108" w:type="dxa"/>
          </w:tblCellMar>
        </w:tblPrEx>
        <w:trPr>
          <w:jc w:val="center"/>
        </w:trPr>
        <w:tc>
          <w:tcPr>
            <w:tcW w:w="1709" w:type="dxa"/>
            <w:tcBorders>
              <w:top w:val="single" w:color="000000" w:sz="6" w:space="0"/>
              <w:left w:val="single" w:color="000000" w:sz="6" w:space="0"/>
              <w:bottom w:val="single" w:color="000000" w:sz="6" w:space="0"/>
              <w:right w:val="single" w:color="000000" w:sz="6" w:space="0"/>
            </w:tcBorders>
          </w:tcPr>
          <w:p w14:paraId="4B709306">
            <w:pPr>
              <w:jc w:val="both"/>
            </w:pPr>
            <w:r>
              <w:rPr>
                <w:sz w:val="22"/>
              </w:rPr>
              <w:t>D</w:t>
            </w:r>
          </w:p>
        </w:tc>
        <w:tc>
          <w:tcPr>
            <w:tcW w:w="5188" w:type="dxa"/>
            <w:tcBorders>
              <w:top w:val="single" w:color="000000" w:sz="6" w:space="0"/>
              <w:left w:val="single" w:color="000000" w:sz="6" w:space="0"/>
              <w:bottom w:val="single" w:color="000000" w:sz="6" w:space="0"/>
              <w:right w:val="single" w:color="000000" w:sz="6" w:space="0"/>
            </w:tcBorders>
          </w:tcPr>
          <w:p w14:paraId="38C53448">
            <w:pPr>
              <w:jc w:val="both"/>
            </w:pPr>
            <w:r>
              <w:rPr>
                <w:sz w:val="22"/>
              </w:rPr>
              <w:t>C plus active-run / persistence features</w:t>
            </w:r>
          </w:p>
        </w:tc>
        <w:tc>
          <w:tcPr>
            <w:tcW w:w="1709" w:type="dxa"/>
            <w:tcBorders>
              <w:top w:val="single" w:color="000000" w:sz="6" w:space="0"/>
              <w:left w:val="single" w:color="000000" w:sz="6" w:space="0"/>
              <w:bottom w:val="single" w:color="000000" w:sz="6" w:space="0"/>
              <w:right w:val="single" w:color="000000" w:sz="6" w:space="0"/>
            </w:tcBorders>
          </w:tcPr>
          <w:p w14:paraId="0073859A">
            <w:pPr>
              <w:jc w:val="both"/>
            </w:pPr>
            <w:r>
              <w:rPr>
                <w:sz w:val="22"/>
              </w:rPr>
              <w:t>24</w:t>
            </w:r>
          </w:p>
        </w:tc>
      </w:tr>
      <w:tr w14:paraId="065BE021">
        <w:tblPrEx>
          <w:tblCellMar>
            <w:top w:w="0" w:type="dxa"/>
            <w:left w:w="108" w:type="dxa"/>
            <w:bottom w:w="0" w:type="dxa"/>
            <w:right w:w="108" w:type="dxa"/>
          </w:tblCellMar>
        </w:tblPrEx>
        <w:trPr>
          <w:jc w:val="center"/>
        </w:trPr>
        <w:tc>
          <w:tcPr>
            <w:tcW w:w="1709" w:type="dxa"/>
            <w:tcBorders>
              <w:top w:val="single" w:color="000000" w:sz="6" w:space="0"/>
              <w:left w:val="single" w:color="000000" w:sz="6" w:space="0"/>
              <w:bottom w:val="single" w:color="000000" w:sz="6" w:space="0"/>
              <w:right w:val="single" w:color="000000" w:sz="6" w:space="0"/>
            </w:tcBorders>
          </w:tcPr>
          <w:p w14:paraId="25655A97">
            <w:pPr>
              <w:jc w:val="both"/>
            </w:pPr>
            <w:r>
              <w:rPr>
                <w:sz w:val="22"/>
              </w:rPr>
              <w:t>E</w:t>
            </w:r>
          </w:p>
        </w:tc>
        <w:tc>
          <w:tcPr>
            <w:tcW w:w="5188" w:type="dxa"/>
            <w:tcBorders>
              <w:top w:val="single" w:color="000000" w:sz="6" w:space="0"/>
              <w:left w:val="single" w:color="000000" w:sz="6" w:space="0"/>
              <w:bottom w:val="single" w:color="000000" w:sz="6" w:space="0"/>
              <w:right w:val="single" w:color="000000" w:sz="6" w:space="0"/>
            </w:tcBorders>
          </w:tcPr>
          <w:p w14:paraId="3C5120B5">
            <w:pPr>
              <w:jc w:val="both"/>
            </w:pPr>
            <w:r>
              <w:rPr>
                <w:sz w:val="22"/>
              </w:rPr>
              <w:t>D plus cross-scale summary features</w:t>
            </w:r>
          </w:p>
        </w:tc>
        <w:tc>
          <w:tcPr>
            <w:tcW w:w="1709" w:type="dxa"/>
            <w:tcBorders>
              <w:top w:val="single" w:color="000000" w:sz="6" w:space="0"/>
              <w:left w:val="single" w:color="000000" w:sz="6" w:space="0"/>
              <w:bottom w:val="single" w:color="000000" w:sz="6" w:space="0"/>
              <w:right w:val="single" w:color="000000" w:sz="6" w:space="0"/>
            </w:tcBorders>
          </w:tcPr>
          <w:p w14:paraId="0F608F08">
            <w:pPr>
              <w:jc w:val="both"/>
            </w:pPr>
            <w:r>
              <w:rPr>
                <w:sz w:val="22"/>
              </w:rPr>
              <w:t>29</w:t>
            </w:r>
          </w:p>
        </w:tc>
      </w:tr>
      <w:tr w14:paraId="2792ECEB">
        <w:tblPrEx>
          <w:tblCellMar>
            <w:top w:w="0" w:type="dxa"/>
            <w:left w:w="108" w:type="dxa"/>
            <w:bottom w:w="0" w:type="dxa"/>
            <w:right w:w="108" w:type="dxa"/>
          </w:tblCellMar>
        </w:tblPrEx>
        <w:trPr>
          <w:jc w:val="center"/>
        </w:trPr>
        <w:tc>
          <w:tcPr>
            <w:tcW w:w="1709" w:type="dxa"/>
            <w:tcBorders>
              <w:top w:val="single" w:color="000000" w:sz="6" w:space="0"/>
              <w:left w:val="single" w:color="000000" w:sz="6" w:space="0"/>
              <w:bottom w:val="single" w:color="000000" w:sz="6" w:space="0"/>
              <w:right w:val="single" w:color="000000" w:sz="6" w:space="0"/>
            </w:tcBorders>
          </w:tcPr>
          <w:p w14:paraId="0DB20AA3">
            <w:pPr>
              <w:jc w:val="both"/>
            </w:pPr>
            <w:r>
              <w:rPr>
                <w:sz w:val="22"/>
              </w:rPr>
              <w:t>Deployed</w:t>
            </w:r>
          </w:p>
        </w:tc>
        <w:tc>
          <w:tcPr>
            <w:tcW w:w="5188" w:type="dxa"/>
            <w:tcBorders>
              <w:top w:val="single" w:color="000000" w:sz="6" w:space="0"/>
              <w:left w:val="single" w:color="000000" w:sz="6" w:space="0"/>
              <w:bottom w:val="single" w:color="000000" w:sz="6" w:space="0"/>
              <w:right w:val="single" w:color="000000" w:sz="6" w:space="0"/>
            </w:tcBorders>
          </w:tcPr>
          <w:p w14:paraId="024ECEFC">
            <w:pPr>
              <w:jc w:val="both"/>
            </w:pPr>
            <w:r>
              <w:rPr>
                <w:sz w:val="22"/>
              </w:rPr>
              <w:t>Temporal sequence features used by the model</w:t>
            </w:r>
          </w:p>
        </w:tc>
        <w:tc>
          <w:tcPr>
            <w:tcW w:w="1709" w:type="dxa"/>
            <w:tcBorders>
              <w:top w:val="single" w:color="000000" w:sz="6" w:space="0"/>
              <w:left w:val="single" w:color="000000" w:sz="6" w:space="0"/>
              <w:bottom w:val="single" w:color="000000" w:sz="6" w:space="0"/>
              <w:right w:val="single" w:color="000000" w:sz="6" w:space="0"/>
            </w:tcBorders>
          </w:tcPr>
          <w:p w14:paraId="24673CC4">
            <w:pPr>
              <w:jc w:val="both"/>
            </w:pPr>
            <w:r>
              <w:rPr>
                <w:sz w:val="22"/>
              </w:rPr>
              <w:t>26</w:t>
            </w:r>
          </w:p>
        </w:tc>
      </w:tr>
    </w:tbl>
    <w:p w14:paraId="4A97C950">
      <w:pPr>
        <w:keepNext/>
        <w:spacing w:before="160" w:after="80"/>
        <w:jc w:val="center"/>
      </w:pPr>
      <w:r>
        <w:rPr>
          <w:b/>
          <w:sz w:val="22"/>
        </w:rPr>
        <w:t>Table 5.1: Feature groups and feature counts</w:t>
      </w:r>
    </w:p>
    <w:p w14:paraId="3C12E904">
      <w:pPr>
        <w:pStyle w:val="3"/>
        <w:spacing w:before="200" w:after="120"/>
        <w:ind w:firstLine="240" w:firstLineChars="100"/>
        <w:jc w:val="both"/>
        <w:rPr>
          <w:rFonts w:ascii="Times New Roman" w:hAnsi="Times New Roman" w:cs="Times New Roman"/>
          <w:b/>
          <w:bCs/>
          <w:sz w:val="24"/>
          <w:szCs w:val="24"/>
        </w:rPr>
      </w:pPr>
      <w:r>
        <w:rPr>
          <w:rFonts w:ascii="Times New Roman" w:hAnsi="Times New Roman" w:cs="Times New Roman"/>
          <w:b/>
          <w:bCs/>
          <w:color w:val="000000"/>
          <w:sz w:val="24"/>
          <w:szCs w:val="24"/>
        </w:rPr>
        <w:t>5.6 CLASSIFIER DESIGN</w:t>
      </w:r>
    </w:p>
    <w:p w14:paraId="7038EA7C">
      <w:pPr>
        <w:spacing w:after="120" w:line="360" w:lineRule="auto"/>
        <w:ind w:left="284" w:firstLine="436"/>
        <w:jc w:val="both"/>
      </w:pPr>
      <w:r>
        <w:t>Five classifiers are evaluated: a single Decision Tree, a Random Forest, a Support Vector Machine with an RBF kernel wrapped in a calibration layer, AdaBoost and XGBoost. Each model is tuned by exhaustive grid search under stratified cross-validation using recall as the optimisation score, which biases the search towards avoiding false negatives in line with the cost asymmetry. Only the SVM uses feature standardisation, because tree-based models are invariant to monotone feature scaling. The search spaces are listed in Table 5.2.</w:t>
      </w:r>
    </w:p>
    <w:tbl>
      <w:tblPr>
        <w:tblStyle w:val="12"/>
        <w:tblW w:w="0" w:type="auto"/>
        <w:jc w:val="center"/>
        <w:tblLayout w:type="autofit"/>
        <w:tblCellMar>
          <w:top w:w="0" w:type="dxa"/>
          <w:left w:w="108" w:type="dxa"/>
          <w:bottom w:w="0" w:type="dxa"/>
          <w:right w:w="108" w:type="dxa"/>
        </w:tblCellMar>
      </w:tblPr>
      <w:tblGrid>
        <w:gridCol w:w="2262"/>
        <w:gridCol w:w="6620"/>
      </w:tblGrid>
      <w:tr w14:paraId="1DECFF6E">
        <w:tblPrEx>
          <w:tblCellMar>
            <w:top w:w="0" w:type="dxa"/>
            <w:left w:w="108" w:type="dxa"/>
            <w:bottom w:w="0" w:type="dxa"/>
            <w:right w:w="108" w:type="dxa"/>
          </w:tblCellMar>
        </w:tblPrEx>
        <w:trPr>
          <w:jc w:val="center"/>
        </w:trPr>
        <w:tc>
          <w:tcPr>
            <w:tcW w:w="2339" w:type="dxa"/>
            <w:tcBorders>
              <w:top w:val="single" w:color="000000" w:sz="6" w:space="0"/>
              <w:left w:val="single" w:color="000000" w:sz="6" w:space="0"/>
              <w:bottom w:val="single" w:color="000000" w:sz="6" w:space="0"/>
              <w:right w:val="single" w:color="000000" w:sz="6" w:space="0"/>
            </w:tcBorders>
            <w:shd w:val="clear" w:color="auto" w:fill="D9E1F2"/>
          </w:tcPr>
          <w:p w14:paraId="1E6B91D6">
            <w:pPr>
              <w:jc w:val="center"/>
            </w:pPr>
            <w:r>
              <w:rPr>
                <w:b/>
                <w:sz w:val="22"/>
              </w:rPr>
              <w:t>Model</w:t>
            </w:r>
          </w:p>
        </w:tc>
        <w:tc>
          <w:tcPr>
            <w:tcW w:w="6975" w:type="dxa"/>
            <w:tcBorders>
              <w:top w:val="single" w:color="000000" w:sz="6" w:space="0"/>
              <w:left w:val="single" w:color="000000" w:sz="6" w:space="0"/>
              <w:bottom w:val="single" w:color="000000" w:sz="6" w:space="0"/>
              <w:right w:val="single" w:color="000000" w:sz="6" w:space="0"/>
            </w:tcBorders>
            <w:shd w:val="clear" w:color="auto" w:fill="D9E1F2"/>
          </w:tcPr>
          <w:p w14:paraId="1FC6851A">
            <w:pPr>
              <w:jc w:val="center"/>
            </w:pPr>
            <w:r>
              <w:rPr>
                <w:b/>
                <w:sz w:val="22"/>
              </w:rPr>
              <w:t>Key hyperparameters searched</w:t>
            </w:r>
          </w:p>
        </w:tc>
      </w:tr>
      <w:tr w14:paraId="12A01768">
        <w:tblPrEx>
          <w:tblCellMar>
            <w:top w:w="0" w:type="dxa"/>
            <w:left w:w="108" w:type="dxa"/>
            <w:bottom w:w="0" w:type="dxa"/>
            <w:right w:w="108" w:type="dxa"/>
          </w:tblCellMar>
        </w:tblPrEx>
        <w:trPr>
          <w:jc w:val="center"/>
        </w:trPr>
        <w:tc>
          <w:tcPr>
            <w:tcW w:w="2339" w:type="dxa"/>
            <w:tcBorders>
              <w:top w:val="single" w:color="000000" w:sz="6" w:space="0"/>
              <w:left w:val="single" w:color="000000" w:sz="6" w:space="0"/>
              <w:bottom w:val="single" w:color="000000" w:sz="6" w:space="0"/>
              <w:right w:val="single" w:color="000000" w:sz="6" w:space="0"/>
            </w:tcBorders>
          </w:tcPr>
          <w:p w14:paraId="280FCF4B">
            <w:pPr>
              <w:jc w:val="both"/>
            </w:pPr>
            <w:r>
              <w:rPr>
                <w:sz w:val="22"/>
              </w:rPr>
              <w:t>Decision Tree</w:t>
            </w:r>
          </w:p>
        </w:tc>
        <w:tc>
          <w:tcPr>
            <w:tcW w:w="6975" w:type="dxa"/>
            <w:tcBorders>
              <w:top w:val="single" w:color="000000" w:sz="6" w:space="0"/>
              <w:left w:val="single" w:color="000000" w:sz="6" w:space="0"/>
              <w:bottom w:val="single" w:color="000000" w:sz="6" w:space="0"/>
              <w:right w:val="single" w:color="000000" w:sz="6" w:space="0"/>
            </w:tcBorders>
          </w:tcPr>
          <w:p w14:paraId="019029CC">
            <w:pPr>
              <w:jc w:val="both"/>
            </w:pPr>
            <w:r>
              <w:rPr>
                <w:sz w:val="22"/>
              </w:rPr>
              <w:t>criterion {gini, entropy}; max_depth {3,5,7,10}; min_samples_split {2,5,10}; min_samples_leaf {1,3}</w:t>
            </w:r>
          </w:p>
        </w:tc>
      </w:tr>
      <w:tr w14:paraId="2B9E48C6">
        <w:tblPrEx>
          <w:tblCellMar>
            <w:top w:w="0" w:type="dxa"/>
            <w:left w:w="108" w:type="dxa"/>
            <w:bottom w:w="0" w:type="dxa"/>
            <w:right w:w="108" w:type="dxa"/>
          </w:tblCellMar>
        </w:tblPrEx>
        <w:trPr>
          <w:jc w:val="center"/>
        </w:trPr>
        <w:tc>
          <w:tcPr>
            <w:tcW w:w="2339" w:type="dxa"/>
            <w:tcBorders>
              <w:top w:val="single" w:color="000000" w:sz="6" w:space="0"/>
              <w:left w:val="single" w:color="000000" w:sz="6" w:space="0"/>
              <w:bottom w:val="single" w:color="000000" w:sz="6" w:space="0"/>
              <w:right w:val="single" w:color="000000" w:sz="6" w:space="0"/>
            </w:tcBorders>
          </w:tcPr>
          <w:p w14:paraId="22AEAF46">
            <w:pPr>
              <w:jc w:val="both"/>
            </w:pPr>
            <w:r>
              <w:rPr>
                <w:sz w:val="22"/>
              </w:rPr>
              <w:t>Random Forest</w:t>
            </w:r>
          </w:p>
        </w:tc>
        <w:tc>
          <w:tcPr>
            <w:tcW w:w="6975" w:type="dxa"/>
            <w:tcBorders>
              <w:top w:val="single" w:color="000000" w:sz="6" w:space="0"/>
              <w:left w:val="single" w:color="000000" w:sz="6" w:space="0"/>
              <w:bottom w:val="single" w:color="000000" w:sz="6" w:space="0"/>
              <w:right w:val="single" w:color="000000" w:sz="6" w:space="0"/>
            </w:tcBorders>
          </w:tcPr>
          <w:p w14:paraId="2286E224">
            <w:pPr>
              <w:jc w:val="both"/>
            </w:pPr>
            <w:r>
              <w:rPr>
                <w:sz w:val="22"/>
              </w:rPr>
              <w:t>n_estimators {50,100,150}; criterion {gini, entropy}; max_depth {5,10,15}; min_samples_split {2,5}</w:t>
            </w:r>
          </w:p>
        </w:tc>
      </w:tr>
      <w:tr w14:paraId="2CB00C88">
        <w:tblPrEx>
          <w:tblCellMar>
            <w:top w:w="0" w:type="dxa"/>
            <w:left w:w="108" w:type="dxa"/>
            <w:bottom w:w="0" w:type="dxa"/>
            <w:right w:w="108" w:type="dxa"/>
          </w:tblCellMar>
        </w:tblPrEx>
        <w:trPr>
          <w:jc w:val="center"/>
        </w:trPr>
        <w:tc>
          <w:tcPr>
            <w:tcW w:w="2339" w:type="dxa"/>
            <w:tcBorders>
              <w:top w:val="single" w:color="000000" w:sz="6" w:space="0"/>
              <w:left w:val="single" w:color="000000" w:sz="6" w:space="0"/>
              <w:bottom w:val="single" w:color="000000" w:sz="6" w:space="0"/>
              <w:right w:val="single" w:color="000000" w:sz="6" w:space="0"/>
            </w:tcBorders>
          </w:tcPr>
          <w:p w14:paraId="725A8CE9">
            <w:pPr>
              <w:jc w:val="both"/>
            </w:pPr>
            <w:r>
              <w:rPr>
                <w:sz w:val="22"/>
              </w:rPr>
              <w:t>SVM (calibrated)</w:t>
            </w:r>
          </w:p>
        </w:tc>
        <w:tc>
          <w:tcPr>
            <w:tcW w:w="6975" w:type="dxa"/>
            <w:tcBorders>
              <w:top w:val="single" w:color="000000" w:sz="6" w:space="0"/>
              <w:left w:val="single" w:color="000000" w:sz="6" w:space="0"/>
              <w:bottom w:val="single" w:color="000000" w:sz="6" w:space="0"/>
              <w:right w:val="single" w:color="000000" w:sz="6" w:space="0"/>
            </w:tcBorders>
          </w:tcPr>
          <w:p w14:paraId="16DCB8F3">
            <w:pPr>
              <w:jc w:val="both"/>
            </w:pPr>
            <w:r>
              <w:rPr>
                <w:sz w:val="22"/>
              </w:rPr>
              <w:t>C {0.1,1,10}; kernel {rbf, linear}; gamma {scale, auto}</w:t>
            </w:r>
          </w:p>
        </w:tc>
      </w:tr>
      <w:tr w14:paraId="324E0E16">
        <w:tblPrEx>
          <w:tblCellMar>
            <w:top w:w="0" w:type="dxa"/>
            <w:left w:w="108" w:type="dxa"/>
            <w:bottom w:w="0" w:type="dxa"/>
            <w:right w:w="108" w:type="dxa"/>
          </w:tblCellMar>
        </w:tblPrEx>
        <w:trPr>
          <w:jc w:val="center"/>
        </w:trPr>
        <w:tc>
          <w:tcPr>
            <w:tcW w:w="2339" w:type="dxa"/>
            <w:tcBorders>
              <w:top w:val="single" w:color="000000" w:sz="6" w:space="0"/>
              <w:left w:val="single" w:color="000000" w:sz="6" w:space="0"/>
              <w:bottom w:val="single" w:color="000000" w:sz="6" w:space="0"/>
              <w:right w:val="single" w:color="000000" w:sz="6" w:space="0"/>
            </w:tcBorders>
          </w:tcPr>
          <w:p w14:paraId="78DD9778">
            <w:pPr>
              <w:jc w:val="both"/>
            </w:pPr>
            <w:r>
              <w:rPr>
                <w:sz w:val="22"/>
              </w:rPr>
              <w:t>AdaBoost</w:t>
            </w:r>
          </w:p>
        </w:tc>
        <w:tc>
          <w:tcPr>
            <w:tcW w:w="6975" w:type="dxa"/>
            <w:tcBorders>
              <w:top w:val="single" w:color="000000" w:sz="6" w:space="0"/>
              <w:left w:val="single" w:color="000000" w:sz="6" w:space="0"/>
              <w:bottom w:val="single" w:color="000000" w:sz="6" w:space="0"/>
              <w:right w:val="single" w:color="000000" w:sz="6" w:space="0"/>
            </w:tcBorders>
          </w:tcPr>
          <w:p w14:paraId="6808BD2B">
            <w:pPr>
              <w:jc w:val="both"/>
            </w:pPr>
            <w:r>
              <w:rPr>
                <w:sz w:val="22"/>
              </w:rPr>
              <w:t>n_estimators {50,100,150,200}; learning_rate {0.5,0.8,1.0,1.5}</w:t>
            </w:r>
          </w:p>
        </w:tc>
      </w:tr>
      <w:tr w14:paraId="25E45754">
        <w:tblPrEx>
          <w:tblCellMar>
            <w:top w:w="0" w:type="dxa"/>
            <w:left w:w="108" w:type="dxa"/>
            <w:bottom w:w="0" w:type="dxa"/>
            <w:right w:w="108" w:type="dxa"/>
          </w:tblCellMar>
        </w:tblPrEx>
        <w:trPr>
          <w:jc w:val="center"/>
        </w:trPr>
        <w:tc>
          <w:tcPr>
            <w:tcW w:w="2339" w:type="dxa"/>
            <w:tcBorders>
              <w:top w:val="single" w:color="000000" w:sz="6" w:space="0"/>
              <w:left w:val="single" w:color="000000" w:sz="6" w:space="0"/>
              <w:bottom w:val="single" w:color="000000" w:sz="6" w:space="0"/>
              <w:right w:val="single" w:color="000000" w:sz="6" w:space="0"/>
            </w:tcBorders>
          </w:tcPr>
          <w:p w14:paraId="777F384E">
            <w:pPr>
              <w:jc w:val="both"/>
            </w:pPr>
            <w:r>
              <w:rPr>
                <w:sz w:val="22"/>
              </w:rPr>
              <w:t>XGBoost</w:t>
            </w:r>
          </w:p>
        </w:tc>
        <w:tc>
          <w:tcPr>
            <w:tcW w:w="6975" w:type="dxa"/>
            <w:tcBorders>
              <w:top w:val="single" w:color="000000" w:sz="6" w:space="0"/>
              <w:left w:val="single" w:color="000000" w:sz="6" w:space="0"/>
              <w:bottom w:val="single" w:color="000000" w:sz="6" w:space="0"/>
              <w:right w:val="single" w:color="000000" w:sz="6" w:space="0"/>
            </w:tcBorders>
          </w:tcPr>
          <w:p w14:paraId="66A01221">
            <w:pPr>
              <w:jc w:val="both"/>
            </w:pPr>
            <w:r>
              <w:rPr>
                <w:sz w:val="22"/>
              </w:rPr>
              <w:t>n_estimators {50,100,150}; max_depth {3,5,7}; learning_rate {0.1,0.3,0.5}; subsample {0.7,0.9,1.0}; gamma {0,1,2}</w:t>
            </w:r>
          </w:p>
        </w:tc>
      </w:tr>
    </w:tbl>
    <w:p w14:paraId="7425BA23">
      <w:pPr>
        <w:keepNext/>
        <w:spacing w:before="160" w:after="80"/>
        <w:jc w:val="center"/>
      </w:pPr>
      <w:r>
        <w:rPr>
          <w:b/>
          <w:sz w:val="22"/>
        </w:rPr>
        <w:t>Table 5.2: Classifier hyperparameter search spaces</w:t>
      </w:r>
    </w:p>
    <w:p w14:paraId="6662CCCB">
      <w:pPr>
        <w:pStyle w:val="3"/>
        <w:spacing w:before="200" w:after="120"/>
        <w:ind w:firstLine="240" w:firstLineChars="100"/>
        <w:jc w:val="both"/>
        <w:rPr>
          <w:rFonts w:ascii="Times New Roman" w:hAnsi="Times New Roman" w:cs="Times New Roman"/>
          <w:b/>
          <w:bCs/>
          <w:sz w:val="24"/>
          <w:szCs w:val="24"/>
        </w:rPr>
      </w:pPr>
      <w:r>
        <w:rPr>
          <w:rFonts w:ascii="Times New Roman" w:hAnsi="Times New Roman" w:cs="Times New Roman"/>
          <w:b/>
          <w:bCs/>
          <w:color w:val="000000"/>
          <w:sz w:val="24"/>
          <w:szCs w:val="24"/>
        </w:rPr>
        <w:t>5.7 COST-SENSITIVE THRESHOLD SELECTION</w:t>
      </w:r>
    </w:p>
    <w:p w14:paraId="72DC5465">
      <w:pPr>
        <w:spacing w:after="120" w:line="360" w:lineRule="auto"/>
        <w:ind w:left="284" w:firstLine="578"/>
        <w:jc w:val="both"/>
      </w:pPr>
      <w:r>
        <w:t>A missed attack costs C_FN = 10 and a false alarm C_FP = 1, with C_TP = C_TN = 0, so the total cost of a threshold is C = C_FP * FP + C_FN * FN. The operating threshold is selected as the minimiser of this cost over a fixed probability grid on the validation split, and is reported alongside the base paper's fixed 0.5 so that both operating points are visible. Threshold selection is offline: no prevalence estimator and no periodic recalibration are used, and this is stated as a limitation rather than claimed as adaptive thresholding.</w:t>
      </w:r>
    </w:p>
    <w:p w14:paraId="099EAD31">
      <w:pPr>
        <w:pStyle w:val="3"/>
        <w:spacing w:before="200" w:after="120"/>
        <w:ind w:firstLine="240" w:firstLineChars="100"/>
        <w:jc w:val="both"/>
        <w:rPr>
          <w:rFonts w:ascii="Times New Roman" w:hAnsi="Times New Roman" w:cs="Times New Roman"/>
          <w:b/>
          <w:bCs/>
          <w:sz w:val="24"/>
          <w:szCs w:val="24"/>
        </w:rPr>
      </w:pPr>
      <w:r>
        <w:rPr>
          <w:rFonts w:ascii="Times New Roman" w:hAnsi="Times New Roman" w:cs="Times New Roman"/>
          <w:b/>
          <w:bCs/>
          <w:color w:val="000000"/>
          <w:sz w:val="24"/>
          <w:szCs w:val="24"/>
        </w:rPr>
        <w:t>5.8 FEATURE ATTRIBUTION DESIGN</w:t>
      </w:r>
    </w:p>
    <w:p w14:paraId="2766E614">
      <w:pPr>
        <w:spacing w:after="120" w:line="360" w:lineRule="auto"/>
        <w:ind w:left="284" w:firstLine="720"/>
        <w:jc w:val="both"/>
      </w:pPr>
      <w:r>
        <w:t>For every flagged window two attribution methods are computed: decision-path importance, which credits each feature by the weighted impurity decrease along the path to the predicted leaf, and permutation importance computed against a background sample of benign windows. Attributions are aggregated into operator-level groups covering create, rename, delete, total and temporal features, and are served on demand through an HTTP endpoint rather than attached to every alert</w:t>
      </w:r>
    </w:p>
    <w:p w14:paraId="3195465D">
      <w:pPr>
        <w:pStyle w:val="3"/>
        <w:spacing w:before="200" w:after="120"/>
        <w:jc w:val="both"/>
        <w:rPr>
          <w:rFonts w:ascii="Times New Roman" w:hAnsi="Times New Roman" w:cs="Times New Roman"/>
          <w:b/>
          <w:bCs/>
          <w:sz w:val="24"/>
          <w:szCs w:val="24"/>
        </w:rPr>
      </w:pPr>
      <w:r>
        <w:rPr>
          <w:rFonts w:ascii="Times New Roman" w:hAnsi="Times New Roman" w:cs="Times New Roman"/>
          <w:b/>
          <w:bCs/>
          <w:color w:val="000000"/>
          <w:sz w:val="24"/>
          <w:szCs w:val="24"/>
        </w:rPr>
        <w:t xml:space="preserve">     5.9 DRIFT MONITORING AND MODEL RECOVERY</w:t>
      </w:r>
    </w:p>
    <w:p w14:paraId="46B920FF">
      <w:pPr>
        <w:spacing w:after="120" w:line="360" w:lineRule="auto"/>
        <w:ind w:left="284"/>
        <w:jc w:val="both"/>
      </w:pPr>
      <w:r>
        <w:t xml:space="preserve">      Concept drift is monitored with the Population Stability Index (PSI), computed per feature between a reference sample and a rolling current sample using ten quintile bins drawn from the reference distribution, with conventional severity thresholds of 0.10 and 0.25. The chunk size is treated as a calibration parameter rather than a free choice, because a chunk far smaller than the reference produces noisy proportions and a large PSI even when nothing has changed. When drift is indicated, the model is retrained offline against a reference window.</w:t>
      </w:r>
    </w:p>
    <w:p w14:paraId="10F9D3DF">
      <w:pPr>
        <w:pStyle w:val="3"/>
        <w:tabs>
          <w:tab w:val="left" w:pos="2383"/>
        </w:tabs>
        <w:rPr>
          <w:rFonts w:ascii="Times New Roman" w:hAnsi="Times New Roman" w:cs="Times New Roman"/>
          <w:b/>
          <w:color w:val="000000" w:themeColor="text1"/>
          <w:sz w:val="28"/>
          <w14:textFill>
            <w14:solidFill>
              <w14:schemeClr w14:val="tx1"/>
            </w14:solidFill>
          </w14:textFill>
        </w:rPr>
      </w:pPr>
      <w:r>
        <w:rPr>
          <w:rFonts w:ascii="Times New Roman" w:hAnsi="Times New Roman" w:cs="Times New Roman"/>
          <w:b/>
          <w:color w:val="000000" w:themeColor="text1"/>
          <w:sz w:val="28"/>
          <w14:textFill>
            <w14:solidFill>
              <w14:schemeClr w14:val="tx1"/>
            </w14:solidFill>
          </w14:textFill>
        </w:rPr>
        <w:tab/>
      </w:r>
    </w:p>
    <w:p w14:paraId="79EBDC4C"/>
    <w:p w14:paraId="3F463534"/>
    <w:p w14:paraId="2344ADD9"/>
    <w:p w14:paraId="686C44DD"/>
    <w:p w14:paraId="4C3C6D8A"/>
    <w:p w14:paraId="353B5240"/>
    <w:p w14:paraId="1B4D12F2"/>
    <w:p w14:paraId="70D06303"/>
    <w:p w14:paraId="0E0E5613"/>
    <w:p w14:paraId="3C6916C0">
      <w:pPr>
        <w:pStyle w:val="3"/>
        <w:jc w:val="cente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b/>
          <w:color w:val="000000" w:themeColor="text1"/>
          <w:sz w:val="28"/>
          <w14:textFill>
            <w14:solidFill>
              <w14:schemeClr w14:val="tx1"/>
            </w14:solidFill>
          </w14:textFill>
        </w:rPr>
        <w:t>CHAPTER 6</w:t>
      </w:r>
    </w:p>
    <w:p w14:paraId="269A97E5">
      <w:pPr>
        <w:pStyle w:val="3"/>
        <w:spacing w:before="200" w:after="120"/>
        <w:jc w:val="both"/>
        <w:rPr>
          <w:color w:val="000000" w:themeColor="text1"/>
          <w:sz w:val="28"/>
          <w:szCs w:val="28"/>
          <w14:textFill>
            <w14:solidFill>
              <w14:schemeClr w14:val="tx1"/>
            </w14:solidFill>
          </w14:textFill>
        </w:rPr>
      </w:pPr>
      <w:r>
        <w:rPr>
          <w:rFonts w:ascii="Times New Roman" w:hAnsi="Times New Roman"/>
          <w:b/>
          <w:color w:val="000000" w:themeColor="text1"/>
          <w:sz w:val="28"/>
          <w:szCs w:val="28"/>
          <w14:textFill>
            <w14:solidFill>
              <w14:schemeClr w14:val="tx1"/>
            </w14:solidFill>
          </w14:textFill>
        </w:rPr>
        <w:t>6.CONCLUSION</w:t>
      </w:r>
    </w:p>
    <w:p w14:paraId="7485CC14">
      <w:pPr>
        <w:spacing w:line="360" w:lineRule="auto"/>
        <w:ind w:firstLine="240" w:firstLineChars="100"/>
        <w:jc w:val="both"/>
        <w:rPr>
          <w:rFonts w:hint="default"/>
          <w:lang w:val="en-US"/>
        </w:rPr>
      </w:pPr>
      <w:r>
        <w:rPr>
          <w:rFonts w:hint="default"/>
          <w:b/>
          <w:bCs/>
          <w:lang w:val="en-US"/>
        </w:rPr>
        <w:t>6.1 CONCLUSION</w:t>
      </w:r>
    </w:p>
    <w:p w14:paraId="190BAC65">
      <w:pPr>
        <w:spacing w:line="360" w:lineRule="auto"/>
        <w:ind w:firstLine="720" w:firstLineChars="0"/>
        <w:jc w:val="both"/>
      </w:pPr>
      <w:r>
        <w:rPr>
          <w:rFonts w:hint="default"/>
        </w:rPr>
        <w:t>In Phase 1 we proposed ASSRD, a server-side ransomware detector that reads only the create, rename and delete metadata a file server already records. Our design began from one observation drawn from the literature: the ceiling of count-based detection is an artefact of the aggregation horizon, not a limit of the evidence. Where the base method reduced each one-second window to three integers, we replaced those counts with 26 trailing features across 3, 5, 10 and 30-second horizons and set the threshold by minimising cost rather than fixing it at 0.5. A controlled ablation confirms this: the temporal groups raise the ROC area from 0.9564 to 0.9997, lift sensitivity from 0.5808 to 0.9630 and cut total cost from 2504 to 226, showing horizon rather than feature diversity to be the binding constraint. The limitations are equally clear. All attack traffic comes from a behaviour-faithful emulator rather than executed malware, so no figure is a field detection rate, and in-place modification without a rename lies outside our observation set. Most importantly, rate-limited encryption defeats our detector, with zero sensitivity at or below roughly fifteen files per second, and that collapse is the phase's most important finding.</w:t>
      </w:r>
    </w:p>
    <w:p w14:paraId="32C68589"/>
    <w:p w14:paraId="111EFA5A"/>
    <w:p w14:paraId="621B14EC"/>
    <w:p w14:paraId="57FCA61E"/>
    <w:p w14:paraId="76193A30"/>
    <w:p w14:paraId="1805509B"/>
    <w:p w14:paraId="6F6BB773"/>
    <w:p w14:paraId="2C16E99B"/>
    <w:p w14:paraId="490C73E3">
      <w:pPr>
        <w:pStyle w:val="2"/>
        <w:spacing w:before="120" w:after="240"/>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CHAPTER 7</w:t>
      </w:r>
    </w:p>
    <w:p w14:paraId="7DC6AD2B">
      <w:pPr>
        <w:pStyle w:val="2"/>
        <w:spacing w:before="120" w:after="240"/>
        <w:rPr>
          <w:rFonts w:ascii="Times New Roman" w:hAnsi="Times New Roman" w:cs="Times New Roman"/>
          <w:b/>
          <w:bCs/>
          <w:sz w:val="28"/>
          <w:szCs w:val="28"/>
        </w:rPr>
      </w:pPr>
      <w:r>
        <w:rPr>
          <w:rFonts w:ascii="Times New Roman" w:hAnsi="Times New Roman" w:cs="Times New Roman"/>
          <w:b/>
          <w:bCs/>
          <w:color w:val="000000"/>
          <w:sz w:val="28"/>
          <w:szCs w:val="28"/>
        </w:rPr>
        <w:t>7. APPENDIX</w:t>
      </w:r>
    </w:p>
    <w:p w14:paraId="49EE456E">
      <w:pPr>
        <w:pStyle w:val="3"/>
        <w:spacing w:before="200" w:after="120"/>
        <w:jc w:val="both"/>
        <w:rPr>
          <w:rFonts w:ascii="Times New Roman" w:hAnsi="Times New Roman" w:cs="Times New Roman"/>
          <w:b/>
          <w:bCs/>
          <w:sz w:val="24"/>
          <w:szCs w:val="24"/>
        </w:rPr>
      </w:pPr>
      <w:r>
        <w:rPr>
          <w:rFonts w:ascii="Times New Roman" w:hAnsi="Times New Roman" w:cs="Times New Roman"/>
          <w:b/>
          <w:bCs/>
          <w:color w:val="000000"/>
          <w:sz w:val="24"/>
          <w:szCs w:val="24"/>
        </w:rPr>
        <w:t xml:space="preserve">  7.1 SOURCE CODE STRUCTURE</w:t>
      </w:r>
    </w:p>
    <w:p w14:paraId="54EA5BB6">
      <w:pPr>
        <w:spacing w:after="120" w:line="360" w:lineRule="auto"/>
        <w:ind w:left="142" w:firstLine="720"/>
        <w:jc w:val="both"/>
        <w:rPr>
          <w:sz w:val="24"/>
          <w:szCs w:val="24"/>
        </w:rPr>
      </w:pPr>
      <w:r>
        <w:t>The implementation is organised into the following principal components. The application entry point (app.py) provides the monitoring loop, the REST API and the dashboard. The machine-learning package (ml/) contains the attack emulator, the trace builder, the streaming feature engine, the training pipeline, the metrics, the statistics, the threshold selection, the attribution, the drift monitor and the experiment drivers. The monitoring package implements hysteresis, abstention and the canary mechanism. The alerting package provides the log, webhook, email and syslog sinks with deduplication. The benchmarks directory measures ingest, feature and inference latency. The tests directory contains the automated test suite, and the continuous-integration workflow repeats</w:t>
      </w:r>
      <w:r>
        <w:rPr>
          <w:sz w:val="24"/>
          <w:szCs w:val="24"/>
        </w:rPr>
        <w:t xml:space="preserve"> the end-to-end pipeline on two Python versions.</w:t>
      </w:r>
    </w:p>
    <w:tbl>
      <w:tblPr>
        <w:tblStyle w:val="18"/>
        <w:tblW w:w="8544" w:type="dxa"/>
        <w:tblInd w:w="2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416"/>
        <w:gridCol w:w="5580"/>
      </w:tblGrid>
      <w:tr w14:paraId="66323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DCD2B49">
            <w:pPr>
              <w:pStyle w:val="16"/>
              <w:widowControl/>
              <w:jc w:val="center"/>
              <w:rPr>
                <w:rFonts w:eastAsia="Times New Roman"/>
                <w:sz w:val="24"/>
                <w:szCs w:val="24"/>
              </w:rPr>
            </w:pPr>
            <w:r>
              <w:rPr>
                <w:b/>
                <w:bCs/>
                <w:sz w:val="24"/>
                <w:szCs w:val="24"/>
              </w:rPr>
              <w:t>Path</w:t>
            </w:r>
          </w:p>
        </w:tc>
        <w:tc>
          <w:tcPr>
            <w:tcW w:w="1416" w:type="dxa"/>
            <w:vAlign w:val="center"/>
          </w:tcPr>
          <w:p w14:paraId="03026504">
            <w:pPr>
              <w:pStyle w:val="16"/>
              <w:widowControl/>
              <w:jc w:val="center"/>
              <w:rPr>
                <w:rFonts w:eastAsia="Times New Roman"/>
                <w:sz w:val="24"/>
                <w:szCs w:val="24"/>
              </w:rPr>
            </w:pPr>
            <w:r>
              <w:rPr>
                <w:b/>
                <w:bCs/>
                <w:sz w:val="24"/>
                <w:szCs w:val="24"/>
              </w:rPr>
              <w:t>Kind</w:t>
            </w:r>
          </w:p>
        </w:tc>
        <w:tc>
          <w:tcPr>
            <w:tcW w:w="5580" w:type="dxa"/>
            <w:vAlign w:val="center"/>
          </w:tcPr>
          <w:p w14:paraId="0DEA0799">
            <w:pPr>
              <w:pStyle w:val="16"/>
              <w:widowControl/>
              <w:jc w:val="center"/>
              <w:rPr>
                <w:rFonts w:eastAsia="Times New Roman"/>
                <w:sz w:val="24"/>
                <w:szCs w:val="24"/>
              </w:rPr>
            </w:pPr>
            <w:r>
              <w:rPr>
                <w:b/>
                <w:bCs/>
                <w:sz w:val="24"/>
                <w:szCs w:val="24"/>
              </w:rPr>
              <w:t>Responsibility</w:t>
            </w:r>
          </w:p>
        </w:tc>
      </w:tr>
      <w:tr w14:paraId="0B46B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2F1315A4">
            <w:pPr>
              <w:pStyle w:val="16"/>
              <w:widowControl/>
              <w:spacing w:line="360" w:lineRule="auto"/>
              <w:jc w:val="both"/>
              <w:rPr>
                <w:rFonts w:eastAsia="Times New Roman"/>
                <w:sz w:val="24"/>
                <w:szCs w:val="24"/>
              </w:rPr>
            </w:pPr>
            <w:r>
              <w:rPr>
                <w:rStyle w:val="15"/>
                <w:rFonts w:ascii="Times New Roman" w:hAnsi="Times New Roman" w:cs="Times New Roman"/>
                <w:sz w:val="24"/>
                <w:szCs w:val="24"/>
              </w:rPr>
              <w:t>app.py</w:t>
            </w:r>
          </w:p>
        </w:tc>
        <w:tc>
          <w:tcPr>
            <w:tcW w:w="1416" w:type="dxa"/>
            <w:vAlign w:val="center"/>
          </w:tcPr>
          <w:p w14:paraId="0A3203B5">
            <w:pPr>
              <w:pStyle w:val="16"/>
              <w:widowControl/>
              <w:spacing w:line="360" w:lineRule="auto"/>
              <w:jc w:val="both"/>
              <w:rPr>
                <w:rFonts w:eastAsia="Times New Roman"/>
                <w:sz w:val="24"/>
                <w:szCs w:val="24"/>
              </w:rPr>
            </w:pPr>
            <w:r>
              <w:rPr>
                <w:sz w:val="24"/>
                <w:szCs w:val="24"/>
              </w:rPr>
              <w:t>Flask entry point</w:t>
            </w:r>
          </w:p>
        </w:tc>
        <w:tc>
          <w:tcPr>
            <w:tcW w:w="5580" w:type="dxa"/>
            <w:vAlign w:val="center"/>
          </w:tcPr>
          <w:p w14:paraId="3BC4E30A">
            <w:pPr>
              <w:pStyle w:val="16"/>
              <w:widowControl/>
              <w:spacing w:line="360" w:lineRule="auto"/>
              <w:jc w:val="both"/>
              <w:rPr>
                <w:rFonts w:eastAsia="Times New Roman"/>
                <w:sz w:val="24"/>
                <w:szCs w:val="24"/>
              </w:rPr>
            </w:pPr>
            <w:r>
              <w:rPr>
                <w:sz w:val="24"/>
                <w:szCs w:val="24"/>
              </w:rPr>
              <w:t>Orchestrates the Flask + SocketIO server, the simulation and real-monitoring loops, the shared per-tick inference, the REST endpoints and the dashboard route; loads or trains the models at start-up.</w:t>
            </w:r>
          </w:p>
        </w:tc>
      </w:tr>
      <w:tr w14:paraId="576D0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2FB4EB2">
            <w:pPr>
              <w:pStyle w:val="16"/>
              <w:widowControl/>
              <w:spacing w:line="360" w:lineRule="auto"/>
              <w:jc w:val="both"/>
              <w:rPr>
                <w:rFonts w:eastAsia="Times New Roman"/>
                <w:sz w:val="24"/>
                <w:szCs w:val="24"/>
              </w:rPr>
            </w:pPr>
            <w:r>
              <w:rPr>
                <w:rStyle w:val="15"/>
                <w:rFonts w:ascii="Times New Roman" w:hAnsi="Times New Roman" w:cs="Times New Roman"/>
                <w:sz w:val="24"/>
                <w:szCs w:val="24"/>
              </w:rPr>
              <w:t>ml_engine.py</w:t>
            </w:r>
          </w:p>
        </w:tc>
        <w:tc>
          <w:tcPr>
            <w:tcW w:w="1416" w:type="dxa"/>
            <w:vAlign w:val="center"/>
          </w:tcPr>
          <w:p w14:paraId="6E06D349">
            <w:pPr>
              <w:pStyle w:val="16"/>
              <w:widowControl/>
              <w:spacing w:line="360" w:lineRule="auto"/>
              <w:jc w:val="both"/>
              <w:rPr>
                <w:rFonts w:eastAsia="Times New Roman"/>
                <w:sz w:val="24"/>
                <w:szCs w:val="24"/>
              </w:rPr>
            </w:pPr>
            <w:r>
              <w:rPr>
                <w:sz w:val="24"/>
                <w:szCs w:val="24"/>
              </w:rPr>
              <w:t>Model layer</w:t>
            </w:r>
          </w:p>
        </w:tc>
        <w:tc>
          <w:tcPr>
            <w:tcW w:w="5580" w:type="dxa"/>
            <w:vAlign w:val="center"/>
          </w:tcPr>
          <w:p w14:paraId="16E48272">
            <w:pPr>
              <w:pStyle w:val="16"/>
              <w:widowControl/>
              <w:spacing w:line="360" w:lineRule="auto"/>
              <w:jc w:val="both"/>
              <w:rPr>
                <w:rFonts w:eastAsia="Times New Roman"/>
                <w:sz w:val="24"/>
                <w:szCs w:val="24"/>
              </w:rPr>
            </w:pPr>
            <w:r>
              <w:rPr>
                <w:sz w:val="24"/>
                <w:szCs w:val="24"/>
              </w:rPr>
              <w:t>The five estimators (Decision Tree, Random Forest, calibrated SVM, AdaBoost, XGBoost), the hyperparameter grids used by the live trainer, predict/predict_batch inference on the five operation counts, and joblib persistence.</w:t>
            </w:r>
          </w:p>
        </w:tc>
      </w:tr>
      <w:tr w14:paraId="3C54E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0D3FA90E">
            <w:pPr>
              <w:pStyle w:val="16"/>
              <w:widowControl/>
              <w:spacing w:line="360" w:lineRule="auto"/>
              <w:jc w:val="both"/>
              <w:rPr>
                <w:rFonts w:eastAsia="Times New Roman"/>
                <w:sz w:val="24"/>
                <w:szCs w:val="24"/>
              </w:rPr>
            </w:pPr>
            <w:r>
              <w:rPr>
                <w:rStyle w:val="15"/>
                <w:rFonts w:ascii="Times New Roman" w:hAnsi="Times New Roman" w:cs="Times New Roman"/>
                <w:sz w:val="24"/>
                <w:szCs w:val="24"/>
              </w:rPr>
              <w:t>database.py</w:t>
            </w:r>
          </w:p>
        </w:tc>
        <w:tc>
          <w:tcPr>
            <w:tcW w:w="1416" w:type="dxa"/>
            <w:vAlign w:val="center"/>
          </w:tcPr>
          <w:p w14:paraId="5E452A84">
            <w:pPr>
              <w:pStyle w:val="16"/>
              <w:widowControl/>
              <w:spacing w:line="360" w:lineRule="auto"/>
              <w:jc w:val="both"/>
              <w:rPr>
                <w:rFonts w:eastAsia="Times New Roman"/>
                <w:sz w:val="24"/>
                <w:szCs w:val="24"/>
              </w:rPr>
            </w:pPr>
            <w:r>
              <w:rPr>
                <w:sz w:val="24"/>
                <w:szCs w:val="24"/>
              </w:rPr>
              <w:t>Persistence</w:t>
            </w:r>
          </w:p>
        </w:tc>
        <w:tc>
          <w:tcPr>
            <w:tcW w:w="5580" w:type="dxa"/>
            <w:vAlign w:val="center"/>
          </w:tcPr>
          <w:p w14:paraId="1E7CFF25">
            <w:pPr>
              <w:pStyle w:val="16"/>
              <w:widowControl/>
              <w:spacing w:line="360" w:lineRule="auto"/>
              <w:jc w:val="both"/>
              <w:rPr>
                <w:rFonts w:eastAsia="Times New Roman"/>
                <w:sz w:val="24"/>
                <w:szCs w:val="24"/>
              </w:rPr>
            </w:pPr>
            <w:r>
              <w:rPr>
                <w:sz w:val="24"/>
                <w:szCs w:val="24"/>
              </w:rPr>
              <w:t>SQLite schema (file_operations, detection_alerts, attack_sessions, system_stats), the write path for every window and every decision, the read path for the dashboard, the legacy-to-five-column migration, and retention.</w:t>
            </w:r>
          </w:p>
        </w:tc>
      </w:tr>
      <w:tr w14:paraId="670B5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1FEA405B">
            <w:pPr>
              <w:pStyle w:val="16"/>
              <w:widowControl/>
              <w:spacing w:line="360" w:lineRule="auto"/>
              <w:jc w:val="both"/>
              <w:rPr>
                <w:rFonts w:eastAsia="Times New Roman"/>
                <w:sz w:val="24"/>
                <w:szCs w:val="24"/>
              </w:rPr>
            </w:pPr>
            <w:r>
              <w:rPr>
                <w:rStyle w:val="15"/>
                <w:rFonts w:ascii="Times New Roman" w:hAnsi="Times New Roman" w:cs="Times New Roman"/>
                <w:sz w:val="24"/>
                <w:szCs w:val="24"/>
              </w:rPr>
              <w:t>real_monitor.py</w:t>
            </w:r>
          </w:p>
        </w:tc>
        <w:tc>
          <w:tcPr>
            <w:tcW w:w="1416" w:type="dxa"/>
            <w:vAlign w:val="center"/>
          </w:tcPr>
          <w:p w14:paraId="78B3A092">
            <w:pPr>
              <w:pStyle w:val="16"/>
              <w:widowControl/>
              <w:spacing w:line="360" w:lineRule="auto"/>
              <w:jc w:val="both"/>
              <w:rPr>
                <w:rFonts w:eastAsia="Times New Roman"/>
                <w:sz w:val="24"/>
                <w:szCs w:val="24"/>
              </w:rPr>
            </w:pPr>
            <w:r>
              <w:rPr>
                <w:sz w:val="24"/>
                <w:szCs w:val="24"/>
              </w:rPr>
              <w:t>Capture layer</w:t>
            </w:r>
          </w:p>
        </w:tc>
        <w:tc>
          <w:tcPr>
            <w:tcW w:w="5580" w:type="dxa"/>
            <w:vAlign w:val="center"/>
          </w:tcPr>
          <w:p w14:paraId="1E24061D">
            <w:pPr>
              <w:pStyle w:val="16"/>
              <w:widowControl/>
              <w:spacing w:line="360" w:lineRule="auto"/>
              <w:jc w:val="both"/>
              <w:rPr>
                <w:rFonts w:eastAsia="Times New Roman"/>
                <w:sz w:val="24"/>
                <w:szCs w:val="24"/>
              </w:rPr>
            </w:pPr>
            <w:r>
              <w:rPr>
                <w:sz w:val="24"/>
                <w:szCs w:val="24"/>
              </w:rPr>
              <w:t>Passive recursive watchdog observer per monitored folder; thread-safe counting of create, write, read, rename and delete events with nanosecond timestamps; one atomic read-and-reset per second.</w:t>
            </w:r>
          </w:p>
        </w:tc>
      </w:tr>
      <w:tr w14:paraId="2DB5A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8272F73">
            <w:pPr>
              <w:pStyle w:val="16"/>
              <w:widowControl/>
              <w:spacing w:line="360" w:lineRule="auto"/>
              <w:jc w:val="both"/>
              <w:rPr>
                <w:rFonts w:eastAsia="Times New Roman"/>
                <w:sz w:val="24"/>
                <w:szCs w:val="24"/>
              </w:rPr>
            </w:pPr>
            <w:r>
              <w:rPr>
                <w:rStyle w:val="15"/>
                <w:rFonts w:ascii="Times New Roman" w:hAnsi="Times New Roman" w:cs="Times New Roman"/>
                <w:sz w:val="24"/>
                <w:szCs w:val="24"/>
              </w:rPr>
              <w:t>simulation.py</w:t>
            </w:r>
          </w:p>
        </w:tc>
        <w:tc>
          <w:tcPr>
            <w:tcW w:w="1416" w:type="dxa"/>
            <w:vAlign w:val="center"/>
          </w:tcPr>
          <w:p w14:paraId="52540EFD">
            <w:pPr>
              <w:pStyle w:val="16"/>
              <w:widowControl/>
              <w:spacing w:line="360" w:lineRule="auto"/>
              <w:jc w:val="both"/>
              <w:rPr>
                <w:rFonts w:eastAsia="Times New Roman"/>
                <w:sz w:val="24"/>
                <w:szCs w:val="24"/>
              </w:rPr>
            </w:pPr>
            <w:r>
              <w:rPr>
                <w:sz w:val="24"/>
                <w:szCs w:val="24"/>
              </w:rPr>
              <w:t>Emulator</w:t>
            </w:r>
          </w:p>
        </w:tc>
        <w:tc>
          <w:tcPr>
            <w:tcW w:w="5580" w:type="dxa"/>
            <w:vAlign w:val="center"/>
          </w:tcPr>
          <w:p w14:paraId="7DCFF34C">
            <w:pPr>
              <w:pStyle w:val="16"/>
              <w:widowControl/>
              <w:spacing w:line="360" w:lineRule="auto"/>
              <w:jc w:val="both"/>
              <w:rPr>
                <w:rFonts w:eastAsia="Times New Roman"/>
                <w:sz w:val="24"/>
                <w:szCs w:val="24"/>
              </w:rPr>
            </w:pPr>
            <w:r>
              <w:rPr>
                <w:sz w:val="24"/>
                <w:szCs w:val="24"/>
              </w:rPr>
              <w:t>The live demonstration workload: four user profiles, five ransomware families, per-second operation counts and a family-forced attack trigger. Generates the training data used when no log exists.</w:t>
            </w:r>
          </w:p>
        </w:tc>
      </w:tr>
      <w:tr w14:paraId="2EB4F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2BD4516B">
            <w:pPr>
              <w:pStyle w:val="16"/>
              <w:widowControl/>
              <w:spacing w:line="360" w:lineRule="auto"/>
              <w:jc w:val="both"/>
              <w:rPr>
                <w:rFonts w:eastAsia="Times New Roman"/>
                <w:sz w:val="24"/>
                <w:szCs w:val="24"/>
              </w:rPr>
            </w:pPr>
            <w:r>
              <w:rPr>
                <w:rStyle w:val="15"/>
                <w:rFonts w:ascii="Times New Roman" w:hAnsi="Times New Roman" w:cs="Times New Roman"/>
                <w:sz w:val="24"/>
                <w:szCs w:val="24"/>
              </w:rPr>
              <w:t>config.py</w:t>
            </w:r>
          </w:p>
        </w:tc>
        <w:tc>
          <w:tcPr>
            <w:tcW w:w="1416" w:type="dxa"/>
            <w:vAlign w:val="center"/>
          </w:tcPr>
          <w:p w14:paraId="0B44315E">
            <w:pPr>
              <w:pStyle w:val="16"/>
              <w:widowControl/>
              <w:spacing w:line="360" w:lineRule="auto"/>
              <w:jc w:val="both"/>
              <w:rPr>
                <w:rFonts w:eastAsia="Times New Roman"/>
                <w:sz w:val="24"/>
                <w:szCs w:val="24"/>
              </w:rPr>
            </w:pPr>
            <w:r>
              <w:rPr>
                <w:sz w:val="24"/>
                <w:szCs w:val="24"/>
              </w:rPr>
              <w:t>Configuration</w:t>
            </w:r>
          </w:p>
        </w:tc>
        <w:tc>
          <w:tcPr>
            <w:tcW w:w="5580" w:type="dxa"/>
            <w:vAlign w:val="center"/>
          </w:tcPr>
          <w:p w14:paraId="52269F2A">
            <w:pPr>
              <w:pStyle w:val="16"/>
              <w:widowControl/>
              <w:spacing w:line="360" w:lineRule="auto"/>
              <w:jc w:val="both"/>
              <w:rPr>
                <w:rFonts w:eastAsia="Times New Roman"/>
                <w:sz w:val="24"/>
                <w:szCs w:val="24"/>
              </w:rPr>
            </w:pPr>
            <w:r>
              <w:rPr>
                <w:sz w:val="24"/>
                <w:szCs w:val="24"/>
              </w:rPr>
              <w:t>Central parameters: host, port, secret, API key, model directory, simulation intervals, monitor interval, alert probability threshold and database path.</w:t>
            </w:r>
          </w:p>
        </w:tc>
      </w:tr>
      <w:tr w14:paraId="00027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70101808">
            <w:pPr>
              <w:pStyle w:val="16"/>
              <w:widowControl/>
              <w:spacing w:line="360" w:lineRule="auto"/>
              <w:jc w:val="both"/>
              <w:rPr>
                <w:rFonts w:eastAsia="Times New Roman"/>
                <w:sz w:val="24"/>
                <w:szCs w:val="24"/>
              </w:rPr>
            </w:pPr>
            <w:r>
              <w:rPr>
                <w:rStyle w:val="15"/>
                <w:rFonts w:ascii="Times New Roman" w:hAnsi="Times New Roman" w:cs="Times New Roman"/>
                <w:sz w:val="24"/>
                <w:szCs w:val="24"/>
              </w:rPr>
              <w:t>utils.py</w:t>
            </w:r>
          </w:p>
        </w:tc>
        <w:tc>
          <w:tcPr>
            <w:tcW w:w="1416" w:type="dxa"/>
            <w:vAlign w:val="center"/>
          </w:tcPr>
          <w:p w14:paraId="3476E3D7">
            <w:pPr>
              <w:pStyle w:val="16"/>
              <w:widowControl/>
              <w:spacing w:line="360" w:lineRule="auto"/>
              <w:jc w:val="both"/>
              <w:rPr>
                <w:rFonts w:eastAsia="Times New Roman"/>
                <w:sz w:val="24"/>
                <w:szCs w:val="24"/>
              </w:rPr>
            </w:pPr>
            <w:r>
              <w:rPr>
                <w:sz w:val="24"/>
                <w:szCs w:val="24"/>
              </w:rPr>
              <w:t>Shared helpers</w:t>
            </w:r>
          </w:p>
        </w:tc>
        <w:tc>
          <w:tcPr>
            <w:tcW w:w="5580" w:type="dxa"/>
            <w:vAlign w:val="center"/>
          </w:tcPr>
          <w:p w14:paraId="500F8F8A">
            <w:pPr>
              <w:pStyle w:val="16"/>
              <w:widowControl/>
              <w:spacing w:line="360" w:lineRule="auto"/>
              <w:jc w:val="both"/>
              <w:rPr>
                <w:rFonts w:eastAsia="Times New Roman"/>
                <w:sz w:val="24"/>
                <w:szCs w:val="24"/>
              </w:rPr>
            </w:pPr>
            <w:r>
              <w:rPr>
                <w:sz w:val="24"/>
                <w:szCs w:val="24"/>
              </w:rPr>
              <w:t>Byte and timestamp formatting, SHA-256 file hashing for artefact integrity, filename sanitisation, operation ratios and a heuristic risk classification.</w:t>
            </w:r>
          </w:p>
        </w:tc>
      </w:tr>
      <w:tr w14:paraId="50091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78E42342">
            <w:pPr>
              <w:pStyle w:val="16"/>
              <w:widowControl/>
              <w:spacing w:line="360" w:lineRule="auto"/>
              <w:jc w:val="both"/>
              <w:rPr>
                <w:rFonts w:eastAsia="Times New Roman"/>
                <w:sz w:val="24"/>
                <w:szCs w:val="24"/>
              </w:rPr>
            </w:pPr>
            <w:r>
              <w:rPr>
                <w:rStyle w:val="15"/>
                <w:rFonts w:ascii="Times New Roman" w:hAnsi="Times New Roman" w:cs="Times New Roman"/>
                <w:sz w:val="24"/>
                <w:szCs w:val="24"/>
              </w:rPr>
              <w:t>models/</w:t>
            </w:r>
          </w:p>
        </w:tc>
        <w:tc>
          <w:tcPr>
            <w:tcW w:w="1416" w:type="dxa"/>
            <w:vAlign w:val="center"/>
          </w:tcPr>
          <w:p w14:paraId="63298A2B">
            <w:pPr>
              <w:pStyle w:val="16"/>
              <w:widowControl/>
              <w:spacing w:line="360" w:lineRule="auto"/>
              <w:jc w:val="both"/>
              <w:rPr>
                <w:rFonts w:eastAsia="Times New Roman"/>
                <w:sz w:val="24"/>
                <w:szCs w:val="24"/>
              </w:rPr>
            </w:pPr>
            <w:r>
              <w:rPr>
                <w:sz w:val="24"/>
                <w:szCs w:val="24"/>
              </w:rPr>
              <w:t>Model store</w:t>
            </w:r>
          </w:p>
        </w:tc>
        <w:tc>
          <w:tcPr>
            <w:tcW w:w="5580" w:type="dxa"/>
            <w:vAlign w:val="center"/>
          </w:tcPr>
          <w:p w14:paraId="4BA690AD">
            <w:pPr>
              <w:pStyle w:val="16"/>
              <w:widowControl/>
              <w:spacing w:line="360" w:lineRule="auto"/>
              <w:jc w:val="both"/>
              <w:rPr>
                <w:rFonts w:eastAsia="Times New Roman"/>
                <w:sz w:val="24"/>
                <w:szCs w:val="24"/>
              </w:rPr>
            </w:pPr>
            <w:r>
              <w:rPr>
                <w:sz w:val="24"/>
                <w:szCs w:val="24"/>
              </w:rPr>
              <w:t>The persisted estimators (</w:t>
            </w:r>
            <w:r>
              <w:rPr>
                <w:rStyle w:val="15"/>
                <w:rFonts w:ascii="Times New Roman" w:hAnsi="Times New Roman" w:cs="Times New Roman"/>
                <w:sz w:val="24"/>
                <w:szCs w:val="24"/>
              </w:rPr>
              <w:t>ransomware_{dt,rf,svm,ada,xgb}.joblib</w:t>
            </w:r>
            <w:r>
              <w:rPr>
                <w:sz w:val="24"/>
                <w:szCs w:val="24"/>
              </w:rPr>
              <w:t xml:space="preserve">), the fitted </w:t>
            </w:r>
            <w:r>
              <w:rPr>
                <w:rStyle w:val="15"/>
                <w:rFonts w:ascii="Times New Roman" w:hAnsi="Times New Roman" w:cs="Times New Roman"/>
                <w:sz w:val="24"/>
                <w:szCs w:val="24"/>
              </w:rPr>
              <w:t>ransomware_scaler.joblib</w:t>
            </w:r>
            <w:r>
              <w:rPr>
                <w:sz w:val="24"/>
                <w:szCs w:val="24"/>
              </w:rPr>
              <w:t xml:space="preserve"> and the training metrics </w:t>
            </w:r>
            <w:r>
              <w:rPr>
                <w:rStyle w:val="15"/>
                <w:rFonts w:ascii="Times New Roman" w:hAnsi="Times New Roman" w:cs="Times New Roman"/>
                <w:sz w:val="24"/>
                <w:szCs w:val="24"/>
              </w:rPr>
              <w:t>ransomware_metrics.joblib</w:t>
            </w:r>
            <w:r>
              <w:rPr>
                <w:sz w:val="24"/>
                <w:szCs w:val="24"/>
              </w:rPr>
              <w:t>.</w:t>
            </w:r>
          </w:p>
        </w:tc>
      </w:tr>
      <w:tr w14:paraId="66C4C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08A10523">
            <w:pPr>
              <w:pStyle w:val="16"/>
              <w:widowControl/>
              <w:spacing w:line="360" w:lineRule="auto"/>
              <w:jc w:val="both"/>
              <w:rPr>
                <w:rFonts w:eastAsia="Times New Roman"/>
                <w:sz w:val="24"/>
                <w:szCs w:val="24"/>
              </w:rPr>
            </w:pPr>
            <w:r>
              <w:rPr>
                <w:rStyle w:val="15"/>
                <w:rFonts w:ascii="Times New Roman" w:hAnsi="Times New Roman" w:cs="Times New Roman"/>
                <w:sz w:val="24"/>
                <w:szCs w:val="24"/>
              </w:rPr>
              <w:t>models_backup_3feature/</w:t>
            </w:r>
          </w:p>
        </w:tc>
        <w:tc>
          <w:tcPr>
            <w:tcW w:w="1416" w:type="dxa"/>
            <w:vAlign w:val="center"/>
          </w:tcPr>
          <w:p w14:paraId="244ECE35">
            <w:pPr>
              <w:pStyle w:val="16"/>
              <w:widowControl/>
              <w:spacing w:line="360" w:lineRule="auto"/>
              <w:jc w:val="both"/>
              <w:rPr>
                <w:rFonts w:eastAsia="Times New Roman"/>
                <w:sz w:val="24"/>
                <w:szCs w:val="24"/>
              </w:rPr>
            </w:pPr>
            <w:r>
              <w:rPr>
                <w:sz w:val="24"/>
                <w:szCs w:val="24"/>
              </w:rPr>
              <w:t>Model store</w:t>
            </w:r>
          </w:p>
        </w:tc>
        <w:tc>
          <w:tcPr>
            <w:tcW w:w="5580" w:type="dxa"/>
            <w:vAlign w:val="center"/>
          </w:tcPr>
          <w:p w14:paraId="7E498D75">
            <w:pPr>
              <w:pStyle w:val="16"/>
              <w:widowControl/>
              <w:spacing w:line="360" w:lineRule="auto"/>
              <w:jc w:val="both"/>
              <w:rPr>
                <w:rFonts w:eastAsia="Times New Roman"/>
                <w:sz w:val="24"/>
                <w:szCs w:val="24"/>
              </w:rPr>
            </w:pPr>
            <w:r>
              <w:rPr>
                <w:sz w:val="24"/>
                <w:szCs w:val="24"/>
              </w:rPr>
              <w:t>The earlier three-feature estimators, retained for comparison against the temporal-feature models.</w:t>
            </w:r>
          </w:p>
        </w:tc>
      </w:tr>
      <w:tr w14:paraId="577B3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266A615E">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prototype/assrd/features.py</w:t>
            </w:r>
          </w:p>
        </w:tc>
        <w:tc>
          <w:tcPr>
            <w:tcW w:w="1416" w:type="dxa"/>
            <w:vAlign w:val="center"/>
          </w:tcPr>
          <w:p w14:paraId="5A260BF1">
            <w:pPr>
              <w:pStyle w:val="16"/>
              <w:widowControl/>
              <w:spacing w:line="360" w:lineRule="auto"/>
              <w:jc w:val="both"/>
              <w:rPr>
                <w:rFonts w:eastAsia="Times New Roman"/>
                <w:sz w:val="24"/>
                <w:szCs w:val="24"/>
              </w:rPr>
            </w:pPr>
            <w:r>
              <w:rPr>
                <w:sz w:val="24"/>
                <w:szCs w:val="24"/>
              </w:rPr>
              <w:t>Feature layer</w:t>
            </w:r>
          </w:p>
        </w:tc>
        <w:tc>
          <w:tcPr>
            <w:tcW w:w="5580" w:type="dxa"/>
            <w:vAlign w:val="center"/>
          </w:tcPr>
          <w:p w14:paraId="00A5109E">
            <w:pPr>
              <w:pStyle w:val="16"/>
              <w:widowControl/>
              <w:spacing w:line="360" w:lineRule="auto"/>
              <w:jc w:val="both"/>
              <w:rPr>
                <w:rFonts w:eastAsia="Times New Roman"/>
                <w:sz w:val="24"/>
                <w:szCs w:val="24"/>
              </w:rPr>
            </w:pPr>
            <w:r>
              <w:rPr>
                <w:sz w:val="24"/>
                <w:szCs w:val="24"/>
              </w:rPr>
              <w:t>The three raw baseline counts against the 26 trailing temporal features over 3, 5, 10 and 30 seconds: level, activity, volatility, persistence and burst-ratio aggregates, plus the manifest report.</w:t>
            </w:r>
          </w:p>
        </w:tc>
      </w:tr>
      <w:tr w14:paraId="5AE24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2E229B20">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prototype/assrd/data.py</w:t>
            </w:r>
          </w:p>
        </w:tc>
        <w:tc>
          <w:tcPr>
            <w:tcW w:w="1416" w:type="dxa"/>
            <w:vAlign w:val="center"/>
          </w:tcPr>
          <w:p w14:paraId="00A5DDFD">
            <w:pPr>
              <w:pStyle w:val="16"/>
              <w:widowControl/>
              <w:spacing w:line="360" w:lineRule="auto"/>
              <w:jc w:val="both"/>
              <w:rPr>
                <w:rFonts w:eastAsia="Times New Roman"/>
                <w:sz w:val="24"/>
                <w:szCs w:val="24"/>
              </w:rPr>
            </w:pPr>
            <w:r>
              <w:rPr>
                <w:sz w:val="24"/>
                <w:szCs w:val="24"/>
              </w:rPr>
              <w:t>Emulator + splitter</w:t>
            </w:r>
          </w:p>
        </w:tc>
        <w:tc>
          <w:tcPr>
            <w:tcW w:w="5580" w:type="dxa"/>
            <w:vAlign w:val="center"/>
          </w:tcPr>
          <w:p w14:paraId="7641F1B2">
            <w:pPr>
              <w:pStyle w:val="16"/>
              <w:widowControl/>
              <w:spacing w:line="360" w:lineRule="auto"/>
              <w:jc w:val="both"/>
              <w:rPr>
                <w:rFonts w:eastAsia="Times New Roman"/>
                <w:sz w:val="24"/>
                <w:szCs w:val="24"/>
              </w:rPr>
            </w:pPr>
            <w:r>
              <w:rPr>
                <w:sz w:val="24"/>
                <w:szCs w:val="24"/>
              </w:rPr>
              <w:t>The behaviour-faithful trace builder: eight benign templates from four roles under on-site and remote conditions with diurnal weighting, five family profiles, episode placement, stealth windows, and the episode-aware split.</w:t>
            </w:r>
          </w:p>
        </w:tc>
      </w:tr>
      <w:tr w14:paraId="2B5E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50F08B6">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prototype/assrd/splits.py</w:t>
            </w:r>
          </w:p>
        </w:tc>
        <w:tc>
          <w:tcPr>
            <w:tcW w:w="1416" w:type="dxa"/>
            <w:vAlign w:val="center"/>
          </w:tcPr>
          <w:p w14:paraId="1CCDEE1C">
            <w:pPr>
              <w:pStyle w:val="16"/>
              <w:widowControl/>
              <w:spacing w:line="360" w:lineRule="auto"/>
              <w:jc w:val="both"/>
              <w:rPr>
                <w:rFonts w:eastAsia="Times New Roman"/>
                <w:sz w:val="24"/>
                <w:szCs w:val="24"/>
              </w:rPr>
            </w:pPr>
            <w:r>
              <w:rPr>
                <w:sz w:val="24"/>
                <w:szCs w:val="24"/>
              </w:rPr>
              <w:t>Split layer</w:t>
            </w:r>
          </w:p>
        </w:tc>
        <w:tc>
          <w:tcPr>
            <w:tcW w:w="5580" w:type="dxa"/>
            <w:vAlign w:val="center"/>
          </w:tcPr>
          <w:p w14:paraId="2334604C">
            <w:pPr>
              <w:pStyle w:val="16"/>
              <w:widowControl/>
              <w:spacing w:line="360" w:lineRule="auto"/>
              <w:jc w:val="both"/>
              <w:rPr>
                <w:rFonts w:eastAsia="Times New Roman"/>
                <w:sz w:val="24"/>
                <w:szCs w:val="24"/>
              </w:rPr>
            </w:pPr>
            <w:r>
              <w:rPr>
                <w:sz w:val="24"/>
                <w:szCs w:val="24"/>
              </w:rPr>
              <w:t>Episode assignment under family and stealth coverage constraints, contiguous benign-block allocation, and the leakage check that asserts no episode and no window row spans a partition.</w:t>
            </w:r>
          </w:p>
        </w:tc>
      </w:tr>
      <w:tr w14:paraId="61C0A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7581B56E">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prototype/assrd/models.py</w:t>
            </w:r>
          </w:p>
        </w:tc>
        <w:tc>
          <w:tcPr>
            <w:tcW w:w="1416" w:type="dxa"/>
            <w:vAlign w:val="center"/>
          </w:tcPr>
          <w:p w14:paraId="0C1A226B">
            <w:pPr>
              <w:pStyle w:val="16"/>
              <w:widowControl/>
              <w:spacing w:line="360" w:lineRule="auto"/>
              <w:jc w:val="both"/>
              <w:rPr>
                <w:rFonts w:eastAsia="Times New Roman"/>
                <w:sz w:val="24"/>
                <w:szCs w:val="24"/>
              </w:rPr>
            </w:pPr>
            <w:r>
              <w:rPr>
                <w:sz w:val="24"/>
                <w:szCs w:val="24"/>
              </w:rPr>
              <w:t>Model layer</w:t>
            </w:r>
          </w:p>
        </w:tc>
        <w:tc>
          <w:tcPr>
            <w:tcW w:w="5580" w:type="dxa"/>
            <w:vAlign w:val="center"/>
          </w:tcPr>
          <w:p w14:paraId="61A7143F">
            <w:pPr>
              <w:pStyle w:val="16"/>
              <w:widowControl/>
              <w:spacing w:line="360" w:lineRule="auto"/>
              <w:jc w:val="both"/>
              <w:rPr>
                <w:rFonts w:eastAsia="Times New Roman"/>
                <w:sz w:val="24"/>
                <w:szCs w:val="24"/>
              </w:rPr>
            </w:pPr>
            <w:r>
              <w:rPr>
                <w:sz w:val="24"/>
                <w:szCs w:val="24"/>
              </w:rPr>
              <w:t>The estimator pipelines, the exhaustive per-model grids, recall-scored stratified grid search under the 10:1 sample weights, the SVM calibration layer, and validation-only cost-minimising threshold selection.</w:t>
            </w:r>
          </w:p>
        </w:tc>
      </w:tr>
      <w:tr w14:paraId="57C3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73838D1">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prototype/assrd/metrics.py</w:t>
            </w:r>
          </w:p>
        </w:tc>
        <w:tc>
          <w:tcPr>
            <w:tcW w:w="1416" w:type="dxa"/>
            <w:vAlign w:val="center"/>
          </w:tcPr>
          <w:p w14:paraId="02E86DAA">
            <w:pPr>
              <w:pStyle w:val="16"/>
              <w:widowControl/>
              <w:spacing w:line="360" w:lineRule="auto"/>
              <w:jc w:val="both"/>
              <w:rPr>
                <w:rFonts w:eastAsia="Times New Roman"/>
                <w:sz w:val="24"/>
                <w:szCs w:val="24"/>
              </w:rPr>
            </w:pPr>
            <w:r>
              <w:rPr>
                <w:sz w:val="24"/>
                <w:szCs w:val="24"/>
              </w:rPr>
              <w:t>Metrics</w:t>
            </w:r>
          </w:p>
        </w:tc>
        <w:tc>
          <w:tcPr>
            <w:tcW w:w="5580" w:type="dxa"/>
            <w:vAlign w:val="center"/>
          </w:tcPr>
          <w:p w14:paraId="29C3CE07">
            <w:pPr>
              <w:pStyle w:val="16"/>
              <w:widowControl/>
              <w:spacing w:line="360" w:lineRule="auto"/>
              <w:jc w:val="both"/>
              <w:rPr>
                <w:rFonts w:eastAsia="Times New Roman"/>
                <w:sz w:val="24"/>
                <w:szCs w:val="24"/>
              </w:rPr>
            </w:pPr>
            <w:r>
              <w:rPr>
                <w:sz w:val="24"/>
                <w:szCs w:val="24"/>
              </w:rPr>
              <w:t>The cost model constants (</w:t>
            </w:r>
            <w:r>
              <w:rPr>
                <w:rStyle w:val="15"/>
                <w:rFonts w:ascii="Times New Roman" w:hAnsi="Times New Roman" w:cs="Times New Roman"/>
                <w:sz w:val="24"/>
                <w:szCs w:val="24"/>
              </w:rPr>
              <w:t>C_FP = 1</w:t>
            </w:r>
            <w:r>
              <w:rPr>
                <w:sz w:val="24"/>
                <w:szCs w:val="24"/>
              </w:rPr>
              <w:t xml:space="preserve">, </w:t>
            </w:r>
            <w:r>
              <w:rPr>
                <w:rStyle w:val="15"/>
                <w:rFonts w:ascii="Times New Roman" w:hAnsi="Times New Roman" w:cs="Times New Roman"/>
                <w:sz w:val="24"/>
                <w:szCs w:val="24"/>
              </w:rPr>
              <w:t>C_FN = 10</w:t>
            </w:r>
            <w:r>
              <w:rPr>
                <w:sz w:val="24"/>
                <w:szCs w:val="24"/>
              </w:rPr>
              <w:t>), confusion counts, total cost, the full metric bundle, and locally implemented ROC AUC and average precision with exact tie handling.</w:t>
            </w:r>
          </w:p>
        </w:tc>
      </w:tr>
      <w:tr w14:paraId="2405E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0944999E">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prototype/assrd/ablation.py</w:t>
            </w:r>
          </w:p>
        </w:tc>
        <w:tc>
          <w:tcPr>
            <w:tcW w:w="1416" w:type="dxa"/>
            <w:vAlign w:val="center"/>
          </w:tcPr>
          <w:p w14:paraId="27C60829">
            <w:pPr>
              <w:pStyle w:val="16"/>
              <w:widowControl/>
              <w:spacing w:line="360" w:lineRule="auto"/>
              <w:jc w:val="both"/>
              <w:rPr>
                <w:rFonts w:eastAsia="Times New Roman"/>
                <w:sz w:val="24"/>
                <w:szCs w:val="24"/>
              </w:rPr>
            </w:pPr>
            <w:r>
              <w:rPr>
                <w:sz w:val="24"/>
                <w:szCs w:val="24"/>
              </w:rPr>
              <w:t>Analysis</w:t>
            </w:r>
          </w:p>
        </w:tc>
        <w:tc>
          <w:tcPr>
            <w:tcW w:w="5580" w:type="dxa"/>
            <w:vAlign w:val="center"/>
          </w:tcPr>
          <w:p w14:paraId="7333C47D">
            <w:pPr>
              <w:pStyle w:val="16"/>
              <w:widowControl/>
              <w:spacing w:line="360" w:lineRule="auto"/>
              <w:jc w:val="both"/>
              <w:rPr>
                <w:rFonts w:eastAsia="Times New Roman"/>
                <w:sz w:val="24"/>
                <w:szCs w:val="24"/>
              </w:rPr>
            </w:pPr>
            <w:r>
              <w:rPr>
                <w:sz w:val="24"/>
                <w:szCs w:val="24"/>
              </w:rPr>
              <w:t>The strictly nested feature arms A to E plus the temporal-only arm, the carry-over of the selected hyperparameters, per-family and stealth subgroup evaluation, and the episode-block bootstrap of the operating threshold.</w:t>
            </w:r>
          </w:p>
        </w:tc>
      </w:tr>
      <w:tr w14:paraId="76618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117E7A87">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prototype/assrd/phase2.py</w:t>
            </w:r>
          </w:p>
        </w:tc>
        <w:tc>
          <w:tcPr>
            <w:tcW w:w="1416" w:type="dxa"/>
            <w:vAlign w:val="center"/>
          </w:tcPr>
          <w:p w14:paraId="3C2F507B">
            <w:pPr>
              <w:pStyle w:val="16"/>
              <w:widowControl/>
              <w:spacing w:line="360" w:lineRule="auto"/>
              <w:jc w:val="both"/>
              <w:rPr>
                <w:rFonts w:eastAsia="Times New Roman"/>
                <w:sz w:val="24"/>
                <w:szCs w:val="24"/>
              </w:rPr>
            </w:pPr>
            <w:r>
              <w:rPr>
                <w:sz w:val="24"/>
                <w:szCs w:val="24"/>
              </w:rPr>
              <w:t>Experiment driver</w:t>
            </w:r>
          </w:p>
        </w:tc>
        <w:tc>
          <w:tcPr>
            <w:tcW w:w="5580" w:type="dxa"/>
            <w:vAlign w:val="center"/>
          </w:tcPr>
          <w:p w14:paraId="7E2F4470">
            <w:pPr>
              <w:pStyle w:val="16"/>
              <w:widowControl/>
              <w:spacing w:line="360" w:lineRule="auto"/>
              <w:jc w:val="both"/>
              <w:rPr>
                <w:rFonts w:eastAsia="Times New Roman"/>
                <w:sz w:val="24"/>
                <w:szCs w:val="24"/>
              </w:rPr>
            </w:pPr>
            <w:r>
              <w:rPr>
                <w:sz w:val="24"/>
                <w:szCs w:val="24"/>
              </w:rPr>
              <w:t>The tuning experiment: builds the dataset, tunes each model on the training split, selects the threshold on validation, scores the test split once at the frozen threshold, and writes the JSON and CSV artefacts.</w:t>
            </w:r>
          </w:p>
        </w:tc>
      </w:tr>
      <w:tr w14:paraId="4F185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159F218A">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prototype/assrd/phase3.py</w:t>
            </w:r>
          </w:p>
        </w:tc>
        <w:tc>
          <w:tcPr>
            <w:tcW w:w="1416" w:type="dxa"/>
            <w:vAlign w:val="center"/>
          </w:tcPr>
          <w:p w14:paraId="14D66FB2">
            <w:pPr>
              <w:pStyle w:val="16"/>
              <w:widowControl/>
              <w:spacing w:line="360" w:lineRule="auto"/>
              <w:jc w:val="both"/>
              <w:rPr>
                <w:rFonts w:eastAsia="Times New Roman"/>
                <w:sz w:val="24"/>
                <w:szCs w:val="24"/>
              </w:rPr>
            </w:pPr>
            <w:r>
              <w:rPr>
                <w:sz w:val="24"/>
                <w:szCs w:val="24"/>
              </w:rPr>
              <w:t>Experiment driver</w:t>
            </w:r>
          </w:p>
        </w:tc>
        <w:tc>
          <w:tcPr>
            <w:tcW w:w="5580" w:type="dxa"/>
            <w:vAlign w:val="center"/>
          </w:tcPr>
          <w:p w14:paraId="0187BADD">
            <w:pPr>
              <w:pStyle w:val="16"/>
              <w:widowControl/>
              <w:spacing w:line="360" w:lineRule="auto"/>
              <w:jc w:val="both"/>
              <w:rPr>
                <w:rFonts w:eastAsia="Times New Roman"/>
                <w:sz w:val="24"/>
                <w:szCs w:val="24"/>
              </w:rPr>
            </w:pPr>
            <w:r>
              <w:rPr>
                <w:sz w:val="24"/>
                <w:szCs w:val="24"/>
              </w:rPr>
              <w:t>The ablation experiment: the weighting-by-threshold matrix over all arms, the per-family and stealth breakdowns, the test-oracle diagnostic, manifest validation and artefact hashing.</w:t>
            </w:r>
          </w:p>
        </w:tc>
      </w:tr>
      <w:tr w14:paraId="5F3D7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72D262E0">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prototype/assrd/compat.py</w:t>
            </w:r>
          </w:p>
        </w:tc>
        <w:tc>
          <w:tcPr>
            <w:tcW w:w="1416" w:type="dxa"/>
            <w:vAlign w:val="center"/>
          </w:tcPr>
          <w:p w14:paraId="0C282BA8">
            <w:pPr>
              <w:pStyle w:val="16"/>
              <w:widowControl/>
              <w:spacing w:line="360" w:lineRule="auto"/>
              <w:jc w:val="both"/>
              <w:rPr>
                <w:rFonts w:eastAsia="Times New Roman"/>
                <w:sz w:val="24"/>
                <w:szCs w:val="24"/>
              </w:rPr>
            </w:pPr>
            <w:r>
              <w:rPr>
                <w:sz w:val="24"/>
                <w:szCs w:val="24"/>
              </w:rPr>
              <w:t>Compatibility</w:t>
            </w:r>
          </w:p>
        </w:tc>
        <w:tc>
          <w:tcPr>
            <w:tcW w:w="5580" w:type="dxa"/>
            <w:vAlign w:val="center"/>
          </w:tcPr>
          <w:p w14:paraId="7C1F7E4E">
            <w:pPr>
              <w:pStyle w:val="16"/>
              <w:widowControl/>
              <w:spacing w:line="360" w:lineRule="auto"/>
              <w:jc w:val="both"/>
              <w:rPr>
                <w:rFonts w:eastAsia="Times New Roman"/>
                <w:sz w:val="24"/>
                <w:szCs w:val="24"/>
              </w:rPr>
            </w:pPr>
            <w:r>
              <w:rPr>
                <w:sz w:val="24"/>
                <w:szCs w:val="24"/>
              </w:rPr>
              <w:t>The sklearn/xgboost estimator-tag shim, its runtime diagnosis for the report manifest, and the threading-only joblib backend that keeps the patch inside the interpreter.</w:t>
            </w:r>
          </w:p>
        </w:tc>
      </w:tr>
      <w:tr w14:paraId="14B8E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534A05D8">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prototype/assrd/rebaseline.py</w:t>
            </w:r>
          </w:p>
        </w:tc>
        <w:tc>
          <w:tcPr>
            <w:tcW w:w="1416" w:type="dxa"/>
            <w:vAlign w:val="center"/>
          </w:tcPr>
          <w:p w14:paraId="59CF05A3">
            <w:pPr>
              <w:pStyle w:val="16"/>
              <w:widowControl/>
              <w:spacing w:line="360" w:lineRule="auto"/>
              <w:jc w:val="both"/>
              <w:rPr>
                <w:rFonts w:eastAsia="Times New Roman"/>
                <w:sz w:val="24"/>
                <w:szCs w:val="24"/>
              </w:rPr>
            </w:pPr>
            <w:r>
              <w:rPr>
                <w:sz w:val="24"/>
                <w:szCs w:val="24"/>
              </w:rPr>
              <w:t>Reproducibility</w:t>
            </w:r>
          </w:p>
        </w:tc>
        <w:tc>
          <w:tcPr>
            <w:tcW w:w="5580" w:type="dxa"/>
            <w:vAlign w:val="center"/>
          </w:tcPr>
          <w:p w14:paraId="761813B4">
            <w:pPr>
              <w:pStyle w:val="16"/>
              <w:widowControl/>
              <w:spacing w:line="360" w:lineRule="auto"/>
              <w:jc w:val="both"/>
              <w:rPr>
                <w:rFonts w:eastAsia="Times New Roman"/>
                <w:sz w:val="24"/>
                <w:szCs w:val="24"/>
              </w:rPr>
            </w:pPr>
            <w:r>
              <w:rPr>
                <w:sz w:val="24"/>
                <w:szCs w:val="24"/>
              </w:rPr>
              <w:t>Single-writer locking, pre-run artefact snapshots, SHA-256 baseline hashes, the tiered validation gates, stage validation of the committed results, and rollback.</w:t>
            </w:r>
          </w:p>
        </w:tc>
      </w:tr>
      <w:tr w14:paraId="63AD5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14FFC836">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prototype/assrd/init.py</w:t>
            </w:r>
          </w:p>
        </w:tc>
        <w:tc>
          <w:tcPr>
            <w:tcW w:w="1416" w:type="dxa"/>
            <w:vAlign w:val="center"/>
          </w:tcPr>
          <w:p w14:paraId="33B0781D">
            <w:pPr>
              <w:pStyle w:val="16"/>
              <w:widowControl/>
              <w:spacing w:line="360" w:lineRule="auto"/>
              <w:jc w:val="both"/>
              <w:rPr>
                <w:rFonts w:eastAsia="Times New Roman"/>
                <w:sz w:val="24"/>
                <w:szCs w:val="24"/>
              </w:rPr>
            </w:pPr>
            <w:r>
              <w:rPr>
                <w:sz w:val="24"/>
                <w:szCs w:val="24"/>
              </w:rPr>
              <w:t>Package</w:t>
            </w:r>
          </w:p>
        </w:tc>
        <w:tc>
          <w:tcPr>
            <w:tcW w:w="5580" w:type="dxa"/>
            <w:vAlign w:val="center"/>
          </w:tcPr>
          <w:p w14:paraId="13FCC8BB">
            <w:pPr>
              <w:pStyle w:val="16"/>
              <w:widowControl/>
              <w:spacing w:line="360" w:lineRule="auto"/>
              <w:jc w:val="both"/>
              <w:rPr>
                <w:rFonts w:eastAsia="Times New Roman"/>
                <w:sz w:val="24"/>
                <w:szCs w:val="24"/>
              </w:rPr>
            </w:pPr>
            <w:r>
              <w:rPr>
                <w:sz w:val="24"/>
                <w:szCs w:val="24"/>
              </w:rPr>
              <w:t>Module map and the phase-by-phase description of the prototype.</w:t>
            </w:r>
          </w:p>
        </w:tc>
      </w:tr>
      <w:tr w14:paraId="37780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0C4B38A8">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prototype/results/</w:t>
            </w:r>
          </w:p>
        </w:tc>
        <w:tc>
          <w:tcPr>
            <w:tcW w:w="1416" w:type="dxa"/>
            <w:vAlign w:val="center"/>
          </w:tcPr>
          <w:p w14:paraId="3CC94B04">
            <w:pPr>
              <w:pStyle w:val="16"/>
              <w:widowControl/>
              <w:spacing w:line="360" w:lineRule="auto"/>
              <w:jc w:val="both"/>
              <w:rPr>
                <w:rFonts w:eastAsia="Times New Roman"/>
                <w:sz w:val="24"/>
                <w:szCs w:val="24"/>
              </w:rPr>
            </w:pPr>
            <w:r>
              <w:rPr>
                <w:sz w:val="24"/>
                <w:szCs w:val="24"/>
              </w:rPr>
              <w:t>Artefacts</w:t>
            </w:r>
          </w:p>
        </w:tc>
        <w:tc>
          <w:tcPr>
            <w:tcW w:w="5580" w:type="dxa"/>
            <w:vAlign w:val="center"/>
          </w:tcPr>
          <w:p w14:paraId="114FA4F5">
            <w:pPr>
              <w:pStyle w:val="16"/>
              <w:widowControl/>
              <w:spacing w:line="360" w:lineRule="auto"/>
              <w:jc w:val="both"/>
              <w:rPr>
                <w:rFonts w:eastAsia="Times New Roman"/>
                <w:sz w:val="24"/>
                <w:szCs w:val="24"/>
              </w:rPr>
            </w:pPr>
            <w:r>
              <w:rPr>
                <w:sz w:val="24"/>
                <w:szCs w:val="24"/>
              </w:rPr>
              <w:t xml:space="preserve">The regenerated evidence: </w:t>
            </w:r>
            <w:r>
              <w:rPr>
                <w:rStyle w:val="15"/>
                <w:rFonts w:ascii="Times New Roman" w:hAnsi="Times New Roman" w:cs="Times New Roman"/>
                <w:sz w:val="24"/>
                <w:szCs w:val="24"/>
              </w:rPr>
              <w:t>phase2_results.json</w:t>
            </w:r>
            <w:r>
              <w:rPr>
                <w:sz w:val="24"/>
                <w:szCs w:val="24"/>
              </w:rPr>
              <w:t xml:space="preserve"> with the model and confusion CSVs, and </w:t>
            </w:r>
            <w:r>
              <w:rPr>
                <w:rStyle w:val="15"/>
                <w:rFonts w:ascii="Times New Roman" w:hAnsi="Times New Roman" w:cs="Times New Roman"/>
                <w:sz w:val="24"/>
                <w:szCs w:val="24"/>
              </w:rPr>
              <w:t>phase3_results.json</w:t>
            </w:r>
            <w:r>
              <w:rPr>
                <w:sz w:val="24"/>
                <w:szCs w:val="24"/>
              </w:rPr>
              <w:t xml:space="preserve"> with the ablation, diagnostics, per-family, splits and thresholds CSVs, plus the six-model rebaseline directory.</w:t>
            </w:r>
          </w:p>
        </w:tc>
      </w:tr>
      <w:tr w14:paraId="4DF29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1408483A">
            <w:pPr>
              <w:pStyle w:val="16"/>
              <w:widowControl/>
              <w:spacing w:line="360" w:lineRule="auto"/>
              <w:jc w:val="both"/>
              <w:rPr>
                <w:rFonts w:eastAsia="Times New Roman"/>
                <w:sz w:val="24"/>
                <w:szCs w:val="24"/>
              </w:rPr>
            </w:pPr>
            <w:r>
              <w:rPr>
                <w:rStyle w:val="15"/>
                <w:rFonts w:ascii="Times New Roman" w:hAnsi="Times New Roman" w:cs="Times New Roman"/>
                <w:sz w:val="24"/>
                <w:szCs w:val="24"/>
              </w:rPr>
              <w:t>scripts/evaluate.py</w:t>
            </w:r>
          </w:p>
        </w:tc>
        <w:tc>
          <w:tcPr>
            <w:tcW w:w="1416" w:type="dxa"/>
            <w:vAlign w:val="center"/>
          </w:tcPr>
          <w:p w14:paraId="1CC78AFA">
            <w:pPr>
              <w:pStyle w:val="16"/>
              <w:widowControl/>
              <w:spacing w:line="360" w:lineRule="auto"/>
              <w:jc w:val="both"/>
              <w:rPr>
                <w:rFonts w:eastAsia="Times New Roman"/>
                <w:sz w:val="24"/>
                <w:szCs w:val="24"/>
              </w:rPr>
            </w:pPr>
            <w:r>
              <w:rPr>
                <w:sz w:val="24"/>
                <w:szCs w:val="24"/>
              </w:rPr>
              <w:t>Offline evaluation</w:t>
            </w:r>
          </w:p>
        </w:tc>
        <w:tc>
          <w:tcPr>
            <w:tcW w:w="5580" w:type="dxa"/>
            <w:vAlign w:val="center"/>
          </w:tcPr>
          <w:p w14:paraId="2E2B4B40">
            <w:pPr>
              <w:pStyle w:val="16"/>
              <w:widowControl/>
              <w:spacing w:line="360" w:lineRule="auto"/>
              <w:jc w:val="both"/>
              <w:rPr>
                <w:rFonts w:eastAsia="Times New Roman"/>
                <w:sz w:val="24"/>
                <w:szCs w:val="24"/>
              </w:rPr>
            </w:pPr>
            <w:r>
              <w:rPr>
                <w:sz w:val="24"/>
                <w:szCs w:val="24"/>
              </w:rPr>
              <w:t>Trains the live engine on generated data and prints the comparison table, the confusion matrix and single-window inference checks.</w:t>
            </w:r>
          </w:p>
        </w:tc>
      </w:tr>
      <w:tr w14:paraId="198F7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6E01C613">
            <w:pPr>
              <w:pStyle w:val="16"/>
              <w:widowControl/>
              <w:spacing w:line="360" w:lineRule="auto"/>
              <w:jc w:val="both"/>
              <w:rPr>
                <w:rFonts w:eastAsia="Times New Roman"/>
                <w:sz w:val="24"/>
                <w:szCs w:val="24"/>
              </w:rPr>
            </w:pPr>
            <w:r>
              <w:rPr>
                <w:rStyle w:val="15"/>
                <w:rFonts w:ascii="Times New Roman" w:hAnsi="Times New Roman" w:cs="Times New Roman"/>
                <w:sz w:val="24"/>
                <w:szCs w:val="24"/>
              </w:rPr>
              <w:t>tests/</w:t>
            </w:r>
          </w:p>
        </w:tc>
        <w:tc>
          <w:tcPr>
            <w:tcW w:w="1416" w:type="dxa"/>
            <w:vAlign w:val="center"/>
          </w:tcPr>
          <w:p w14:paraId="5518B63F">
            <w:pPr>
              <w:pStyle w:val="16"/>
              <w:widowControl/>
              <w:spacing w:line="360" w:lineRule="auto"/>
              <w:jc w:val="both"/>
              <w:rPr>
                <w:rFonts w:eastAsia="Times New Roman"/>
                <w:sz w:val="24"/>
                <w:szCs w:val="24"/>
              </w:rPr>
            </w:pPr>
            <w:r>
              <w:rPr>
                <w:sz w:val="24"/>
                <w:szCs w:val="24"/>
              </w:rPr>
              <w:t>Regression suite</w:t>
            </w:r>
          </w:p>
        </w:tc>
        <w:tc>
          <w:tcPr>
            <w:tcW w:w="5580" w:type="dxa"/>
            <w:vAlign w:val="center"/>
          </w:tcPr>
          <w:p w14:paraId="301465BB">
            <w:pPr>
              <w:pStyle w:val="16"/>
              <w:widowControl/>
              <w:spacing w:line="360" w:lineRule="auto"/>
              <w:jc w:val="both"/>
              <w:rPr>
                <w:rFonts w:eastAsia="Times New Roman"/>
                <w:sz w:val="24"/>
                <w:szCs w:val="24"/>
              </w:rPr>
            </w:pPr>
            <w:r>
              <w:rPr>
                <w:sz w:val="24"/>
                <w:szCs w:val="24"/>
              </w:rPr>
              <w:t>61 unit and integration tests over the database, the ML engine, the real monitor, the simulator, the API and the security configuration.</w:t>
            </w:r>
          </w:p>
        </w:tc>
      </w:tr>
      <w:tr w14:paraId="759B0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30F18D4A">
            <w:pPr>
              <w:pStyle w:val="16"/>
              <w:widowControl/>
              <w:spacing w:line="360" w:lineRule="auto"/>
              <w:jc w:val="both"/>
              <w:rPr>
                <w:rFonts w:eastAsia="Times New Roman"/>
                <w:sz w:val="24"/>
                <w:szCs w:val="24"/>
              </w:rPr>
            </w:pPr>
            <w:r>
              <w:rPr>
                <w:rStyle w:val="15"/>
                <w:rFonts w:ascii="Times New Roman" w:hAnsi="Times New Roman" w:cs="Times New Roman"/>
                <w:sz w:val="24"/>
                <w:szCs w:val="24"/>
              </w:rPr>
              <w:t>prototype/tests/</w:t>
            </w:r>
          </w:p>
        </w:tc>
        <w:tc>
          <w:tcPr>
            <w:tcW w:w="1416" w:type="dxa"/>
            <w:vAlign w:val="center"/>
          </w:tcPr>
          <w:p w14:paraId="3DC60F1F">
            <w:pPr>
              <w:pStyle w:val="16"/>
              <w:widowControl/>
              <w:spacing w:line="360" w:lineRule="auto"/>
              <w:jc w:val="both"/>
              <w:rPr>
                <w:rFonts w:eastAsia="Times New Roman"/>
                <w:sz w:val="24"/>
                <w:szCs w:val="24"/>
              </w:rPr>
            </w:pPr>
            <w:r>
              <w:rPr>
                <w:sz w:val="24"/>
                <w:szCs w:val="24"/>
              </w:rPr>
              <w:t>Regression suite</w:t>
            </w:r>
          </w:p>
        </w:tc>
        <w:tc>
          <w:tcPr>
            <w:tcW w:w="5580" w:type="dxa"/>
            <w:vAlign w:val="center"/>
          </w:tcPr>
          <w:p w14:paraId="723EFDC9">
            <w:pPr>
              <w:pStyle w:val="16"/>
              <w:widowControl/>
              <w:spacing w:line="360" w:lineRule="auto"/>
              <w:jc w:val="both"/>
              <w:rPr>
                <w:rFonts w:eastAsia="Times New Roman"/>
                <w:sz w:val="24"/>
                <w:szCs w:val="24"/>
              </w:rPr>
            </w:pPr>
            <w:r>
              <w:rPr>
                <w:sz w:val="24"/>
                <w:szCs w:val="24"/>
              </w:rPr>
              <w:t>114 tests over the emulator, the splits, the tuning experiment, the ablation experiment and the reproducibility gates.</w:t>
            </w:r>
          </w:p>
        </w:tc>
      </w:tr>
      <w:tr w14:paraId="1648F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584C5C61">
            <w:pPr>
              <w:pStyle w:val="16"/>
              <w:widowControl/>
              <w:spacing w:line="360" w:lineRule="auto"/>
              <w:jc w:val="both"/>
              <w:rPr>
                <w:rFonts w:eastAsia="Times New Roman"/>
                <w:sz w:val="24"/>
                <w:szCs w:val="24"/>
              </w:rPr>
            </w:pPr>
            <w:r>
              <w:rPr>
                <w:rStyle w:val="15"/>
                <w:rFonts w:ascii="Times New Roman" w:hAnsi="Times New Roman" w:cs="Times New Roman"/>
                <w:sz w:val="24"/>
                <w:szCs w:val="24"/>
              </w:rPr>
              <w:t>templates/index.html</w:t>
            </w:r>
          </w:p>
        </w:tc>
        <w:tc>
          <w:tcPr>
            <w:tcW w:w="1416" w:type="dxa"/>
            <w:vAlign w:val="center"/>
          </w:tcPr>
          <w:p w14:paraId="0480E58F">
            <w:pPr>
              <w:pStyle w:val="16"/>
              <w:widowControl/>
              <w:spacing w:line="360" w:lineRule="auto"/>
              <w:jc w:val="both"/>
              <w:rPr>
                <w:rFonts w:eastAsia="Times New Roman"/>
                <w:sz w:val="24"/>
                <w:szCs w:val="24"/>
              </w:rPr>
            </w:pPr>
            <w:r>
              <w:rPr>
                <w:sz w:val="24"/>
                <w:szCs w:val="24"/>
              </w:rPr>
              <w:t>Dashboard</w:t>
            </w:r>
          </w:p>
        </w:tc>
        <w:tc>
          <w:tcPr>
            <w:tcW w:w="5580" w:type="dxa"/>
            <w:vAlign w:val="center"/>
          </w:tcPr>
          <w:p w14:paraId="5FF35D23">
            <w:pPr>
              <w:pStyle w:val="16"/>
              <w:widowControl/>
              <w:spacing w:line="360" w:lineRule="auto"/>
              <w:jc w:val="both"/>
              <w:rPr>
                <w:rFonts w:eastAsia="Times New Roman"/>
                <w:sz w:val="24"/>
                <w:szCs w:val="24"/>
              </w:rPr>
            </w:pPr>
            <w:r>
              <w:rPr>
                <w:sz w:val="24"/>
                <w:szCs w:val="24"/>
              </w:rPr>
              <w:t>The single-page dashboard markup, including the Chart.js canvases for the timeline and metric charts.</w:t>
            </w:r>
          </w:p>
        </w:tc>
      </w:tr>
      <w:tr w14:paraId="065CA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0962E3D3">
            <w:pPr>
              <w:pStyle w:val="16"/>
              <w:widowControl/>
              <w:spacing w:line="360" w:lineRule="auto"/>
              <w:jc w:val="both"/>
              <w:rPr>
                <w:rFonts w:eastAsia="Times New Roman"/>
                <w:sz w:val="24"/>
                <w:szCs w:val="24"/>
              </w:rPr>
            </w:pPr>
            <w:r>
              <w:rPr>
                <w:rStyle w:val="15"/>
                <w:rFonts w:ascii="Times New Roman" w:hAnsi="Times New Roman" w:cs="Times New Roman"/>
                <w:sz w:val="24"/>
                <w:szCs w:val="24"/>
              </w:rPr>
              <w:t>static/js/dashboard.js</w:t>
            </w:r>
          </w:p>
        </w:tc>
        <w:tc>
          <w:tcPr>
            <w:tcW w:w="1416" w:type="dxa"/>
            <w:vAlign w:val="center"/>
          </w:tcPr>
          <w:p w14:paraId="31CACCBA">
            <w:pPr>
              <w:pStyle w:val="16"/>
              <w:widowControl/>
              <w:spacing w:line="360" w:lineRule="auto"/>
              <w:jc w:val="both"/>
              <w:rPr>
                <w:rFonts w:eastAsia="Times New Roman"/>
                <w:sz w:val="24"/>
                <w:szCs w:val="24"/>
              </w:rPr>
            </w:pPr>
            <w:r>
              <w:rPr>
                <w:sz w:val="24"/>
                <w:szCs w:val="24"/>
              </w:rPr>
              <w:t>Dashboard source</w:t>
            </w:r>
          </w:p>
        </w:tc>
        <w:tc>
          <w:tcPr>
            <w:tcW w:w="5580" w:type="dxa"/>
            <w:vAlign w:val="center"/>
          </w:tcPr>
          <w:p w14:paraId="4C1CC274">
            <w:pPr>
              <w:pStyle w:val="16"/>
              <w:widowControl/>
              <w:spacing w:line="360" w:lineRule="auto"/>
              <w:jc w:val="both"/>
              <w:rPr>
                <w:rFonts w:eastAsia="Times New Roman"/>
                <w:sz w:val="24"/>
                <w:szCs w:val="24"/>
              </w:rPr>
            </w:pPr>
            <w:r>
              <w:rPr>
                <w:sz w:val="24"/>
                <w:szCs w:val="24"/>
              </w:rPr>
              <w:t>The Socket.IO client: event handlers for the tick feed, alert feed, simulation and monitoring controls, and the chart and table updates.</w:t>
            </w:r>
          </w:p>
        </w:tc>
      </w:tr>
      <w:tr w14:paraId="2A148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2CC6FAFB">
            <w:pPr>
              <w:pStyle w:val="16"/>
              <w:widowControl/>
              <w:spacing w:line="360" w:lineRule="auto"/>
              <w:jc w:val="both"/>
              <w:rPr>
                <w:rFonts w:eastAsia="Times New Roman"/>
                <w:sz w:val="24"/>
                <w:szCs w:val="24"/>
              </w:rPr>
            </w:pPr>
            <w:r>
              <w:rPr>
                <w:rStyle w:val="15"/>
                <w:rFonts w:ascii="Times New Roman" w:hAnsi="Times New Roman" w:cs="Times New Roman"/>
                <w:sz w:val="24"/>
                <w:szCs w:val="24"/>
              </w:rPr>
              <w:t>static/css/style.css</w:t>
            </w:r>
          </w:p>
        </w:tc>
        <w:tc>
          <w:tcPr>
            <w:tcW w:w="1416" w:type="dxa"/>
            <w:vAlign w:val="center"/>
          </w:tcPr>
          <w:p w14:paraId="68972B59">
            <w:pPr>
              <w:pStyle w:val="16"/>
              <w:widowControl/>
              <w:spacing w:line="360" w:lineRule="auto"/>
              <w:jc w:val="both"/>
              <w:rPr>
                <w:rFonts w:eastAsia="Times New Roman"/>
                <w:sz w:val="24"/>
                <w:szCs w:val="24"/>
              </w:rPr>
            </w:pPr>
            <w:r>
              <w:rPr>
                <w:sz w:val="24"/>
                <w:szCs w:val="24"/>
              </w:rPr>
              <w:t>Dashboard source</w:t>
            </w:r>
          </w:p>
        </w:tc>
        <w:tc>
          <w:tcPr>
            <w:tcW w:w="5580" w:type="dxa"/>
            <w:vAlign w:val="center"/>
          </w:tcPr>
          <w:p w14:paraId="0A66F011">
            <w:pPr>
              <w:pStyle w:val="16"/>
              <w:widowControl/>
              <w:spacing w:line="360" w:lineRule="auto"/>
              <w:jc w:val="both"/>
              <w:rPr>
                <w:rFonts w:eastAsia="Times New Roman"/>
                <w:sz w:val="24"/>
                <w:szCs w:val="24"/>
              </w:rPr>
            </w:pPr>
            <w:r>
              <w:rPr>
                <w:sz w:val="24"/>
                <w:szCs w:val="24"/>
              </w:rPr>
              <w:t>The dashboard stylesheet and the dark monitoring-console layout.</w:t>
            </w:r>
          </w:p>
        </w:tc>
      </w:tr>
      <w:tr w14:paraId="21F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7014486B">
            <w:pPr>
              <w:pStyle w:val="16"/>
              <w:widowControl/>
              <w:spacing w:line="360" w:lineRule="auto"/>
              <w:jc w:val="both"/>
              <w:rPr>
                <w:rFonts w:eastAsia="Times New Roman"/>
                <w:sz w:val="24"/>
                <w:szCs w:val="24"/>
              </w:rPr>
            </w:pPr>
            <w:r>
              <w:rPr>
                <w:rStyle w:val="15"/>
                <w:rFonts w:ascii="Times New Roman" w:hAnsi="Times New Roman" w:cs="Times New Roman"/>
                <w:sz w:val="24"/>
                <w:szCs w:val="24"/>
              </w:rPr>
              <w:t>requirements.txt</w:t>
            </w:r>
          </w:p>
        </w:tc>
        <w:tc>
          <w:tcPr>
            <w:tcW w:w="1416" w:type="dxa"/>
            <w:vAlign w:val="center"/>
          </w:tcPr>
          <w:p w14:paraId="552B3079">
            <w:pPr>
              <w:pStyle w:val="16"/>
              <w:widowControl/>
              <w:spacing w:line="360" w:lineRule="auto"/>
              <w:jc w:val="both"/>
              <w:rPr>
                <w:rFonts w:eastAsia="Times New Roman"/>
                <w:sz w:val="24"/>
                <w:szCs w:val="24"/>
              </w:rPr>
            </w:pPr>
            <w:r>
              <w:rPr>
                <w:sz w:val="24"/>
                <w:szCs w:val="24"/>
              </w:rPr>
              <w:t>Dependency list</w:t>
            </w:r>
          </w:p>
        </w:tc>
        <w:tc>
          <w:tcPr>
            <w:tcW w:w="5580" w:type="dxa"/>
            <w:vAlign w:val="center"/>
          </w:tcPr>
          <w:p w14:paraId="74EF78AE">
            <w:pPr>
              <w:pStyle w:val="16"/>
              <w:widowControl/>
              <w:spacing w:line="360" w:lineRule="auto"/>
              <w:jc w:val="both"/>
              <w:rPr>
                <w:rFonts w:eastAsia="Times New Roman"/>
                <w:sz w:val="24"/>
                <w:szCs w:val="24"/>
              </w:rPr>
            </w:pPr>
            <w:r>
              <w:rPr>
                <w:sz w:val="24"/>
                <w:szCs w:val="24"/>
              </w:rPr>
              <w:t>Pinned Python packages: Flask, Flask-SocketIO, Flask-CORS, python-socketio, python-engineio, XGBoost, scikit-learn, NumPy, pandas, joblib, watchdog and eventlet.</w:t>
            </w:r>
          </w:p>
        </w:tc>
      </w:tr>
      <w:tr w14:paraId="2E222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68E8F163">
            <w:pPr>
              <w:pStyle w:val="16"/>
              <w:widowControl/>
              <w:spacing w:line="360" w:lineRule="auto"/>
              <w:jc w:val="both"/>
              <w:rPr>
                <w:rFonts w:eastAsia="Times New Roman"/>
                <w:sz w:val="24"/>
                <w:szCs w:val="24"/>
              </w:rPr>
            </w:pPr>
            <w:r>
              <w:rPr>
                <w:rStyle w:val="15"/>
                <w:rFonts w:ascii="Times New Roman" w:hAnsi="Times New Roman" w:cs="Times New Roman"/>
                <w:sz w:val="24"/>
                <w:szCs w:val="24"/>
              </w:rPr>
              <w:t>Dockerfile / docker-compose.yml</w:t>
            </w:r>
          </w:p>
        </w:tc>
        <w:tc>
          <w:tcPr>
            <w:tcW w:w="1416" w:type="dxa"/>
            <w:vAlign w:val="center"/>
          </w:tcPr>
          <w:p w14:paraId="4B815934">
            <w:pPr>
              <w:pStyle w:val="16"/>
              <w:widowControl/>
              <w:spacing w:line="360" w:lineRule="auto"/>
              <w:jc w:val="both"/>
              <w:rPr>
                <w:rFonts w:eastAsia="Times New Roman"/>
                <w:sz w:val="24"/>
                <w:szCs w:val="24"/>
              </w:rPr>
            </w:pPr>
            <w:r>
              <w:rPr>
                <w:sz w:val="24"/>
                <w:szCs w:val="24"/>
              </w:rPr>
              <w:t>Deployment</w:t>
            </w:r>
          </w:p>
        </w:tc>
        <w:tc>
          <w:tcPr>
            <w:tcW w:w="5580" w:type="dxa"/>
            <w:vAlign w:val="center"/>
          </w:tcPr>
          <w:p w14:paraId="3C47EB7E">
            <w:pPr>
              <w:pStyle w:val="16"/>
              <w:widowControl/>
              <w:spacing w:line="360" w:lineRule="auto"/>
              <w:jc w:val="both"/>
              <w:rPr>
                <w:rFonts w:eastAsia="Times New Roman"/>
                <w:sz w:val="24"/>
                <w:szCs w:val="24"/>
              </w:rPr>
            </w:pPr>
            <w:r>
              <w:rPr>
                <w:sz w:val="24"/>
                <w:szCs w:val="24"/>
              </w:rPr>
              <w:t>Container image and service definition for the monitoring server.</w:t>
            </w:r>
          </w:p>
        </w:tc>
      </w:tr>
      <w:tr w14:paraId="039D9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6EF91878">
            <w:pPr>
              <w:pStyle w:val="16"/>
              <w:widowControl/>
              <w:spacing w:line="360" w:lineRule="auto"/>
              <w:jc w:val="both"/>
              <w:rPr>
                <w:rFonts w:eastAsia="Times New Roman"/>
                <w:sz w:val="24"/>
                <w:szCs w:val="24"/>
              </w:rPr>
            </w:pPr>
            <w:r>
              <w:rPr>
                <w:rStyle w:val="15"/>
                <w:rFonts w:ascii="Times New Roman" w:hAnsi="Times New Roman" w:cs="Times New Roman"/>
                <w:sz w:val="24"/>
                <w:szCs w:val="24"/>
              </w:rPr>
              <w:t>.github/workflows/ci.yml</w:t>
            </w:r>
          </w:p>
        </w:tc>
        <w:tc>
          <w:tcPr>
            <w:tcW w:w="1416" w:type="dxa"/>
            <w:vAlign w:val="center"/>
          </w:tcPr>
          <w:p w14:paraId="652CADBA">
            <w:pPr>
              <w:pStyle w:val="16"/>
              <w:widowControl/>
              <w:spacing w:line="360" w:lineRule="auto"/>
              <w:jc w:val="both"/>
              <w:rPr>
                <w:rFonts w:eastAsia="Times New Roman"/>
                <w:sz w:val="24"/>
                <w:szCs w:val="24"/>
              </w:rPr>
            </w:pPr>
            <w:r>
              <w:rPr>
                <w:sz w:val="24"/>
                <w:szCs w:val="24"/>
              </w:rPr>
              <w:t>Continuous integration</w:t>
            </w:r>
          </w:p>
        </w:tc>
        <w:tc>
          <w:tcPr>
            <w:tcW w:w="5580" w:type="dxa"/>
            <w:vAlign w:val="center"/>
          </w:tcPr>
          <w:p w14:paraId="7E119567">
            <w:pPr>
              <w:pStyle w:val="16"/>
              <w:widowControl/>
              <w:spacing w:line="360" w:lineRule="auto"/>
              <w:jc w:val="both"/>
              <w:rPr>
                <w:rFonts w:eastAsia="Times New Roman"/>
                <w:sz w:val="24"/>
                <w:szCs w:val="24"/>
              </w:rPr>
            </w:pPr>
            <w:r>
              <w:rPr>
                <w:sz w:val="24"/>
                <w:szCs w:val="24"/>
              </w:rPr>
              <w:t xml:space="preserve">Installs the pinned requirements and runs the </w:t>
            </w:r>
            <w:r>
              <w:rPr>
                <w:rStyle w:val="15"/>
                <w:rFonts w:ascii="Times New Roman" w:hAnsi="Times New Roman" w:cs="Times New Roman"/>
                <w:sz w:val="24"/>
                <w:szCs w:val="24"/>
              </w:rPr>
              <w:t>tests/</w:t>
            </w:r>
            <w:r>
              <w:rPr>
                <w:sz w:val="24"/>
                <w:szCs w:val="24"/>
              </w:rPr>
              <w:t xml:space="preserve"> suite on Python 3.12 on every push and pull request to </w:t>
            </w:r>
            <w:r>
              <w:rPr>
                <w:rStyle w:val="15"/>
                <w:rFonts w:ascii="Times New Roman" w:hAnsi="Times New Roman" w:cs="Times New Roman"/>
                <w:sz w:val="24"/>
                <w:szCs w:val="24"/>
              </w:rPr>
              <w:t>main</w:t>
            </w:r>
            <w:r>
              <w:rPr>
                <w:sz w:val="24"/>
                <w:szCs w:val="24"/>
              </w:rPr>
              <w:t>.</w:t>
            </w:r>
          </w:p>
        </w:tc>
      </w:tr>
      <w:tr w14:paraId="7E16B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4F0F9217">
            <w:pPr>
              <w:pStyle w:val="16"/>
              <w:widowControl/>
              <w:spacing w:line="360" w:lineRule="auto"/>
              <w:jc w:val="both"/>
              <w:rPr>
                <w:rFonts w:eastAsia="Times New Roman"/>
                <w:sz w:val="24"/>
                <w:szCs w:val="24"/>
              </w:rPr>
            </w:pPr>
            <w:r>
              <w:rPr>
                <w:rStyle w:val="15"/>
                <w:rFonts w:ascii="Times New Roman" w:hAnsi="Times New Roman" w:cs="Times New Roman"/>
                <w:sz w:val="24"/>
                <w:szCs w:val="24"/>
              </w:rPr>
              <w:t>API_REFERENCE.md / TECHNICAL.md / TRAINING.md</w:t>
            </w:r>
          </w:p>
        </w:tc>
        <w:tc>
          <w:tcPr>
            <w:tcW w:w="1416" w:type="dxa"/>
            <w:vAlign w:val="center"/>
          </w:tcPr>
          <w:p w14:paraId="23646781">
            <w:pPr>
              <w:pStyle w:val="16"/>
              <w:widowControl/>
              <w:spacing w:line="360" w:lineRule="auto"/>
              <w:jc w:val="both"/>
              <w:rPr>
                <w:rFonts w:eastAsia="Times New Roman"/>
                <w:sz w:val="24"/>
                <w:szCs w:val="24"/>
              </w:rPr>
            </w:pPr>
            <w:r>
              <w:rPr>
                <w:sz w:val="24"/>
                <w:szCs w:val="24"/>
              </w:rPr>
              <w:t>Reference</w:t>
            </w:r>
          </w:p>
        </w:tc>
        <w:tc>
          <w:tcPr>
            <w:tcW w:w="5580" w:type="dxa"/>
            <w:vAlign w:val="center"/>
          </w:tcPr>
          <w:p w14:paraId="5DE38FF6">
            <w:pPr>
              <w:pStyle w:val="16"/>
              <w:widowControl/>
              <w:spacing w:line="360" w:lineRule="auto"/>
              <w:jc w:val="both"/>
              <w:rPr>
                <w:rFonts w:eastAsia="Times New Roman"/>
                <w:sz w:val="24"/>
                <w:szCs w:val="24"/>
              </w:rPr>
            </w:pPr>
            <w:r>
              <w:rPr>
                <w:sz w:val="24"/>
                <w:szCs w:val="24"/>
              </w:rPr>
              <w:t>The REST and Socket.IO surface, the architecture and feature description, and the training and evaluation instructions.</w:t>
            </w:r>
          </w:p>
        </w:tc>
      </w:tr>
      <w:tr w14:paraId="44A1E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478C596A">
            <w:pPr>
              <w:pStyle w:val="16"/>
              <w:widowControl/>
              <w:spacing w:line="360" w:lineRule="auto"/>
              <w:jc w:val="both"/>
              <w:rPr>
                <w:rFonts w:eastAsia="Times New Roman"/>
                <w:sz w:val="24"/>
                <w:szCs w:val="24"/>
              </w:rPr>
            </w:pPr>
            <w:r>
              <w:rPr>
                <w:rStyle w:val="15"/>
                <w:rFonts w:ascii="Times New Roman" w:hAnsi="Times New Roman" w:cs="Times New Roman"/>
                <w:sz w:val="24"/>
                <w:szCs w:val="24"/>
              </w:rPr>
              <w:t>STRUCTURE.md / README.md / README_SHORT.md</w:t>
            </w:r>
          </w:p>
        </w:tc>
        <w:tc>
          <w:tcPr>
            <w:tcW w:w="1416" w:type="dxa"/>
            <w:vAlign w:val="center"/>
          </w:tcPr>
          <w:p w14:paraId="6E4F21D4">
            <w:pPr>
              <w:pStyle w:val="16"/>
              <w:widowControl/>
              <w:spacing w:line="360" w:lineRule="auto"/>
              <w:jc w:val="both"/>
              <w:rPr>
                <w:rFonts w:eastAsia="Times New Roman"/>
                <w:sz w:val="24"/>
                <w:szCs w:val="24"/>
              </w:rPr>
            </w:pPr>
            <w:r>
              <w:rPr>
                <w:sz w:val="24"/>
                <w:szCs w:val="24"/>
              </w:rPr>
              <w:t>Reference</w:t>
            </w:r>
          </w:p>
        </w:tc>
        <w:tc>
          <w:tcPr>
            <w:tcW w:w="5580" w:type="dxa"/>
            <w:vAlign w:val="center"/>
          </w:tcPr>
          <w:p w14:paraId="6CD1B88D">
            <w:pPr>
              <w:pStyle w:val="16"/>
              <w:widowControl/>
              <w:spacing w:line="360" w:lineRule="auto"/>
              <w:jc w:val="both"/>
              <w:rPr>
                <w:rFonts w:eastAsia="Times New Roman"/>
                <w:sz w:val="24"/>
                <w:szCs w:val="24"/>
              </w:rPr>
            </w:pPr>
            <w:r>
              <w:rPr>
                <w:sz w:val="24"/>
                <w:szCs w:val="24"/>
              </w:rPr>
              <w:t>The module map and the project overview, long and short form.</w:t>
            </w:r>
          </w:p>
        </w:tc>
      </w:tr>
      <w:tr w14:paraId="75442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8" w:type="dxa"/>
            <w:vAlign w:val="center"/>
          </w:tcPr>
          <w:p w14:paraId="113BC6C4">
            <w:pPr>
              <w:pStyle w:val="16"/>
              <w:widowControl/>
              <w:spacing w:line="360" w:lineRule="auto"/>
              <w:jc w:val="both"/>
              <w:rPr>
                <w:rFonts w:eastAsia="Times New Roman"/>
                <w:sz w:val="24"/>
                <w:szCs w:val="24"/>
              </w:rPr>
            </w:pPr>
            <w:r>
              <w:rPr>
                <w:rStyle w:val="15"/>
                <w:rFonts w:ascii="Times New Roman" w:hAnsi="Times New Roman" w:cs="Times New Roman"/>
                <w:sz w:val="24"/>
                <w:szCs w:val="24"/>
              </w:rPr>
              <w:t>PAPER.md / SECURITY.md / DEPLOYMENT.md / CHANGELOG.md / CONTRIBUTING.md / ROADMAP.md</w:t>
            </w:r>
          </w:p>
        </w:tc>
        <w:tc>
          <w:tcPr>
            <w:tcW w:w="1416" w:type="dxa"/>
            <w:vAlign w:val="center"/>
          </w:tcPr>
          <w:p w14:paraId="3D451031">
            <w:pPr>
              <w:pStyle w:val="16"/>
              <w:widowControl/>
              <w:spacing w:line="360" w:lineRule="auto"/>
              <w:jc w:val="both"/>
              <w:rPr>
                <w:rFonts w:eastAsia="Times New Roman"/>
                <w:sz w:val="24"/>
                <w:szCs w:val="24"/>
              </w:rPr>
            </w:pPr>
            <w:r>
              <w:rPr>
                <w:sz w:val="24"/>
                <w:szCs w:val="24"/>
              </w:rPr>
              <w:t>Reference</w:t>
            </w:r>
          </w:p>
        </w:tc>
        <w:tc>
          <w:tcPr>
            <w:tcW w:w="5580" w:type="dxa"/>
            <w:vAlign w:val="center"/>
          </w:tcPr>
          <w:p w14:paraId="1D8AEA1D">
            <w:pPr>
              <w:pStyle w:val="16"/>
              <w:widowControl/>
              <w:spacing w:line="360" w:lineRule="auto"/>
              <w:jc w:val="both"/>
              <w:rPr>
                <w:rFonts w:eastAsia="Times New Roman"/>
                <w:sz w:val="24"/>
                <w:szCs w:val="24"/>
              </w:rPr>
            </w:pPr>
            <w:r>
              <w:rPr>
                <w:sz w:val="24"/>
                <w:szCs w:val="24"/>
              </w:rPr>
              <w:t>The base-paper methodology, the security posture, the deployment guide, the change history, the contribution rules and the planned work.</w:t>
            </w:r>
          </w:p>
        </w:tc>
      </w:tr>
    </w:tbl>
    <w:p w14:paraId="532D08F8">
      <w:pPr>
        <w:spacing w:after="120" w:line="240" w:lineRule="auto"/>
        <w:ind w:firstLine="720"/>
        <w:jc w:val="center"/>
        <w:rPr>
          <w:b/>
          <w:bCs/>
          <w:i/>
          <w:iCs/>
          <w:sz w:val="22"/>
        </w:rPr>
      </w:pPr>
    </w:p>
    <w:p w14:paraId="01BE0437">
      <w:pPr>
        <w:spacing w:after="120" w:line="240" w:lineRule="auto"/>
        <w:ind w:firstLine="720"/>
        <w:jc w:val="center"/>
        <w:rPr>
          <w:sz w:val="24"/>
          <w:szCs w:val="24"/>
        </w:rPr>
      </w:pPr>
      <w:r>
        <w:rPr>
          <w:b/>
          <w:bCs/>
          <w:sz w:val="24"/>
          <w:szCs w:val="24"/>
        </w:rPr>
        <w:t>Table 7.1: Project structure tabulation</w:t>
      </w:r>
    </w:p>
    <w:p w14:paraId="3AB221AC">
      <w:pPr>
        <w:spacing w:after="120" w:line="360" w:lineRule="auto"/>
        <w:jc w:val="both"/>
        <w:rPr>
          <w:b/>
          <w:bCs/>
          <w:lang w:val="en-IN"/>
        </w:rPr>
      </w:pPr>
      <w:r>
        <w:rPr>
          <w:b/>
          <w:bCs/>
          <w:lang w:val="en-IN"/>
        </w:rPr>
        <w:t xml:space="preserve">  7.2 CONFIGURATION KEYS AND THEIR EFFECT</w:t>
      </w:r>
    </w:p>
    <w:p w14:paraId="5EC28F63">
      <w:pPr>
        <w:spacing w:after="120" w:line="360" w:lineRule="auto"/>
        <w:ind w:left="142" w:firstLine="720"/>
        <w:jc w:val="both"/>
        <w:rPr>
          <w:lang w:val="en-IN"/>
        </w:rPr>
      </w:pPr>
      <w:r>
        <w:rPr>
          <w:lang w:val="en-IN"/>
        </w:rPr>
        <w:t>The configuration of this project is held in config.py, which declares the defaults for the live monitoring server. It is supplemented by the SECRET_KEY and API_KEY environment variables, which are intended to override the built-in values at start-up.</w:t>
      </w:r>
    </w:p>
    <w:p w14:paraId="4B8C6A61">
      <w:pPr>
        <w:spacing w:after="120" w:line="360" w:lineRule="auto"/>
        <w:ind w:left="142" w:firstLine="720"/>
        <w:jc w:val="both"/>
        <w:rPr>
          <w:lang w:val="en-IN"/>
        </w:rPr>
      </w:pPr>
      <w:r>
        <w:rPr>
          <w:lang w:val="en-IN"/>
        </w:rPr>
        <w:t>The offline experiment has a separate set of parameters, declared as keyword defaults in prototype/assrd/phase2.py and prototype/assrd/phase3.py, together with feature constants in prototype/assrd/features.py and cost constants in prototype/assrd/metrics.py.</w:t>
      </w:r>
    </w:p>
    <w:tbl>
      <w:tblPr>
        <w:tblStyle w:val="12"/>
        <w:tblW w:w="90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5" w:type="dxa"/>
          <w:bottom w:w="14" w:type="dxa"/>
          <w:right w:w="14" w:type="dxa"/>
        </w:tblCellMar>
      </w:tblPr>
      <w:tblGrid>
        <w:gridCol w:w="1858"/>
        <w:gridCol w:w="2328"/>
        <w:gridCol w:w="4821"/>
      </w:tblGrid>
      <w:tr w14:paraId="7FB33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64D9E081">
            <w:pPr>
              <w:spacing w:after="120" w:line="360" w:lineRule="auto"/>
              <w:ind w:firstLine="720"/>
              <w:jc w:val="center"/>
              <w:rPr>
                <w:b/>
                <w:bCs/>
                <w:sz w:val="24"/>
                <w:szCs w:val="24"/>
                <w:lang w:val="en-IN"/>
              </w:rPr>
            </w:pPr>
            <w:r>
              <w:rPr>
                <w:b/>
                <w:bCs/>
                <w:sz w:val="24"/>
                <w:szCs w:val="24"/>
                <w:lang w:val="en-IN"/>
              </w:rPr>
              <w:t>Key</w:t>
            </w:r>
          </w:p>
        </w:tc>
        <w:tc>
          <w:tcPr>
            <w:tcW w:w="2328" w:type="dxa"/>
            <w:tcBorders>
              <w:top w:val="single" w:color="000000" w:sz="8" w:space="0"/>
              <w:left w:val="single" w:color="000000" w:sz="8" w:space="0"/>
              <w:bottom w:val="single" w:color="000000" w:sz="8" w:space="0"/>
              <w:right w:val="single" w:color="000000" w:sz="8" w:space="0"/>
            </w:tcBorders>
            <w:vAlign w:val="center"/>
          </w:tcPr>
          <w:p w14:paraId="1586A9D4">
            <w:pPr>
              <w:spacing w:after="120" w:line="360" w:lineRule="auto"/>
              <w:jc w:val="center"/>
              <w:rPr>
                <w:b/>
                <w:bCs/>
                <w:sz w:val="24"/>
                <w:szCs w:val="24"/>
                <w:lang w:val="en-IN"/>
              </w:rPr>
            </w:pPr>
            <w:r>
              <w:rPr>
                <w:b/>
                <w:bCs/>
                <w:sz w:val="24"/>
                <w:szCs w:val="24"/>
                <w:lang w:val="en-IN"/>
              </w:rPr>
              <w:t>Default Value</w:t>
            </w:r>
          </w:p>
        </w:tc>
        <w:tc>
          <w:tcPr>
            <w:tcW w:w="4821" w:type="dxa"/>
            <w:tcBorders>
              <w:top w:val="single" w:color="000000" w:sz="8" w:space="0"/>
              <w:left w:val="single" w:color="000000" w:sz="8" w:space="0"/>
              <w:bottom w:val="single" w:color="000000" w:sz="8" w:space="0"/>
              <w:right w:val="single" w:color="000000" w:sz="8" w:space="0"/>
            </w:tcBorders>
            <w:vAlign w:val="center"/>
          </w:tcPr>
          <w:p w14:paraId="6A2DF23F">
            <w:pPr>
              <w:spacing w:after="120" w:line="360" w:lineRule="auto"/>
              <w:ind w:firstLine="720"/>
              <w:jc w:val="center"/>
              <w:rPr>
                <w:b/>
                <w:bCs/>
                <w:sz w:val="24"/>
                <w:szCs w:val="24"/>
                <w:lang w:val="en-IN"/>
              </w:rPr>
            </w:pPr>
            <w:r>
              <w:rPr>
                <w:b/>
                <w:bCs/>
                <w:sz w:val="24"/>
                <w:szCs w:val="24"/>
                <w:lang w:val="en-IN"/>
              </w:rPr>
              <w:t>Effect</w:t>
            </w:r>
          </w:p>
        </w:tc>
      </w:tr>
      <w:tr w14:paraId="1551C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19900E85">
            <w:pPr>
              <w:spacing w:after="120" w:line="360" w:lineRule="auto"/>
              <w:jc w:val="center"/>
              <w:rPr>
                <w:sz w:val="24"/>
                <w:szCs w:val="24"/>
                <w:lang w:val="en-IN"/>
              </w:rPr>
            </w:pPr>
            <w:r>
              <w:rPr>
                <w:sz w:val="24"/>
                <w:szCs w:val="24"/>
                <w:lang w:val="en-IN"/>
              </w:rPr>
              <w:t>HOST</w:t>
            </w:r>
          </w:p>
        </w:tc>
        <w:tc>
          <w:tcPr>
            <w:tcW w:w="2328" w:type="dxa"/>
            <w:tcBorders>
              <w:top w:val="single" w:color="000000" w:sz="8" w:space="0"/>
              <w:left w:val="single" w:color="000000" w:sz="8" w:space="0"/>
              <w:bottom w:val="single" w:color="000000" w:sz="8" w:space="0"/>
              <w:right w:val="single" w:color="000000" w:sz="8" w:space="0"/>
            </w:tcBorders>
            <w:vAlign w:val="center"/>
          </w:tcPr>
          <w:p w14:paraId="4689C761">
            <w:pPr>
              <w:spacing w:after="120" w:line="360" w:lineRule="auto"/>
              <w:ind w:firstLine="720"/>
              <w:jc w:val="left"/>
              <w:rPr>
                <w:sz w:val="24"/>
                <w:szCs w:val="24"/>
                <w:lang w:val="en-IN"/>
              </w:rPr>
            </w:pPr>
            <w:r>
              <w:rPr>
                <w:sz w:val="24"/>
                <w:szCs w:val="24"/>
                <w:lang w:val="en-IN"/>
              </w:rPr>
              <w:t>0.0.0.0</w:t>
            </w:r>
          </w:p>
        </w:tc>
        <w:tc>
          <w:tcPr>
            <w:tcW w:w="4821" w:type="dxa"/>
            <w:tcBorders>
              <w:top w:val="single" w:color="000000" w:sz="8" w:space="0"/>
              <w:left w:val="single" w:color="000000" w:sz="8" w:space="0"/>
              <w:bottom w:val="single" w:color="000000" w:sz="8" w:space="0"/>
              <w:right w:val="single" w:color="000000" w:sz="8" w:space="0"/>
            </w:tcBorders>
            <w:vAlign w:val="center"/>
          </w:tcPr>
          <w:p w14:paraId="2EB29D85">
            <w:pPr>
              <w:spacing w:after="120" w:line="360" w:lineRule="auto"/>
              <w:ind w:left="218" w:leftChars="91" w:firstLine="0" w:firstLineChars="0"/>
              <w:jc w:val="both"/>
              <w:rPr>
                <w:sz w:val="24"/>
                <w:szCs w:val="24"/>
                <w:lang w:val="en-IN"/>
              </w:rPr>
            </w:pPr>
            <w:r>
              <w:rPr>
                <w:sz w:val="24"/>
                <w:szCs w:val="24"/>
                <w:lang w:val="en-IN"/>
              </w:rPr>
              <w:t>Bind address of the monitoring server. app.py redeclares its own value at line 545; changing config.HOST alone does not affect the server's listening address.</w:t>
            </w:r>
          </w:p>
        </w:tc>
      </w:tr>
      <w:tr w14:paraId="35F0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7CC694BD">
            <w:pPr>
              <w:spacing w:after="120" w:line="360" w:lineRule="auto"/>
              <w:jc w:val="center"/>
              <w:rPr>
                <w:sz w:val="24"/>
                <w:szCs w:val="24"/>
                <w:lang w:val="en-IN"/>
              </w:rPr>
            </w:pPr>
            <w:r>
              <w:rPr>
                <w:sz w:val="24"/>
                <w:szCs w:val="24"/>
                <w:lang w:val="en-IN"/>
              </w:rPr>
              <w:t>PORT</w:t>
            </w:r>
          </w:p>
        </w:tc>
        <w:tc>
          <w:tcPr>
            <w:tcW w:w="2328" w:type="dxa"/>
            <w:tcBorders>
              <w:top w:val="single" w:color="000000" w:sz="8" w:space="0"/>
              <w:left w:val="single" w:color="000000" w:sz="8" w:space="0"/>
              <w:bottom w:val="single" w:color="000000" w:sz="8" w:space="0"/>
              <w:right w:val="single" w:color="000000" w:sz="8" w:space="0"/>
            </w:tcBorders>
            <w:vAlign w:val="center"/>
          </w:tcPr>
          <w:p w14:paraId="6945052D">
            <w:pPr>
              <w:spacing w:after="120" w:line="360" w:lineRule="auto"/>
              <w:ind w:firstLine="720"/>
              <w:jc w:val="left"/>
              <w:rPr>
                <w:sz w:val="24"/>
                <w:szCs w:val="24"/>
                <w:lang w:val="en-IN"/>
              </w:rPr>
            </w:pPr>
            <w:r>
              <w:rPr>
                <w:sz w:val="24"/>
                <w:szCs w:val="24"/>
                <w:lang w:val="en-IN"/>
              </w:rPr>
              <w:t>5000</w:t>
            </w:r>
          </w:p>
        </w:tc>
        <w:tc>
          <w:tcPr>
            <w:tcW w:w="4821" w:type="dxa"/>
            <w:tcBorders>
              <w:top w:val="single" w:color="000000" w:sz="8" w:space="0"/>
              <w:left w:val="single" w:color="000000" w:sz="8" w:space="0"/>
              <w:bottom w:val="single" w:color="000000" w:sz="8" w:space="0"/>
              <w:right w:val="single" w:color="000000" w:sz="8" w:space="0"/>
            </w:tcBorders>
            <w:vAlign w:val="center"/>
          </w:tcPr>
          <w:p w14:paraId="17E48C8E">
            <w:pPr>
              <w:spacing w:after="120" w:line="360" w:lineRule="auto"/>
              <w:ind w:left="218" w:leftChars="91" w:firstLine="0" w:firstLineChars="0"/>
              <w:jc w:val="both"/>
              <w:rPr>
                <w:sz w:val="24"/>
                <w:szCs w:val="24"/>
                <w:lang w:val="en-IN"/>
              </w:rPr>
            </w:pPr>
            <w:r>
              <w:rPr>
                <w:sz w:val="24"/>
                <w:szCs w:val="24"/>
                <w:lang w:val="en-IN"/>
              </w:rPr>
              <w:t>Listening port of the SocketIO server. app.py explicitly specifies port 5000 at line 550.</w:t>
            </w:r>
          </w:p>
        </w:tc>
      </w:tr>
      <w:tr w14:paraId="643BF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7676CFF4">
            <w:pPr>
              <w:spacing w:after="120" w:line="360" w:lineRule="auto"/>
              <w:jc w:val="center"/>
              <w:rPr>
                <w:sz w:val="24"/>
                <w:szCs w:val="24"/>
                <w:lang w:val="en-IN"/>
              </w:rPr>
            </w:pPr>
            <w:r>
              <w:rPr>
                <w:sz w:val="24"/>
                <w:szCs w:val="24"/>
                <w:lang w:val="en-IN"/>
              </w:rPr>
              <w:t>SECRET_KEY</w:t>
            </w:r>
          </w:p>
        </w:tc>
        <w:tc>
          <w:tcPr>
            <w:tcW w:w="2328" w:type="dxa"/>
            <w:tcBorders>
              <w:top w:val="single" w:color="000000" w:sz="8" w:space="0"/>
              <w:left w:val="single" w:color="000000" w:sz="8" w:space="0"/>
              <w:bottom w:val="single" w:color="000000" w:sz="8" w:space="0"/>
              <w:right w:val="single" w:color="000000" w:sz="8" w:space="0"/>
            </w:tcBorders>
            <w:vAlign w:val="center"/>
          </w:tcPr>
          <w:p w14:paraId="4714A93E">
            <w:pPr>
              <w:spacing w:after="120" w:line="360" w:lineRule="auto"/>
              <w:ind w:left="218" w:leftChars="91" w:firstLine="0" w:firstLineChars="0"/>
              <w:jc w:val="left"/>
              <w:rPr>
                <w:sz w:val="24"/>
                <w:szCs w:val="24"/>
                <w:lang w:val="en-IN"/>
              </w:rPr>
            </w:pPr>
            <w:r>
              <w:rPr>
                <w:sz w:val="24"/>
                <w:szCs w:val="24"/>
                <w:lang w:val="en-IN"/>
              </w:rPr>
              <w:t>Environment variable SECRET_KEY, otherwise ransomware-detection-2026</w:t>
            </w:r>
          </w:p>
        </w:tc>
        <w:tc>
          <w:tcPr>
            <w:tcW w:w="4821" w:type="dxa"/>
            <w:tcBorders>
              <w:top w:val="single" w:color="000000" w:sz="8" w:space="0"/>
              <w:left w:val="single" w:color="000000" w:sz="8" w:space="0"/>
              <w:bottom w:val="single" w:color="000000" w:sz="8" w:space="0"/>
              <w:right w:val="single" w:color="000000" w:sz="8" w:space="0"/>
            </w:tcBorders>
            <w:vAlign w:val="center"/>
          </w:tcPr>
          <w:p w14:paraId="7EAD950C">
            <w:pPr>
              <w:spacing w:after="120" w:line="360" w:lineRule="auto"/>
              <w:ind w:left="218" w:leftChars="91" w:firstLine="0" w:firstLineChars="0"/>
              <w:jc w:val="both"/>
              <w:rPr>
                <w:sz w:val="24"/>
                <w:szCs w:val="24"/>
                <w:lang w:val="en-IN"/>
              </w:rPr>
            </w:pPr>
            <w:r>
              <w:rPr>
                <w:sz w:val="24"/>
                <w:szCs w:val="24"/>
                <w:lang w:val="en-IN"/>
              </w:rPr>
              <w:t>Flask session-signing key. The built-in default is public in the source. app.py overrides it with its own literal at line 36, so the environment variable is currently not used there.</w:t>
            </w:r>
          </w:p>
        </w:tc>
      </w:tr>
      <w:tr w14:paraId="34099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6ACA96FC">
            <w:pPr>
              <w:spacing w:after="120" w:line="360" w:lineRule="auto"/>
              <w:jc w:val="center"/>
              <w:rPr>
                <w:sz w:val="24"/>
                <w:szCs w:val="24"/>
                <w:lang w:val="en-IN"/>
              </w:rPr>
            </w:pPr>
            <w:r>
              <w:rPr>
                <w:sz w:val="24"/>
                <w:szCs w:val="24"/>
                <w:lang w:val="en-IN"/>
              </w:rPr>
              <w:t>API_KEY</w:t>
            </w:r>
          </w:p>
        </w:tc>
        <w:tc>
          <w:tcPr>
            <w:tcW w:w="2328" w:type="dxa"/>
            <w:tcBorders>
              <w:top w:val="single" w:color="000000" w:sz="8" w:space="0"/>
              <w:left w:val="single" w:color="000000" w:sz="8" w:space="0"/>
              <w:bottom w:val="single" w:color="000000" w:sz="8" w:space="0"/>
              <w:right w:val="single" w:color="000000" w:sz="8" w:space="0"/>
            </w:tcBorders>
            <w:vAlign w:val="center"/>
          </w:tcPr>
          <w:p w14:paraId="790F31C9">
            <w:pPr>
              <w:spacing w:after="120" w:line="360" w:lineRule="auto"/>
              <w:ind w:left="218" w:leftChars="91" w:firstLine="0" w:firstLineChars="0"/>
              <w:jc w:val="left"/>
              <w:rPr>
                <w:sz w:val="24"/>
                <w:szCs w:val="24"/>
                <w:lang w:val="en-IN"/>
              </w:rPr>
            </w:pPr>
            <w:r>
              <w:rPr>
                <w:sz w:val="24"/>
                <w:szCs w:val="24"/>
                <w:lang w:val="en-IN"/>
              </w:rPr>
              <w:t>Environment variable API_KEY, otherwise empty string</w:t>
            </w:r>
          </w:p>
        </w:tc>
        <w:tc>
          <w:tcPr>
            <w:tcW w:w="4821" w:type="dxa"/>
            <w:tcBorders>
              <w:top w:val="single" w:color="000000" w:sz="8" w:space="0"/>
              <w:left w:val="single" w:color="000000" w:sz="8" w:space="0"/>
              <w:bottom w:val="single" w:color="000000" w:sz="8" w:space="0"/>
              <w:right w:val="single" w:color="000000" w:sz="8" w:space="0"/>
            </w:tcBorders>
            <w:vAlign w:val="center"/>
          </w:tcPr>
          <w:p w14:paraId="56F5F01E">
            <w:pPr>
              <w:spacing w:after="120" w:line="360" w:lineRule="auto"/>
              <w:ind w:left="218" w:leftChars="91" w:firstLine="0" w:firstLineChars="0"/>
              <w:jc w:val="both"/>
              <w:rPr>
                <w:sz w:val="24"/>
                <w:szCs w:val="24"/>
                <w:lang w:val="en-IN"/>
              </w:rPr>
            </w:pPr>
            <w:r>
              <w:rPr>
                <w:sz w:val="24"/>
                <w:szCs w:val="24"/>
                <w:lang w:val="en-IN"/>
              </w:rPr>
              <w:t>Intended token for state-changing endpoints. Although tests/test_security.py tests it, app.py does not define a require_api_key decorator, so the key currently does not restrict access.</w:t>
            </w:r>
          </w:p>
        </w:tc>
      </w:tr>
      <w:tr w14:paraId="3BA8D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6E287CCF">
            <w:pPr>
              <w:spacing w:after="120" w:line="360" w:lineRule="auto"/>
              <w:jc w:val="center"/>
              <w:rPr>
                <w:sz w:val="24"/>
                <w:szCs w:val="24"/>
                <w:lang w:val="en-IN"/>
              </w:rPr>
            </w:pPr>
            <w:r>
              <w:rPr>
                <w:sz w:val="24"/>
                <w:szCs w:val="24"/>
                <w:lang w:val="en-IN"/>
              </w:rPr>
              <w:t>DEBUG</w:t>
            </w:r>
          </w:p>
        </w:tc>
        <w:tc>
          <w:tcPr>
            <w:tcW w:w="2328" w:type="dxa"/>
            <w:tcBorders>
              <w:top w:val="single" w:color="000000" w:sz="8" w:space="0"/>
              <w:left w:val="single" w:color="000000" w:sz="8" w:space="0"/>
              <w:bottom w:val="single" w:color="000000" w:sz="8" w:space="0"/>
              <w:right w:val="single" w:color="000000" w:sz="8" w:space="0"/>
            </w:tcBorders>
            <w:vAlign w:val="center"/>
          </w:tcPr>
          <w:p w14:paraId="22491526">
            <w:pPr>
              <w:spacing w:after="120" w:line="360" w:lineRule="auto"/>
              <w:jc w:val="left"/>
              <w:rPr>
                <w:sz w:val="24"/>
                <w:szCs w:val="24"/>
                <w:lang w:val="en-IN"/>
              </w:rPr>
            </w:pPr>
            <w:r>
              <w:rPr>
                <w:sz w:val="24"/>
                <w:szCs w:val="24"/>
                <w:lang w:val="en-IN"/>
              </w:rPr>
              <w:t>False</w:t>
            </w:r>
          </w:p>
        </w:tc>
        <w:tc>
          <w:tcPr>
            <w:tcW w:w="4821" w:type="dxa"/>
            <w:tcBorders>
              <w:top w:val="single" w:color="000000" w:sz="8" w:space="0"/>
              <w:left w:val="single" w:color="000000" w:sz="8" w:space="0"/>
              <w:bottom w:val="single" w:color="000000" w:sz="8" w:space="0"/>
              <w:right w:val="single" w:color="000000" w:sz="8" w:space="0"/>
            </w:tcBorders>
            <w:vAlign w:val="center"/>
          </w:tcPr>
          <w:p w14:paraId="68BD27B2">
            <w:pPr>
              <w:spacing w:after="120" w:line="360" w:lineRule="auto"/>
              <w:ind w:left="218" w:leftChars="91" w:firstLine="0" w:firstLineChars="0"/>
              <w:jc w:val="both"/>
              <w:rPr>
                <w:sz w:val="24"/>
                <w:szCs w:val="24"/>
                <w:lang w:val="en-IN"/>
              </w:rPr>
            </w:pPr>
            <w:r>
              <w:rPr>
                <w:sz w:val="24"/>
                <w:szCs w:val="24"/>
                <w:lang w:val="en-IN"/>
              </w:rPr>
              <w:t>Flask debug mode. app.py explicitly sets debug=False in its socketio.run call.</w:t>
            </w:r>
          </w:p>
        </w:tc>
      </w:tr>
      <w:tr w14:paraId="54103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56461EA4">
            <w:pPr>
              <w:spacing w:after="120" w:line="360" w:lineRule="auto"/>
              <w:jc w:val="center"/>
              <w:rPr>
                <w:sz w:val="24"/>
                <w:szCs w:val="24"/>
                <w:lang w:val="en-IN"/>
              </w:rPr>
            </w:pPr>
            <w:r>
              <w:rPr>
                <w:sz w:val="24"/>
                <w:szCs w:val="24"/>
                <w:lang w:val="en-IN"/>
              </w:rPr>
              <w:t>RATE_LIMIT_DEFAULT</w:t>
            </w:r>
          </w:p>
        </w:tc>
        <w:tc>
          <w:tcPr>
            <w:tcW w:w="2328" w:type="dxa"/>
            <w:tcBorders>
              <w:top w:val="single" w:color="000000" w:sz="8" w:space="0"/>
              <w:left w:val="single" w:color="000000" w:sz="8" w:space="0"/>
              <w:bottom w:val="single" w:color="000000" w:sz="8" w:space="0"/>
              <w:right w:val="single" w:color="000000" w:sz="8" w:space="0"/>
            </w:tcBorders>
            <w:vAlign w:val="center"/>
          </w:tcPr>
          <w:p w14:paraId="5B125570">
            <w:pPr>
              <w:spacing w:after="120" w:line="360" w:lineRule="auto"/>
              <w:jc w:val="left"/>
              <w:rPr>
                <w:sz w:val="24"/>
                <w:szCs w:val="24"/>
                <w:lang w:val="en-IN"/>
              </w:rPr>
            </w:pPr>
            <w:r>
              <w:rPr>
                <w:sz w:val="24"/>
                <w:szCs w:val="24"/>
                <w:lang w:val="en-IN"/>
              </w:rPr>
              <w:t>200 per minute</w:t>
            </w:r>
          </w:p>
        </w:tc>
        <w:tc>
          <w:tcPr>
            <w:tcW w:w="4821" w:type="dxa"/>
            <w:tcBorders>
              <w:top w:val="single" w:color="000000" w:sz="8" w:space="0"/>
              <w:left w:val="single" w:color="000000" w:sz="8" w:space="0"/>
              <w:bottom w:val="single" w:color="000000" w:sz="8" w:space="0"/>
              <w:right w:val="single" w:color="000000" w:sz="8" w:space="0"/>
            </w:tcBorders>
            <w:vAlign w:val="center"/>
          </w:tcPr>
          <w:p w14:paraId="69649E0D">
            <w:pPr>
              <w:spacing w:after="120" w:line="360" w:lineRule="auto"/>
              <w:ind w:left="218" w:leftChars="91" w:firstLine="0" w:firstLineChars="0"/>
              <w:jc w:val="both"/>
              <w:rPr>
                <w:sz w:val="24"/>
                <w:szCs w:val="24"/>
                <w:lang w:val="en-IN"/>
              </w:rPr>
            </w:pPr>
            <w:r>
              <w:rPr>
                <w:sz w:val="24"/>
                <w:szCs w:val="24"/>
                <w:lang w:val="en-IN"/>
              </w:rPr>
              <w:t>Intended per-client REST API request limit. No rate limiter is installed in app.py, so this setting is not enforced.</w:t>
            </w:r>
          </w:p>
        </w:tc>
      </w:tr>
      <w:tr w14:paraId="0A2B6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0CF1EA2B">
            <w:pPr>
              <w:spacing w:after="120" w:line="360" w:lineRule="auto"/>
              <w:jc w:val="center"/>
              <w:rPr>
                <w:sz w:val="24"/>
                <w:szCs w:val="24"/>
                <w:lang w:val="en-IN"/>
              </w:rPr>
            </w:pPr>
            <w:r>
              <w:rPr>
                <w:sz w:val="24"/>
                <w:szCs w:val="24"/>
                <w:lang w:val="en-IN"/>
              </w:rPr>
              <w:t>MODEL_DIR</w:t>
            </w:r>
          </w:p>
        </w:tc>
        <w:tc>
          <w:tcPr>
            <w:tcW w:w="2328" w:type="dxa"/>
            <w:tcBorders>
              <w:top w:val="single" w:color="000000" w:sz="8" w:space="0"/>
              <w:left w:val="single" w:color="000000" w:sz="8" w:space="0"/>
              <w:bottom w:val="single" w:color="000000" w:sz="8" w:space="0"/>
              <w:right w:val="single" w:color="000000" w:sz="8" w:space="0"/>
            </w:tcBorders>
            <w:vAlign w:val="center"/>
          </w:tcPr>
          <w:p w14:paraId="37B12D04">
            <w:pPr>
              <w:spacing w:after="120" w:line="360" w:lineRule="auto"/>
              <w:jc w:val="left"/>
              <w:rPr>
                <w:sz w:val="24"/>
                <w:szCs w:val="24"/>
                <w:lang w:val="en-IN"/>
              </w:rPr>
            </w:pPr>
            <w:r>
              <w:rPr>
                <w:sz w:val="24"/>
                <w:szCs w:val="24"/>
                <w:lang w:val="en-IN"/>
              </w:rPr>
              <w:t>&lt;project&gt;/models</w:t>
            </w:r>
          </w:p>
        </w:tc>
        <w:tc>
          <w:tcPr>
            <w:tcW w:w="4821" w:type="dxa"/>
            <w:tcBorders>
              <w:top w:val="single" w:color="000000" w:sz="8" w:space="0"/>
              <w:left w:val="single" w:color="000000" w:sz="8" w:space="0"/>
              <w:bottom w:val="single" w:color="000000" w:sz="8" w:space="0"/>
              <w:right w:val="single" w:color="000000" w:sz="8" w:space="0"/>
            </w:tcBorders>
            <w:vAlign w:val="center"/>
          </w:tcPr>
          <w:p w14:paraId="2318D18A">
            <w:pPr>
              <w:spacing w:after="120" w:line="360" w:lineRule="auto"/>
              <w:ind w:left="218" w:leftChars="91" w:firstLine="0" w:firstLineChars="0"/>
              <w:jc w:val="both"/>
              <w:rPr>
                <w:sz w:val="24"/>
                <w:szCs w:val="24"/>
                <w:lang w:val="en-IN"/>
              </w:rPr>
            </w:pPr>
            <w:r>
              <w:rPr>
                <w:sz w:val="24"/>
                <w:szCs w:val="24"/>
                <w:lang w:val="en-IN"/>
              </w:rPr>
              <w:t>Directory for persisted .joblib estimators, the fitted scaler and training metrics. ml_engine.py recomputes this path from __file__ instead of importing the key.</w:t>
            </w:r>
          </w:p>
        </w:tc>
      </w:tr>
      <w:tr w14:paraId="4348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3D56471C">
            <w:pPr>
              <w:spacing w:after="120" w:line="360" w:lineRule="auto"/>
              <w:jc w:val="center"/>
              <w:rPr>
                <w:sz w:val="24"/>
                <w:szCs w:val="24"/>
                <w:lang w:val="en-IN"/>
              </w:rPr>
            </w:pPr>
            <w:r>
              <w:rPr>
                <w:sz w:val="24"/>
                <w:szCs w:val="24"/>
                <w:lang w:val="en-IN"/>
              </w:rPr>
              <w:t>MODEL_PREFIX</w:t>
            </w:r>
          </w:p>
        </w:tc>
        <w:tc>
          <w:tcPr>
            <w:tcW w:w="2328" w:type="dxa"/>
            <w:tcBorders>
              <w:top w:val="single" w:color="000000" w:sz="8" w:space="0"/>
              <w:left w:val="single" w:color="000000" w:sz="8" w:space="0"/>
              <w:bottom w:val="single" w:color="000000" w:sz="8" w:space="0"/>
              <w:right w:val="single" w:color="000000" w:sz="8" w:space="0"/>
            </w:tcBorders>
            <w:vAlign w:val="center"/>
          </w:tcPr>
          <w:p w14:paraId="31F2BF43">
            <w:pPr>
              <w:spacing w:after="120" w:line="360" w:lineRule="auto"/>
              <w:ind w:firstLine="720"/>
              <w:jc w:val="left"/>
              <w:rPr>
                <w:sz w:val="24"/>
                <w:szCs w:val="24"/>
                <w:lang w:val="en-IN"/>
              </w:rPr>
            </w:pPr>
            <w:r>
              <w:rPr>
                <w:sz w:val="24"/>
                <w:szCs w:val="24"/>
                <w:lang w:val="en-IN"/>
              </w:rPr>
              <w:t>ransomware</w:t>
            </w:r>
          </w:p>
        </w:tc>
        <w:tc>
          <w:tcPr>
            <w:tcW w:w="4821" w:type="dxa"/>
            <w:tcBorders>
              <w:top w:val="single" w:color="000000" w:sz="8" w:space="0"/>
              <w:left w:val="single" w:color="000000" w:sz="8" w:space="0"/>
              <w:bottom w:val="single" w:color="000000" w:sz="8" w:space="0"/>
              <w:right w:val="single" w:color="000000" w:sz="8" w:space="0"/>
            </w:tcBorders>
            <w:vAlign w:val="center"/>
          </w:tcPr>
          <w:p w14:paraId="48A028C2">
            <w:pPr>
              <w:spacing w:after="120" w:line="360" w:lineRule="auto"/>
              <w:ind w:left="218" w:leftChars="91" w:firstLine="0" w:firstLineChars="0"/>
              <w:jc w:val="both"/>
              <w:rPr>
                <w:sz w:val="24"/>
                <w:szCs w:val="24"/>
                <w:lang w:val="en-IN"/>
              </w:rPr>
            </w:pPr>
            <w:r>
              <w:rPr>
                <w:sz w:val="24"/>
                <w:szCs w:val="24"/>
                <w:lang w:val="en-IN"/>
              </w:rPr>
              <w:t>Filename prefix for model artefacts, such as ransomware_xgb.joblib and ransomware_metrics.joblib.</w:t>
            </w:r>
          </w:p>
        </w:tc>
      </w:tr>
      <w:tr w14:paraId="0B198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4DDF7662">
            <w:pPr>
              <w:spacing w:after="120" w:line="360" w:lineRule="auto"/>
              <w:jc w:val="center"/>
              <w:rPr>
                <w:sz w:val="24"/>
                <w:szCs w:val="24"/>
                <w:lang w:val="en-IN"/>
              </w:rPr>
            </w:pPr>
            <w:r>
              <w:rPr>
                <w:sz w:val="24"/>
                <w:szCs w:val="24"/>
                <w:lang w:val="en-IN"/>
              </w:rPr>
              <w:t>GRID_SEARCH</w:t>
            </w:r>
          </w:p>
        </w:tc>
        <w:tc>
          <w:tcPr>
            <w:tcW w:w="2328" w:type="dxa"/>
            <w:tcBorders>
              <w:top w:val="single" w:color="000000" w:sz="8" w:space="0"/>
              <w:left w:val="single" w:color="000000" w:sz="8" w:space="0"/>
              <w:bottom w:val="single" w:color="000000" w:sz="8" w:space="0"/>
              <w:right w:val="single" w:color="000000" w:sz="8" w:space="0"/>
            </w:tcBorders>
            <w:vAlign w:val="center"/>
          </w:tcPr>
          <w:p w14:paraId="10CD5D2E">
            <w:pPr>
              <w:spacing w:after="120" w:line="360" w:lineRule="auto"/>
              <w:ind w:firstLine="720"/>
              <w:jc w:val="left"/>
              <w:rPr>
                <w:sz w:val="24"/>
                <w:szCs w:val="24"/>
                <w:lang w:val="en-IN"/>
              </w:rPr>
            </w:pPr>
            <w:r>
              <w:rPr>
                <w:sz w:val="24"/>
                <w:szCs w:val="24"/>
                <w:lang w:val="en-IN"/>
              </w:rPr>
              <w:t>False</w:t>
            </w:r>
          </w:p>
        </w:tc>
        <w:tc>
          <w:tcPr>
            <w:tcW w:w="4821" w:type="dxa"/>
            <w:tcBorders>
              <w:top w:val="single" w:color="000000" w:sz="8" w:space="0"/>
              <w:left w:val="single" w:color="000000" w:sz="8" w:space="0"/>
              <w:bottom w:val="single" w:color="000000" w:sz="8" w:space="0"/>
              <w:right w:val="single" w:color="000000" w:sz="8" w:space="0"/>
            </w:tcBorders>
            <w:vAlign w:val="center"/>
          </w:tcPr>
          <w:p w14:paraId="317C5D71">
            <w:pPr>
              <w:spacing w:after="120" w:line="360" w:lineRule="auto"/>
              <w:ind w:left="218" w:leftChars="91" w:firstLine="0" w:firstLineChars="0"/>
              <w:jc w:val="both"/>
              <w:rPr>
                <w:sz w:val="24"/>
                <w:szCs w:val="24"/>
                <w:lang w:val="en-IN"/>
              </w:rPr>
            </w:pPr>
            <w:r>
              <w:rPr>
                <w:sz w:val="24"/>
                <w:szCs w:val="24"/>
                <w:lang w:val="en-IN"/>
              </w:rPr>
              <w:t>Intended to control hyperparameter search. app.py calls ml_engine.train(..., use_grid_search=True) unconditionally at line 105, so the live server always performs the search.</w:t>
            </w:r>
          </w:p>
        </w:tc>
      </w:tr>
      <w:tr w14:paraId="1F8DD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6D4C9D07">
            <w:pPr>
              <w:spacing w:after="120" w:line="360" w:lineRule="auto"/>
              <w:jc w:val="center"/>
              <w:rPr>
                <w:sz w:val="24"/>
                <w:szCs w:val="24"/>
                <w:lang w:val="en-IN"/>
              </w:rPr>
            </w:pPr>
            <w:r>
              <w:rPr>
                <w:sz w:val="24"/>
                <w:szCs w:val="24"/>
                <w:lang w:val="en-IN"/>
              </w:rPr>
              <w:t>TRAINING_SAMPLES</w:t>
            </w:r>
          </w:p>
        </w:tc>
        <w:tc>
          <w:tcPr>
            <w:tcW w:w="2328" w:type="dxa"/>
            <w:tcBorders>
              <w:top w:val="single" w:color="000000" w:sz="8" w:space="0"/>
              <w:left w:val="single" w:color="000000" w:sz="8" w:space="0"/>
              <w:bottom w:val="single" w:color="000000" w:sz="8" w:space="0"/>
              <w:right w:val="single" w:color="000000" w:sz="8" w:space="0"/>
            </w:tcBorders>
            <w:vAlign w:val="center"/>
          </w:tcPr>
          <w:p w14:paraId="2F30F767">
            <w:pPr>
              <w:spacing w:after="120" w:line="360" w:lineRule="auto"/>
              <w:ind w:firstLine="720"/>
              <w:jc w:val="left"/>
              <w:rPr>
                <w:sz w:val="24"/>
                <w:szCs w:val="24"/>
                <w:lang w:val="en-IN"/>
              </w:rPr>
            </w:pPr>
            <w:r>
              <w:rPr>
                <w:sz w:val="24"/>
                <w:szCs w:val="24"/>
                <w:lang w:val="en-IN"/>
              </w:rPr>
              <w:t>8000</w:t>
            </w:r>
          </w:p>
        </w:tc>
        <w:tc>
          <w:tcPr>
            <w:tcW w:w="4821" w:type="dxa"/>
            <w:tcBorders>
              <w:top w:val="single" w:color="000000" w:sz="8" w:space="0"/>
              <w:left w:val="single" w:color="000000" w:sz="8" w:space="0"/>
              <w:bottom w:val="single" w:color="000000" w:sz="8" w:space="0"/>
              <w:right w:val="single" w:color="000000" w:sz="8" w:space="0"/>
            </w:tcBorders>
            <w:vAlign w:val="center"/>
          </w:tcPr>
          <w:p w14:paraId="048FE697">
            <w:pPr>
              <w:spacing w:after="120" w:line="360" w:lineRule="auto"/>
              <w:ind w:left="218" w:leftChars="91" w:firstLine="141" w:firstLineChars="59"/>
              <w:jc w:val="both"/>
              <w:rPr>
                <w:sz w:val="24"/>
                <w:szCs w:val="24"/>
                <w:lang w:val="en-IN"/>
              </w:rPr>
            </w:pPr>
            <w:r>
              <w:rPr>
                <w:sz w:val="24"/>
                <w:szCs w:val="24"/>
                <w:lang w:val="en-IN"/>
              </w:rPr>
              <w:t>Number of windows generated by the emulator when no logged operations exist. Used by scripts/evaluate.py; app.py also hard-codes 8000 at lines 91 and 97.</w:t>
            </w:r>
          </w:p>
        </w:tc>
      </w:tr>
      <w:tr w14:paraId="027C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205ED1FE">
            <w:pPr>
              <w:spacing w:after="120" w:line="360" w:lineRule="auto"/>
              <w:jc w:val="center"/>
              <w:rPr>
                <w:sz w:val="24"/>
                <w:szCs w:val="24"/>
                <w:lang w:val="en-IN"/>
              </w:rPr>
            </w:pPr>
            <w:r>
              <w:rPr>
                <w:sz w:val="24"/>
                <w:szCs w:val="24"/>
                <w:lang w:val="en-IN"/>
              </w:rPr>
              <w:t>ATTACK_INTERVAL_MIN</w:t>
            </w:r>
          </w:p>
        </w:tc>
        <w:tc>
          <w:tcPr>
            <w:tcW w:w="2328" w:type="dxa"/>
            <w:tcBorders>
              <w:top w:val="single" w:color="000000" w:sz="8" w:space="0"/>
              <w:left w:val="single" w:color="000000" w:sz="8" w:space="0"/>
              <w:bottom w:val="single" w:color="000000" w:sz="8" w:space="0"/>
              <w:right w:val="single" w:color="000000" w:sz="8" w:space="0"/>
            </w:tcBorders>
            <w:vAlign w:val="center"/>
          </w:tcPr>
          <w:p w14:paraId="70AAD097">
            <w:pPr>
              <w:spacing w:after="120" w:line="360" w:lineRule="auto"/>
              <w:ind w:firstLine="720"/>
              <w:jc w:val="left"/>
              <w:rPr>
                <w:sz w:val="24"/>
                <w:szCs w:val="24"/>
                <w:lang w:val="en-IN"/>
              </w:rPr>
            </w:pPr>
            <w:r>
              <w:rPr>
                <w:sz w:val="24"/>
                <w:szCs w:val="24"/>
                <w:lang w:val="en-IN"/>
              </w:rPr>
              <w:t>12 seconds</w:t>
            </w:r>
          </w:p>
        </w:tc>
        <w:tc>
          <w:tcPr>
            <w:tcW w:w="4821" w:type="dxa"/>
            <w:tcBorders>
              <w:top w:val="single" w:color="000000" w:sz="8" w:space="0"/>
              <w:left w:val="single" w:color="000000" w:sz="8" w:space="0"/>
              <w:bottom w:val="single" w:color="000000" w:sz="8" w:space="0"/>
              <w:right w:val="single" w:color="000000" w:sz="8" w:space="0"/>
            </w:tcBorders>
            <w:vAlign w:val="center"/>
          </w:tcPr>
          <w:p w14:paraId="64113075">
            <w:pPr>
              <w:spacing w:after="120" w:line="360" w:lineRule="auto"/>
              <w:ind w:left="218" w:leftChars="91" w:firstLine="0" w:firstLineChars="0"/>
              <w:jc w:val="both"/>
              <w:rPr>
                <w:sz w:val="24"/>
                <w:szCs w:val="24"/>
                <w:lang w:val="en-IN"/>
              </w:rPr>
            </w:pPr>
            <w:r>
              <w:rPr>
                <w:sz w:val="24"/>
                <w:szCs w:val="24"/>
                <w:lang w:val="en-IN"/>
              </w:rPr>
              <w:t>Minimum interval between simulated attack episodes. app.py passes the literal value 12 to the simulator.</w:t>
            </w:r>
          </w:p>
        </w:tc>
      </w:tr>
      <w:tr w14:paraId="0F604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0B8CB566">
            <w:pPr>
              <w:spacing w:after="120" w:line="360" w:lineRule="auto"/>
              <w:jc w:val="center"/>
              <w:rPr>
                <w:sz w:val="24"/>
                <w:szCs w:val="24"/>
                <w:lang w:val="en-IN"/>
              </w:rPr>
            </w:pPr>
            <w:r>
              <w:rPr>
                <w:sz w:val="24"/>
                <w:szCs w:val="24"/>
                <w:lang w:val="en-IN"/>
              </w:rPr>
              <w:t>ATTACK_INTERVAL_MAX</w:t>
            </w:r>
          </w:p>
        </w:tc>
        <w:tc>
          <w:tcPr>
            <w:tcW w:w="2328" w:type="dxa"/>
            <w:tcBorders>
              <w:top w:val="single" w:color="000000" w:sz="8" w:space="0"/>
              <w:left w:val="single" w:color="000000" w:sz="8" w:space="0"/>
              <w:bottom w:val="single" w:color="000000" w:sz="8" w:space="0"/>
              <w:right w:val="single" w:color="000000" w:sz="8" w:space="0"/>
            </w:tcBorders>
            <w:vAlign w:val="center"/>
          </w:tcPr>
          <w:p w14:paraId="3017D12A">
            <w:pPr>
              <w:spacing w:after="120" w:line="360" w:lineRule="auto"/>
              <w:ind w:firstLine="720"/>
              <w:jc w:val="left"/>
              <w:rPr>
                <w:sz w:val="24"/>
                <w:szCs w:val="24"/>
                <w:lang w:val="en-IN"/>
              </w:rPr>
            </w:pPr>
            <w:r>
              <w:rPr>
                <w:sz w:val="24"/>
                <w:szCs w:val="24"/>
                <w:lang w:val="en-IN"/>
              </w:rPr>
              <w:t>25 seconds</w:t>
            </w:r>
          </w:p>
        </w:tc>
        <w:tc>
          <w:tcPr>
            <w:tcW w:w="4821" w:type="dxa"/>
            <w:tcBorders>
              <w:top w:val="single" w:color="000000" w:sz="8" w:space="0"/>
              <w:left w:val="single" w:color="000000" w:sz="8" w:space="0"/>
              <w:bottom w:val="single" w:color="000000" w:sz="8" w:space="0"/>
              <w:right w:val="single" w:color="000000" w:sz="8" w:space="0"/>
            </w:tcBorders>
            <w:vAlign w:val="center"/>
          </w:tcPr>
          <w:p w14:paraId="1CC01131">
            <w:pPr>
              <w:spacing w:after="120" w:line="360" w:lineRule="auto"/>
              <w:ind w:left="218" w:leftChars="91" w:firstLine="0" w:firstLineChars="0"/>
              <w:jc w:val="both"/>
              <w:rPr>
                <w:sz w:val="24"/>
                <w:szCs w:val="24"/>
                <w:lang w:val="en-IN"/>
              </w:rPr>
            </w:pPr>
            <w:r>
              <w:rPr>
                <w:sz w:val="24"/>
                <w:szCs w:val="24"/>
                <w:lang w:val="en-IN"/>
              </w:rPr>
              <w:t>Maximum interval between simulated attack episodes. app.py passes the interval (12, 25) directly to the simulator.</w:t>
            </w:r>
          </w:p>
        </w:tc>
      </w:tr>
      <w:tr w14:paraId="01759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7A90CF8F">
            <w:pPr>
              <w:spacing w:after="120" w:line="360" w:lineRule="auto"/>
              <w:jc w:val="center"/>
              <w:rPr>
                <w:sz w:val="24"/>
                <w:szCs w:val="24"/>
                <w:lang w:val="en-IN"/>
              </w:rPr>
            </w:pPr>
            <w:r>
              <w:rPr>
                <w:sz w:val="24"/>
                <w:szCs w:val="24"/>
                <w:lang w:val="en-IN"/>
              </w:rPr>
              <w:t>DEFAULT_SPEED</w:t>
            </w:r>
          </w:p>
        </w:tc>
        <w:tc>
          <w:tcPr>
            <w:tcW w:w="2328" w:type="dxa"/>
            <w:tcBorders>
              <w:top w:val="single" w:color="000000" w:sz="8" w:space="0"/>
              <w:left w:val="single" w:color="000000" w:sz="8" w:space="0"/>
              <w:bottom w:val="single" w:color="000000" w:sz="8" w:space="0"/>
              <w:right w:val="single" w:color="000000" w:sz="8" w:space="0"/>
            </w:tcBorders>
            <w:vAlign w:val="center"/>
          </w:tcPr>
          <w:p w14:paraId="20779EDE">
            <w:pPr>
              <w:spacing w:after="120" w:line="360" w:lineRule="auto"/>
              <w:ind w:firstLine="720"/>
              <w:jc w:val="left"/>
              <w:rPr>
                <w:sz w:val="24"/>
                <w:szCs w:val="24"/>
                <w:lang w:val="en-IN"/>
              </w:rPr>
            </w:pPr>
            <w:r>
              <w:rPr>
                <w:sz w:val="24"/>
                <w:szCs w:val="24"/>
                <w:lang w:val="en-IN"/>
              </w:rPr>
              <w:t>1.0</w:t>
            </w:r>
          </w:p>
        </w:tc>
        <w:tc>
          <w:tcPr>
            <w:tcW w:w="4821" w:type="dxa"/>
            <w:tcBorders>
              <w:top w:val="single" w:color="000000" w:sz="8" w:space="0"/>
              <w:left w:val="single" w:color="000000" w:sz="8" w:space="0"/>
              <w:bottom w:val="single" w:color="000000" w:sz="8" w:space="0"/>
              <w:right w:val="single" w:color="000000" w:sz="8" w:space="0"/>
            </w:tcBorders>
            <w:vAlign w:val="center"/>
          </w:tcPr>
          <w:p w14:paraId="28167AE6">
            <w:pPr>
              <w:spacing w:after="120" w:line="360" w:lineRule="auto"/>
              <w:ind w:left="240" w:leftChars="100" w:firstLine="141" w:firstLineChars="59"/>
              <w:jc w:val="both"/>
              <w:rPr>
                <w:sz w:val="24"/>
                <w:szCs w:val="24"/>
                <w:lang w:val="en-IN"/>
              </w:rPr>
            </w:pPr>
            <w:r>
              <w:rPr>
                <w:sz w:val="24"/>
                <w:szCs w:val="24"/>
                <w:lang w:val="en-IN"/>
              </w:rPr>
              <w:t>Default simulation speed multiplier, expressed as ticks per second. The runtime loop derives its delay from the simulator's own speed state.</w:t>
            </w:r>
          </w:p>
        </w:tc>
      </w:tr>
      <w:tr w14:paraId="1C0E3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1660EA04">
            <w:pPr>
              <w:spacing w:after="120" w:line="360" w:lineRule="auto"/>
              <w:jc w:val="center"/>
              <w:rPr>
                <w:sz w:val="24"/>
                <w:szCs w:val="24"/>
                <w:lang w:val="en-IN"/>
              </w:rPr>
            </w:pPr>
            <w:r>
              <w:rPr>
                <w:sz w:val="24"/>
                <w:szCs w:val="24"/>
                <w:lang w:val="en-IN"/>
              </w:rPr>
              <w:t>MAX_TICK_HISTORY</w:t>
            </w:r>
          </w:p>
        </w:tc>
        <w:tc>
          <w:tcPr>
            <w:tcW w:w="2328" w:type="dxa"/>
            <w:tcBorders>
              <w:top w:val="single" w:color="000000" w:sz="8" w:space="0"/>
              <w:left w:val="single" w:color="000000" w:sz="8" w:space="0"/>
              <w:bottom w:val="single" w:color="000000" w:sz="8" w:space="0"/>
              <w:right w:val="single" w:color="000000" w:sz="8" w:space="0"/>
            </w:tcBorders>
            <w:vAlign w:val="center"/>
          </w:tcPr>
          <w:p w14:paraId="1EFE6017">
            <w:pPr>
              <w:spacing w:after="120" w:line="360" w:lineRule="auto"/>
              <w:ind w:firstLine="720"/>
              <w:jc w:val="left"/>
              <w:rPr>
                <w:sz w:val="24"/>
                <w:szCs w:val="24"/>
                <w:lang w:val="en-IN"/>
              </w:rPr>
            </w:pPr>
            <w:r>
              <w:rPr>
                <w:sz w:val="24"/>
                <w:szCs w:val="24"/>
                <w:lang w:val="en-IN"/>
              </w:rPr>
              <w:t>120</w:t>
            </w:r>
          </w:p>
        </w:tc>
        <w:tc>
          <w:tcPr>
            <w:tcW w:w="4821" w:type="dxa"/>
            <w:tcBorders>
              <w:top w:val="single" w:color="000000" w:sz="8" w:space="0"/>
              <w:left w:val="single" w:color="000000" w:sz="8" w:space="0"/>
              <w:bottom w:val="single" w:color="000000" w:sz="8" w:space="0"/>
              <w:right w:val="single" w:color="000000" w:sz="8" w:space="0"/>
            </w:tcBorders>
            <w:vAlign w:val="center"/>
          </w:tcPr>
          <w:p w14:paraId="1FB92005">
            <w:pPr>
              <w:spacing w:after="120" w:line="360" w:lineRule="auto"/>
              <w:ind w:left="240" w:leftChars="100" w:firstLine="141" w:firstLineChars="59"/>
              <w:jc w:val="both"/>
              <w:rPr>
                <w:sz w:val="24"/>
                <w:szCs w:val="24"/>
                <w:lang w:val="en-IN"/>
              </w:rPr>
            </w:pPr>
            <w:r>
              <w:rPr>
                <w:sz w:val="24"/>
                <w:szCs w:val="24"/>
                <w:lang w:val="en-IN"/>
              </w:rPr>
              <w:t>Maximum number of ticks retained in memory for dashboard charts. app.py independently enforces this limit.</w:t>
            </w:r>
          </w:p>
        </w:tc>
      </w:tr>
      <w:tr w14:paraId="7F4FA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6774F2E6">
            <w:pPr>
              <w:spacing w:after="120" w:line="360" w:lineRule="auto"/>
              <w:ind w:firstLine="720"/>
              <w:jc w:val="center"/>
              <w:rPr>
                <w:sz w:val="24"/>
                <w:szCs w:val="24"/>
                <w:lang w:val="en-IN"/>
              </w:rPr>
            </w:pPr>
            <w:r>
              <w:rPr>
                <w:sz w:val="24"/>
                <w:szCs w:val="24"/>
                <w:lang w:val="en-IN"/>
              </w:rPr>
              <w:t>DEFAULT_FOLDERS</w:t>
            </w:r>
          </w:p>
        </w:tc>
        <w:tc>
          <w:tcPr>
            <w:tcW w:w="2328" w:type="dxa"/>
            <w:tcBorders>
              <w:top w:val="single" w:color="000000" w:sz="8" w:space="0"/>
              <w:left w:val="single" w:color="000000" w:sz="8" w:space="0"/>
              <w:bottom w:val="single" w:color="000000" w:sz="8" w:space="0"/>
              <w:right w:val="single" w:color="000000" w:sz="8" w:space="0"/>
            </w:tcBorders>
            <w:vAlign w:val="center"/>
          </w:tcPr>
          <w:p w14:paraId="0C973FA1">
            <w:pPr>
              <w:spacing w:after="120" w:line="360" w:lineRule="auto"/>
              <w:jc w:val="left"/>
              <w:rPr>
                <w:sz w:val="24"/>
                <w:szCs w:val="24"/>
                <w:lang w:val="en-IN"/>
              </w:rPr>
            </w:pPr>
            <w:r>
              <w:rPr>
                <w:sz w:val="24"/>
                <w:szCs w:val="24"/>
                <w:lang w:val="en-IN"/>
              </w:rPr>
              <w:t>["&lt;home&gt;/Desktop", "&lt;home&gt;/Downloads"]</w:t>
            </w:r>
          </w:p>
        </w:tc>
        <w:tc>
          <w:tcPr>
            <w:tcW w:w="4821" w:type="dxa"/>
            <w:tcBorders>
              <w:top w:val="single" w:color="000000" w:sz="8" w:space="0"/>
              <w:left w:val="single" w:color="000000" w:sz="8" w:space="0"/>
              <w:bottom w:val="single" w:color="000000" w:sz="8" w:space="0"/>
              <w:right w:val="single" w:color="000000" w:sz="8" w:space="0"/>
            </w:tcBorders>
            <w:vAlign w:val="center"/>
          </w:tcPr>
          <w:p w14:paraId="2170CC05">
            <w:pPr>
              <w:spacing w:after="120" w:line="360" w:lineRule="auto"/>
              <w:ind w:left="218" w:leftChars="91" w:firstLine="0" w:firstLineChars="0"/>
              <w:jc w:val="both"/>
              <w:rPr>
                <w:sz w:val="24"/>
                <w:szCs w:val="24"/>
                <w:lang w:val="en-IN"/>
              </w:rPr>
            </w:pPr>
            <w:r>
              <w:rPr>
                <w:sz w:val="24"/>
                <w:szCs w:val="24"/>
                <w:lang w:val="en-IN"/>
              </w:rPr>
              <w:t>Default folders monitored when an operator starts a session without selecting folders. real_monitor.py independently constructs the same paths.</w:t>
            </w:r>
          </w:p>
        </w:tc>
      </w:tr>
      <w:tr w14:paraId="00C10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2EFBCB16">
            <w:pPr>
              <w:spacing w:after="120" w:line="360" w:lineRule="auto"/>
              <w:jc w:val="center"/>
              <w:rPr>
                <w:sz w:val="24"/>
                <w:szCs w:val="24"/>
                <w:lang w:val="en-IN"/>
              </w:rPr>
            </w:pPr>
            <w:r>
              <w:rPr>
                <w:sz w:val="24"/>
                <w:szCs w:val="24"/>
                <w:lang w:val="en-IN"/>
              </w:rPr>
              <w:t>MONITOR_INTERVAL</w:t>
            </w:r>
          </w:p>
        </w:tc>
        <w:tc>
          <w:tcPr>
            <w:tcW w:w="2328" w:type="dxa"/>
            <w:tcBorders>
              <w:top w:val="single" w:color="000000" w:sz="8" w:space="0"/>
              <w:left w:val="single" w:color="000000" w:sz="8" w:space="0"/>
              <w:bottom w:val="single" w:color="000000" w:sz="8" w:space="0"/>
              <w:right w:val="single" w:color="000000" w:sz="8" w:space="0"/>
            </w:tcBorders>
            <w:vAlign w:val="center"/>
          </w:tcPr>
          <w:p w14:paraId="0CAACF8E">
            <w:pPr>
              <w:spacing w:after="120" w:line="360" w:lineRule="auto"/>
              <w:ind w:firstLine="720"/>
              <w:jc w:val="left"/>
              <w:rPr>
                <w:sz w:val="24"/>
                <w:szCs w:val="24"/>
                <w:lang w:val="en-IN"/>
              </w:rPr>
            </w:pPr>
            <w:r>
              <w:rPr>
                <w:sz w:val="24"/>
                <w:szCs w:val="24"/>
                <w:lang w:val="en-IN"/>
              </w:rPr>
              <w:t>1.0 second</w:t>
            </w:r>
          </w:p>
        </w:tc>
        <w:tc>
          <w:tcPr>
            <w:tcW w:w="4821" w:type="dxa"/>
            <w:tcBorders>
              <w:top w:val="single" w:color="000000" w:sz="8" w:space="0"/>
              <w:left w:val="single" w:color="000000" w:sz="8" w:space="0"/>
              <w:bottom w:val="single" w:color="000000" w:sz="8" w:space="0"/>
              <w:right w:val="single" w:color="000000" w:sz="8" w:space="0"/>
            </w:tcBorders>
            <w:vAlign w:val="center"/>
          </w:tcPr>
          <w:p w14:paraId="0FE935C8">
            <w:pPr>
              <w:spacing w:after="120" w:line="360" w:lineRule="auto"/>
              <w:ind w:left="218" w:leftChars="91" w:firstLine="0" w:firstLineChars="0"/>
              <w:jc w:val="both"/>
              <w:rPr>
                <w:sz w:val="24"/>
                <w:szCs w:val="24"/>
                <w:lang w:val="en-IN"/>
              </w:rPr>
            </w:pPr>
            <w:r>
              <w:rPr>
                <w:sz w:val="24"/>
                <w:szCs w:val="24"/>
                <w:lang w:val="en-IN"/>
              </w:rPr>
              <w:t>Sleep interval between aggregation ticks, determining the stride of trailing windows. app.py uses its own hard-coded value of 1.0 second.</w:t>
            </w:r>
          </w:p>
        </w:tc>
      </w:tr>
      <w:tr w14:paraId="57CD8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0730222E">
            <w:pPr>
              <w:spacing w:after="120" w:line="360" w:lineRule="auto"/>
              <w:jc w:val="center"/>
              <w:rPr>
                <w:sz w:val="24"/>
                <w:szCs w:val="24"/>
                <w:lang w:val="en-IN"/>
              </w:rPr>
            </w:pPr>
            <w:r>
              <w:rPr>
                <w:sz w:val="24"/>
                <w:szCs w:val="24"/>
                <w:lang w:val="en-IN"/>
              </w:rPr>
              <w:t>MAX_ALERT_LOG</w:t>
            </w:r>
          </w:p>
        </w:tc>
        <w:tc>
          <w:tcPr>
            <w:tcW w:w="2328" w:type="dxa"/>
            <w:tcBorders>
              <w:top w:val="single" w:color="000000" w:sz="8" w:space="0"/>
              <w:left w:val="single" w:color="000000" w:sz="8" w:space="0"/>
              <w:bottom w:val="single" w:color="000000" w:sz="8" w:space="0"/>
              <w:right w:val="single" w:color="000000" w:sz="8" w:space="0"/>
            </w:tcBorders>
            <w:vAlign w:val="center"/>
          </w:tcPr>
          <w:p w14:paraId="5C9BE6CC">
            <w:pPr>
              <w:spacing w:after="120" w:line="360" w:lineRule="auto"/>
              <w:ind w:firstLine="720"/>
              <w:jc w:val="left"/>
              <w:rPr>
                <w:sz w:val="24"/>
                <w:szCs w:val="24"/>
                <w:lang w:val="en-IN"/>
              </w:rPr>
            </w:pPr>
            <w:r>
              <w:rPr>
                <w:sz w:val="24"/>
                <w:szCs w:val="24"/>
                <w:lang w:val="en-IN"/>
              </w:rPr>
              <w:t>50</w:t>
            </w:r>
          </w:p>
        </w:tc>
        <w:tc>
          <w:tcPr>
            <w:tcW w:w="4821" w:type="dxa"/>
            <w:tcBorders>
              <w:top w:val="single" w:color="000000" w:sz="8" w:space="0"/>
              <w:left w:val="single" w:color="000000" w:sz="8" w:space="0"/>
              <w:bottom w:val="single" w:color="000000" w:sz="8" w:space="0"/>
              <w:right w:val="single" w:color="000000" w:sz="8" w:space="0"/>
            </w:tcBorders>
            <w:vAlign w:val="center"/>
          </w:tcPr>
          <w:p w14:paraId="63F20C44">
            <w:pPr>
              <w:spacing w:after="120" w:line="360" w:lineRule="auto"/>
              <w:ind w:left="218" w:leftChars="91" w:firstLine="0" w:firstLineChars="0"/>
              <w:jc w:val="both"/>
              <w:rPr>
                <w:sz w:val="24"/>
                <w:szCs w:val="24"/>
                <w:lang w:val="en-IN"/>
              </w:rPr>
            </w:pPr>
            <w:r>
              <w:rPr>
                <w:sz w:val="24"/>
                <w:szCs w:val="24"/>
                <w:lang w:val="en-IN"/>
              </w:rPr>
              <w:t>Maximum number of alerts retained in memory for the dashboard feed. app.py independently truncates t</w:t>
            </w:r>
            <w:r>
              <w:rPr>
                <w:rFonts w:hint="default"/>
                <w:sz w:val="24"/>
                <w:szCs w:val="24"/>
                <w:lang w:val="en-US"/>
              </w:rPr>
              <w:t xml:space="preserve"> </w:t>
            </w:r>
            <w:r>
              <w:rPr>
                <w:sz w:val="24"/>
                <w:szCs w:val="24"/>
                <w:lang w:val="en-IN"/>
              </w:rPr>
              <w:t>he alert list at 50 entries.</w:t>
            </w:r>
          </w:p>
        </w:tc>
      </w:tr>
      <w:tr w14:paraId="50736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01E5E601">
            <w:pPr>
              <w:spacing w:after="120" w:line="360" w:lineRule="auto"/>
              <w:ind w:firstLine="720"/>
              <w:jc w:val="center"/>
              <w:rPr>
                <w:sz w:val="24"/>
                <w:szCs w:val="24"/>
                <w:lang w:val="en-IN"/>
              </w:rPr>
            </w:pPr>
            <w:r>
              <w:rPr>
                <w:sz w:val="24"/>
                <w:szCs w:val="24"/>
                <w:lang w:val="en-IN"/>
              </w:rPr>
              <w:t>ALERT_PROBABILITY_THRESHOLD</w:t>
            </w:r>
          </w:p>
        </w:tc>
        <w:tc>
          <w:tcPr>
            <w:tcW w:w="2328" w:type="dxa"/>
            <w:tcBorders>
              <w:top w:val="single" w:color="000000" w:sz="8" w:space="0"/>
              <w:left w:val="single" w:color="000000" w:sz="8" w:space="0"/>
              <w:bottom w:val="single" w:color="000000" w:sz="8" w:space="0"/>
              <w:right w:val="single" w:color="000000" w:sz="8" w:space="0"/>
            </w:tcBorders>
            <w:vAlign w:val="center"/>
          </w:tcPr>
          <w:p w14:paraId="6BB559FA">
            <w:pPr>
              <w:spacing w:after="120" w:line="360" w:lineRule="auto"/>
              <w:ind w:firstLine="720"/>
              <w:jc w:val="left"/>
              <w:rPr>
                <w:sz w:val="24"/>
                <w:szCs w:val="24"/>
                <w:lang w:val="en-IN"/>
              </w:rPr>
            </w:pPr>
            <w:r>
              <w:rPr>
                <w:sz w:val="24"/>
                <w:szCs w:val="24"/>
                <w:lang w:val="en-IN"/>
              </w:rPr>
              <w:t>0.5</w:t>
            </w:r>
          </w:p>
        </w:tc>
        <w:tc>
          <w:tcPr>
            <w:tcW w:w="4821" w:type="dxa"/>
            <w:tcBorders>
              <w:top w:val="single" w:color="000000" w:sz="8" w:space="0"/>
              <w:left w:val="single" w:color="000000" w:sz="8" w:space="0"/>
              <w:bottom w:val="single" w:color="000000" w:sz="8" w:space="0"/>
              <w:right w:val="single" w:color="000000" w:sz="8" w:space="0"/>
            </w:tcBorders>
            <w:vAlign w:val="center"/>
          </w:tcPr>
          <w:p w14:paraId="2749ACB5">
            <w:pPr>
              <w:spacing w:after="120" w:line="360" w:lineRule="auto"/>
              <w:ind w:left="218" w:leftChars="91" w:firstLine="0" w:firstLineChars="0"/>
              <w:jc w:val="both"/>
              <w:rPr>
                <w:sz w:val="24"/>
                <w:szCs w:val="24"/>
                <w:lang w:val="en-IN"/>
              </w:rPr>
            </w:pPr>
            <w:r>
              <w:rPr>
                <w:sz w:val="24"/>
                <w:szCs w:val="24"/>
                <w:lang w:val="en-IN"/>
              </w:rPr>
              <w:t xml:space="preserve">Probability threshold above which a window raises an alert. app.py uses its own hard-coded threshold, so the </w:t>
            </w:r>
            <w:r>
              <w:rPr>
                <w:rFonts w:hint="default"/>
                <w:sz w:val="24"/>
                <w:szCs w:val="24"/>
                <w:lang w:val="en-US"/>
              </w:rPr>
              <w:t xml:space="preserve">  </w:t>
            </w:r>
            <w:r>
              <w:rPr>
                <w:sz w:val="24"/>
                <w:szCs w:val="24"/>
                <w:lang w:val="en-IN"/>
              </w:rPr>
              <w:t>cost-selected threshold from Section 5.7 is not applied at runtime.</w:t>
            </w:r>
          </w:p>
        </w:tc>
      </w:tr>
      <w:tr w14:paraId="5C822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7559BD95">
            <w:pPr>
              <w:spacing w:after="120" w:line="360" w:lineRule="auto"/>
              <w:jc w:val="center"/>
              <w:rPr>
                <w:sz w:val="24"/>
                <w:szCs w:val="24"/>
                <w:lang w:val="en-IN"/>
              </w:rPr>
            </w:pPr>
            <w:r>
              <w:rPr>
                <w:sz w:val="24"/>
                <w:szCs w:val="24"/>
                <w:lang w:val="en-IN"/>
              </w:rPr>
              <w:t>DB_PATH</w:t>
            </w:r>
          </w:p>
        </w:tc>
        <w:tc>
          <w:tcPr>
            <w:tcW w:w="2328" w:type="dxa"/>
            <w:tcBorders>
              <w:top w:val="single" w:color="000000" w:sz="8" w:space="0"/>
              <w:left w:val="single" w:color="000000" w:sz="8" w:space="0"/>
              <w:bottom w:val="single" w:color="000000" w:sz="8" w:space="0"/>
              <w:right w:val="single" w:color="000000" w:sz="8" w:space="0"/>
            </w:tcBorders>
            <w:vAlign w:val="center"/>
          </w:tcPr>
          <w:p w14:paraId="0ECAEF66">
            <w:pPr>
              <w:spacing w:after="120" w:line="360" w:lineRule="auto"/>
              <w:ind w:firstLine="720"/>
              <w:jc w:val="left"/>
              <w:rPr>
                <w:sz w:val="24"/>
                <w:szCs w:val="24"/>
                <w:lang w:val="en-IN"/>
              </w:rPr>
            </w:pPr>
            <w:r>
              <w:rPr>
                <w:sz w:val="24"/>
                <w:szCs w:val="24"/>
                <w:lang w:val="en-IN"/>
              </w:rPr>
              <w:t>&lt;project&gt;/ransomware_detection.db</w:t>
            </w:r>
          </w:p>
        </w:tc>
        <w:tc>
          <w:tcPr>
            <w:tcW w:w="4821" w:type="dxa"/>
            <w:tcBorders>
              <w:top w:val="single" w:color="000000" w:sz="8" w:space="0"/>
              <w:left w:val="single" w:color="000000" w:sz="8" w:space="0"/>
              <w:bottom w:val="single" w:color="000000" w:sz="8" w:space="0"/>
              <w:right w:val="single" w:color="000000" w:sz="8" w:space="0"/>
            </w:tcBorders>
            <w:vAlign w:val="center"/>
          </w:tcPr>
          <w:p w14:paraId="1A4ECFAF">
            <w:pPr>
              <w:spacing w:after="120" w:line="360" w:lineRule="auto"/>
              <w:ind w:left="218" w:leftChars="91" w:firstLine="0" w:firstLineChars="0"/>
              <w:jc w:val="both"/>
              <w:rPr>
                <w:sz w:val="24"/>
                <w:szCs w:val="24"/>
                <w:lang w:val="en-IN"/>
              </w:rPr>
            </w:pPr>
            <w:r>
              <w:rPr>
                <w:sz w:val="24"/>
                <w:szCs w:val="24"/>
                <w:lang w:val="en-IN"/>
              </w:rPr>
              <w:t>SQLite database path for window history, detection history, attack sessions and counters. database.py recomputes the path independently.</w:t>
            </w:r>
          </w:p>
        </w:tc>
      </w:tr>
      <w:tr w14:paraId="3FF67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07F1BA71">
            <w:pPr>
              <w:spacing w:after="120" w:line="360" w:lineRule="auto"/>
              <w:jc w:val="center"/>
              <w:rPr>
                <w:sz w:val="24"/>
                <w:szCs w:val="24"/>
                <w:lang w:val="en-IN"/>
              </w:rPr>
            </w:pPr>
            <w:r>
              <w:rPr>
                <w:sz w:val="24"/>
                <w:szCs w:val="24"/>
                <w:lang w:val="en-IN"/>
              </w:rPr>
              <w:t>DB_LOG_INTERVAL</w:t>
            </w:r>
          </w:p>
        </w:tc>
        <w:tc>
          <w:tcPr>
            <w:tcW w:w="2328" w:type="dxa"/>
            <w:tcBorders>
              <w:top w:val="single" w:color="000000" w:sz="8" w:space="0"/>
              <w:left w:val="single" w:color="000000" w:sz="8" w:space="0"/>
              <w:bottom w:val="single" w:color="000000" w:sz="8" w:space="0"/>
              <w:right w:val="single" w:color="000000" w:sz="8" w:space="0"/>
            </w:tcBorders>
            <w:vAlign w:val="center"/>
          </w:tcPr>
          <w:p w14:paraId="5F8A29A9">
            <w:pPr>
              <w:spacing w:after="120" w:line="360" w:lineRule="auto"/>
              <w:ind w:firstLine="720"/>
              <w:jc w:val="left"/>
              <w:rPr>
                <w:sz w:val="24"/>
                <w:szCs w:val="24"/>
                <w:lang w:val="en-IN"/>
              </w:rPr>
            </w:pPr>
            <w:r>
              <w:rPr>
                <w:sz w:val="24"/>
                <w:szCs w:val="24"/>
                <w:lang w:val="en-IN"/>
              </w:rPr>
              <w:t>10 ticks</w:t>
            </w:r>
          </w:p>
        </w:tc>
        <w:tc>
          <w:tcPr>
            <w:tcW w:w="4821" w:type="dxa"/>
            <w:tcBorders>
              <w:top w:val="single" w:color="000000" w:sz="8" w:space="0"/>
              <w:left w:val="single" w:color="000000" w:sz="8" w:space="0"/>
              <w:bottom w:val="single" w:color="000000" w:sz="8" w:space="0"/>
              <w:right w:val="single" w:color="000000" w:sz="8" w:space="0"/>
            </w:tcBorders>
            <w:vAlign w:val="center"/>
          </w:tcPr>
          <w:p w14:paraId="526D2377">
            <w:pPr>
              <w:spacing w:after="120" w:line="360" w:lineRule="auto"/>
              <w:ind w:left="218" w:leftChars="91" w:firstLine="0" w:firstLineChars="0"/>
              <w:jc w:val="both"/>
              <w:rPr>
                <w:sz w:val="24"/>
                <w:szCs w:val="24"/>
                <w:lang w:val="en-IN"/>
              </w:rPr>
            </w:pPr>
            <w:r>
              <w:rPr>
                <w:sz w:val="24"/>
                <w:szCs w:val="24"/>
                <w:lang w:val="en-IN"/>
              </w:rPr>
              <w:t>Controls the intended frequency of window-history persistence. app.py writes a window row every tenth tick using its own literal.</w:t>
            </w:r>
          </w:p>
        </w:tc>
      </w:tr>
      <w:tr w14:paraId="7267C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6DF54CD5">
            <w:pPr>
              <w:spacing w:after="120" w:line="360" w:lineRule="auto"/>
              <w:jc w:val="center"/>
              <w:rPr>
                <w:sz w:val="24"/>
                <w:szCs w:val="24"/>
                <w:lang w:val="en-IN"/>
              </w:rPr>
            </w:pPr>
            <w:r>
              <w:rPr>
                <w:sz w:val="24"/>
                <w:szCs w:val="24"/>
                <w:lang w:val="en-IN"/>
              </w:rPr>
              <w:t>TRAILING_WINDOWS</w:t>
            </w:r>
          </w:p>
        </w:tc>
        <w:tc>
          <w:tcPr>
            <w:tcW w:w="2328" w:type="dxa"/>
            <w:tcBorders>
              <w:top w:val="single" w:color="000000" w:sz="8" w:space="0"/>
              <w:left w:val="single" w:color="000000" w:sz="8" w:space="0"/>
              <w:bottom w:val="single" w:color="000000" w:sz="8" w:space="0"/>
              <w:right w:val="single" w:color="000000" w:sz="8" w:space="0"/>
            </w:tcBorders>
            <w:vAlign w:val="center"/>
          </w:tcPr>
          <w:p w14:paraId="76918568">
            <w:pPr>
              <w:spacing w:after="120" w:line="360" w:lineRule="auto"/>
              <w:ind w:firstLine="720"/>
              <w:jc w:val="left"/>
              <w:rPr>
                <w:sz w:val="24"/>
                <w:szCs w:val="24"/>
                <w:lang w:val="en-IN"/>
              </w:rPr>
            </w:pPr>
            <w:r>
              <w:rPr>
                <w:sz w:val="24"/>
                <w:szCs w:val="24"/>
                <w:lang w:val="en-IN"/>
              </w:rPr>
              <w:t>(3, 5, 10, 30)</w:t>
            </w:r>
          </w:p>
        </w:tc>
        <w:tc>
          <w:tcPr>
            <w:tcW w:w="4821" w:type="dxa"/>
            <w:tcBorders>
              <w:top w:val="single" w:color="000000" w:sz="8" w:space="0"/>
              <w:left w:val="single" w:color="000000" w:sz="8" w:space="0"/>
              <w:bottom w:val="single" w:color="000000" w:sz="8" w:space="0"/>
              <w:right w:val="single" w:color="000000" w:sz="8" w:space="0"/>
            </w:tcBorders>
            <w:vAlign w:val="center"/>
          </w:tcPr>
          <w:p w14:paraId="47B7D4B3">
            <w:pPr>
              <w:spacing w:after="120" w:line="360" w:lineRule="auto"/>
              <w:ind w:left="240" w:leftChars="100" w:firstLine="0" w:firstLineChars="0"/>
              <w:jc w:val="both"/>
              <w:rPr>
                <w:sz w:val="24"/>
                <w:szCs w:val="24"/>
                <w:lang w:val="en-IN"/>
              </w:rPr>
            </w:pPr>
            <w:r>
              <w:rPr>
                <w:sz w:val="24"/>
                <w:szCs w:val="24"/>
                <w:lang w:val="en-IN"/>
              </w:rPr>
              <w:t>Trailing aggregation horizons in seconds used to form the temporal feature vector. Changing these values changes feature dimensionality and invalidates persisted models.</w:t>
            </w:r>
          </w:p>
        </w:tc>
      </w:tr>
      <w:tr w14:paraId="2D3BC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11AAE749">
            <w:pPr>
              <w:spacing w:after="120" w:line="360" w:lineRule="auto"/>
              <w:jc w:val="center"/>
              <w:rPr>
                <w:sz w:val="24"/>
                <w:szCs w:val="24"/>
                <w:lang w:val="en-IN"/>
              </w:rPr>
            </w:pPr>
            <w:r>
              <w:rPr>
                <w:sz w:val="24"/>
                <w:szCs w:val="24"/>
                <w:lang w:val="en-IN"/>
              </w:rPr>
              <w:t>BASELINE_WINDOW</w:t>
            </w:r>
          </w:p>
        </w:tc>
        <w:tc>
          <w:tcPr>
            <w:tcW w:w="2328" w:type="dxa"/>
            <w:tcBorders>
              <w:top w:val="single" w:color="000000" w:sz="8" w:space="0"/>
              <w:left w:val="single" w:color="000000" w:sz="8" w:space="0"/>
              <w:bottom w:val="single" w:color="000000" w:sz="8" w:space="0"/>
              <w:right w:val="single" w:color="000000" w:sz="8" w:space="0"/>
            </w:tcBorders>
            <w:vAlign w:val="center"/>
          </w:tcPr>
          <w:p w14:paraId="64779716">
            <w:pPr>
              <w:spacing w:after="120" w:line="360" w:lineRule="auto"/>
              <w:ind w:firstLine="720"/>
              <w:jc w:val="left"/>
              <w:rPr>
                <w:sz w:val="24"/>
                <w:szCs w:val="24"/>
                <w:lang w:val="en-IN"/>
              </w:rPr>
            </w:pPr>
            <w:r>
              <w:rPr>
                <w:sz w:val="24"/>
                <w:szCs w:val="24"/>
                <w:lang w:val="en-IN"/>
              </w:rPr>
              <w:t>60 seconds</w:t>
            </w:r>
          </w:p>
        </w:tc>
        <w:tc>
          <w:tcPr>
            <w:tcW w:w="4821" w:type="dxa"/>
            <w:tcBorders>
              <w:top w:val="single" w:color="000000" w:sz="8" w:space="0"/>
              <w:left w:val="single" w:color="000000" w:sz="8" w:space="0"/>
              <w:bottom w:val="single" w:color="000000" w:sz="8" w:space="0"/>
              <w:right w:val="single" w:color="000000" w:sz="8" w:space="0"/>
            </w:tcBorders>
            <w:vAlign w:val="center"/>
          </w:tcPr>
          <w:p w14:paraId="5AEC1057">
            <w:pPr>
              <w:spacing w:after="120" w:line="360" w:lineRule="auto"/>
              <w:ind w:left="240" w:leftChars="100" w:firstLine="0" w:firstLineChars="0"/>
              <w:jc w:val="both"/>
              <w:rPr>
                <w:sz w:val="24"/>
                <w:szCs w:val="24"/>
                <w:lang w:val="en-IN"/>
              </w:rPr>
            </w:pPr>
            <w:r>
              <w:rPr>
                <w:sz w:val="24"/>
                <w:szCs w:val="24"/>
                <w:lang w:val="en-IN"/>
              </w:rPr>
              <w:t>Width of the long-run mean window used as the denominator when calculating burst_ratio.</w:t>
            </w:r>
          </w:p>
        </w:tc>
      </w:tr>
      <w:tr w14:paraId="0AEB3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6899147A">
            <w:pPr>
              <w:spacing w:after="120" w:line="360" w:lineRule="auto"/>
              <w:ind w:firstLine="720"/>
              <w:jc w:val="center"/>
              <w:rPr>
                <w:sz w:val="24"/>
                <w:szCs w:val="24"/>
                <w:lang w:val="en-IN"/>
              </w:rPr>
            </w:pPr>
            <w:r>
              <w:rPr>
                <w:sz w:val="24"/>
                <w:szCs w:val="24"/>
                <w:lang w:val="en-IN"/>
              </w:rPr>
              <w:t>C_FP</w:t>
            </w:r>
          </w:p>
        </w:tc>
        <w:tc>
          <w:tcPr>
            <w:tcW w:w="2328" w:type="dxa"/>
            <w:tcBorders>
              <w:top w:val="single" w:color="000000" w:sz="8" w:space="0"/>
              <w:left w:val="single" w:color="000000" w:sz="8" w:space="0"/>
              <w:bottom w:val="single" w:color="000000" w:sz="8" w:space="0"/>
              <w:right w:val="single" w:color="000000" w:sz="8" w:space="0"/>
            </w:tcBorders>
            <w:vAlign w:val="center"/>
          </w:tcPr>
          <w:p w14:paraId="53B381BB">
            <w:pPr>
              <w:spacing w:after="120" w:line="360" w:lineRule="auto"/>
              <w:ind w:firstLine="720"/>
              <w:jc w:val="left"/>
              <w:rPr>
                <w:sz w:val="24"/>
                <w:szCs w:val="24"/>
                <w:lang w:val="en-IN"/>
              </w:rPr>
            </w:pPr>
            <w:r>
              <w:rPr>
                <w:sz w:val="24"/>
                <w:szCs w:val="24"/>
                <w:lang w:val="en-IN"/>
              </w:rPr>
              <w:t>1</w:t>
            </w:r>
          </w:p>
        </w:tc>
        <w:tc>
          <w:tcPr>
            <w:tcW w:w="4821" w:type="dxa"/>
            <w:tcBorders>
              <w:top w:val="single" w:color="000000" w:sz="8" w:space="0"/>
              <w:left w:val="single" w:color="000000" w:sz="8" w:space="0"/>
              <w:bottom w:val="single" w:color="000000" w:sz="8" w:space="0"/>
              <w:right w:val="single" w:color="000000" w:sz="8" w:space="0"/>
            </w:tcBorders>
            <w:vAlign w:val="center"/>
          </w:tcPr>
          <w:p w14:paraId="2884D4FA">
            <w:pPr>
              <w:spacing w:after="120" w:line="360" w:lineRule="auto"/>
              <w:ind w:left="240" w:leftChars="100" w:firstLine="0" w:firstLineChars="0"/>
              <w:jc w:val="both"/>
              <w:rPr>
                <w:sz w:val="24"/>
                <w:szCs w:val="24"/>
                <w:lang w:val="en-IN"/>
              </w:rPr>
            </w:pPr>
            <w:r>
              <w:rPr>
                <w:sz w:val="24"/>
                <w:szCs w:val="24"/>
                <w:lang w:val="en-IN"/>
              </w:rPr>
              <w:t>Cost assigned to a false positive, contributing C_FP × FP to the total cost.</w:t>
            </w:r>
          </w:p>
        </w:tc>
      </w:tr>
      <w:tr w14:paraId="487D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7DFC8D04">
            <w:pPr>
              <w:spacing w:after="120" w:line="360" w:lineRule="auto"/>
              <w:ind w:firstLine="720"/>
              <w:jc w:val="center"/>
              <w:rPr>
                <w:sz w:val="24"/>
                <w:szCs w:val="24"/>
                <w:lang w:val="en-IN"/>
              </w:rPr>
            </w:pPr>
            <w:r>
              <w:rPr>
                <w:sz w:val="24"/>
                <w:szCs w:val="24"/>
                <w:lang w:val="en-IN"/>
              </w:rPr>
              <w:t>C_FN</w:t>
            </w:r>
          </w:p>
        </w:tc>
        <w:tc>
          <w:tcPr>
            <w:tcW w:w="2328" w:type="dxa"/>
            <w:tcBorders>
              <w:top w:val="single" w:color="000000" w:sz="8" w:space="0"/>
              <w:left w:val="single" w:color="000000" w:sz="8" w:space="0"/>
              <w:bottom w:val="single" w:color="000000" w:sz="8" w:space="0"/>
              <w:right w:val="single" w:color="000000" w:sz="8" w:space="0"/>
            </w:tcBorders>
            <w:vAlign w:val="center"/>
          </w:tcPr>
          <w:p w14:paraId="5CBACCF6">
            <w:pPr>
              <w:spacing w:after="120" w:line="360" w:lineRule="auto"/>
              <w:ind w:firstLine="720"/>
              <w:jc w:val="left"/>
              <w:rPr>
                <w:sz w:val="24"/>
                <w:szCs w:val="24"/>
                <w:lang w:val="en-IN"/>
              </w:rPr>
            </w:pPr>
            <w:r>
              <w:rPr>
                <w:sz w:val="24"/>
                <w:szCs w:val="24"/>
                <w:lang w:val="en-IN"/>
              </w:rPr>
              <w:t>10</w:t>
            </w:r>
          </w:p>
        </w:tc>
        <w:tc>
          <w:tcPr>
            <w:tcW w:w="4821" w:type="dxa"/>
            <w:tcBorders>
              <w:top w:val="single" w:color="000000" w:sz="8" w:space="0"/>
              <w:left w:val="single" w:color="000000" w:sz="8" w:space="0"/>
              <w:bottom w:val="single" w:color="000000" w:sz="8" w:space="0"/>
              <w:right w:val="single" w:color="000000" w:sz="8" w:space="0"/>
            </w:tcBorders>
            <w:vAlign w:val="center"/>
          </w:tcPr>
          <w:p w14:paraId="0555D29C">
            <w:pPr>
              <w:spacing w:after="120" w:line="360" w:lineRule="auto"/>
              <w:ind w:left="240" w:leftChars="100" w:firstLine="0" w:firstLineChars="0"/>
              <w:jc w:val="both"/>
              <w:rPr>
                <w:sz w:val="24"/>
                <w:szCs w:val="24"/>
                <w:lang w:val="en-IN"/>
              </w:rPr>
            </w:pPr>
            <w:r>
              <w:rPr>
                <w:sz w:val="24"/>
                <w:szCs w:val="24"/>
                <w:lang w:val="en-IN"/>
              </w:rPr>
              <w:t>Cost assigned to a false negative, contributing C_FN × FN to the total cost. It also determines the per-sample fitting weight for attack windows.</w:t>
            </w:r>
          </w:p>
        </w:tc>
      </w:tr>
      <w:tr w14:paraId="14BF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0E7D335D">
            <w:pPr>
              <w:spacing w:after="120" w:line="360" w:lineRule="auto"/>
              <w:jc w:val="center"/>
              <w:rPr>
                <w:sz w:val="24"/>
                <w:szCs w:val="24"/>
                <w:lang w:val="en-IN"/>
              </w:rPr>
            </w:pPr>
            <w:r>
              <w:rPr>
                <w:sz w:val="24"/>
                <w:szCs w:val="24"/>
                <w:lang w:val="en-IN"/>
              </w:rPr>
              <w:t>n_windows</w:t>
            </w:r>
          </w:p>
        </w:tc>
        <w:tc>
          <w:tcPr>
            <w:tcW w:w="2328" w:type="dxa"/>
            <w:tcBorders>
              <w:top w:val="single" w:color="000000" w:sz="8" w:space="0"/>
              <w:left w:val="single" w:color="000000" w:sz="8" w:space="0"/>
              <w:bottom w:val="single" w:color="000000" w:sz="8" w:space="0"/>
              <w:right w:val="single" w:color="000000" w:sz="8" w:space="0"/>
            </w:tcBorders>
            <w:vAlign w:val="center"/>
          </w:tcPr>
          <w:p w14:paraId="74284203">
            <w:pPr>
              <w:spacing w:after="120" w:line="360" w:lineRule="auto"/>
              <w:ind w:firstLine="720"/>
              <w:jc w:val="left"/>
              <w:rPr>
                <w:sz w:val="24"/>
                <w:szCs w:val="24"/>
                <w:lang w:val="en-IN"/>
              </w:rPr>
            </w:pPr>
            <w:r>
              <w:rPr>
                <w:sz w:val="24"/>
                <w:szCs w:val="24"/>
                <w:lang w:val="en-IN"/>
              </w:rPr>
              <w:t>20000 (Phase 2); 60000 (Phase 3)</w:t>
            </w:r>
          </w:p>
        </w:tc>
        <w:tc>
          <w:tcPr>
            <w:tcW w:w="4821" w:type="dxa"/>
            <w:tcBorders>
              <w:top w:val="single" w:color="000000" w:sz="8" w:space="0"/>
              <w:left w:val="single" w:color="000000" w:sz="8" w:space="0"/>
              <w:bottom w:val="single" w:color="000000" w:sz="8" w:space="0"/>
              <w:right w:val="single" w:color="000000" w:sz="8" w:space="0"/>
            </w:tcBorders>
            <w:vAlign w:val="center"/>
          </w:tcPr>
          <w:p w14:paraId="47795504">
            <w:pPr>
              <w:spacing w:after="120" w:line="360" w:lineRule="auto"/>
              <w:ind w:left="240" w:leftChars="100" w:firstLine="0" w:firstLineChars="0"/>
              <w:jc w:val="both"/>
              <w:rPr>
                <w:sz w:val="24"/>
                <w:szCs w:val="24"/>
                <w:lang w:val="en-IN"/>
              </w:rPr>
            </w:pPr>
            <w:r>
              <w:rPr>
                <w:sz w:val="24"/>
                <w:szCs w:val="24"/>
                <w:lang w:val="en-IN"/>
              </w:rPr>
              <w:t>Length of the emulated trace, measured in one-second windows.</w:t>
            </w:r>
          </w:p>
        </w:tc>
      </w:tr>
      <w:tr w14:paraId="6E376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0AB5970F">
            <w:pPr>
              <w:spacing w:after="120" w:line="360" w:lineRule="auto"/>
              <w:jc w:val="center"/>
              <w:rPr>
                <w:sz w:val="24"/>
                <w:szCs w:val="24"/>
                <w:lang w:val="en-IN"/>
              </w:rPr>
            </w:pPr>
            <w:r>
              <w:rPr>
                <w:sz w:val="24"/>
                <w:szCs w:val="24"/>
                <w:lang w:val="en-IN"/>
              </w:rPr>
              <w:t>attack_ratio</w:t>
            </w:r>
          </w:p>
        </w:tc>
        <w:tc>
          <w:tcPr>
            <w:tcW w:w="2328" w:type="dxa"/>
            <w:tcBorders>
              <w:top w:val="single" w:color="000000" w:sz="8" w:space="0"/>
              <w:left w:val="single" w:color="000000" w:sz="8" w:space="0"/>
              <w:bottom w:val="single" w:color="000000" w:sz="8" w:space="0"/>
              <w:right w:val="single" w:color="000000" w:sz="8" w:space="0"/>
            </w:tcBorders>
            <w:vAlign w:val="center"/>
          </w:tcPr>
          <w:p w14:paraId="7370DE42">
            <w:pPr>
              <w:spacing w:after="120" w:line="360" w:lineRule="auto"/>
              <w:ind w:firstLine="720"/>
              <w:jc w:val="left"/>
              <w:rPr>
                <w:sz w:val="24"/>
                <w:szCs w:val="24"/>
                <w:lang w:val="en-IN"/>
              </w:rPr>
            </w:pPr>
            <w:r>
              <w:rPr>
                <w:sz w:val="24"/>
                <w:szCs w:val="24"/>
                <w:lang w:val="en-IN"/>
              </w:rPr>
              <w:t>0.05</w:t>
            </w:r>
          </w:p>
        </w:tc>
        <w:tc>
          <w:tcPr>
            <w:tcW w:w="4821" w:type="dxa"/>
            <w:tcBorders>
              <w:top w:val="single" w:color="000000" w:sz="8" w:space="0"/>
              <w:left w:val="single" w:color="000000" w:sz="8" w:space="0"/>
              <w:bottom w:val="single" w:color="000000" w:sz="8" w:space="0"/>
              <w:right w:val="single" w:color="000000" w:sz="8" w:space="0"/>
            </w:tcBorders>
            <w:vAlign w:val="center"/>
          </w:tcPr>
          <w:p w14:paraId="4C0B7293">
            <w:pPr>
              <w:spacing w:after="120" w:line="360" w:lineRule="auto"/>
              <w:ind w:left="240" w:leftChars="100" w:firstLine="0" w:firstLineChars="0"/>
              <w:jc w:val="both"/>
              <w:rPr>
                <w:sz w:val="24"/>
                <w:szCs w:val="24"/>
                <w:lang w:val="en-IN"/>
              </w:rPr>
            </w:pPr>
            <w:r>
              <w:rPr>
                <w:sz w:val="24"/>
                <w:szCs w:val="24"/>
                <w:lang w:val="en-IN"/>
              </w:rPr>
              <w:t>Target proportion of attack windows. build_trace reports the realised fraction, which may differ from the target; the artefacts report 6.81%.</w:t>
            </w:r>
          </w:p>
        </w:tc>
      </w:tr>
      <w:tr w14:paraId="1D812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5D95B56E">
            <w:pPr>
              <w:spacing w:after="120" w:line="360" w:lineRule="auto"/>
              <w:jc w:val="center"/>
              <w:rPr>
                <w:sz w:val="24"/>
                <w:szCs w:val="24"/>
                <w:lang w:val="en-IN"/>
              </w:rPr>
            </w:pPr>
            <w:r>
              <w:rPr>
                <w:sz w:val="24"/>
                <w:szCs w:val="24"/>
                <w:lang w:val="en-IN"/>
              </w:rPr>
              <w:t>seed</w:t>
            </w:r>
          </w:p>
        </w:tc>
        <w:tc>
          <w:tcPr>
            <w:tcW w:w="2328" w:type="dxa"/>
            <w:tcBorders>
              <w:top w:val="single" w:color="000000" w:sz="8" w:space="0"/>
              <w:left w:val="single" w:color="000000" w:sz="8" w:space="0"/>
              <w:bottom w:val="single" w:color="000000" w:sz="8" w:space="0"/>
              <w:right w:val="single" w:color="000000" w:sz="8" w:space="0"/>
            </w:tcBorders>
            <w:vAlign w:val="center"/>
          </w:tcPr>
          <w:p w14:paraId="535E2EC7">
            <w:pPr>
              <w:spacing w:after="120" w:line="360" w:lineRule="auto"/>
              <w:ind w:firstLine="720"/>
              <w:jc w:val="left"/>
              <w:rPr>
                <w:sz w:val="24"/>
                <w:szCs w:val="24"/>
                <w:lang w:val="en-IN"/>
              </w:rPr>
            </w:pPr>
            <w:r>
              <w:rPr>
                <w:sz w:val="24"/>
                <w:szCs w:val="24"/>
                <w:lang w:val="en-IN"/>
              </w:rPr>
              <w:t>42</w:t>
            </w:r>
          </w:p>
        </w:tc>
        <w:tc>
          <w:tcPr>
            <w:tcW w:w="4821" w:type="dxa"/>
            <w:tcBorders>
              <w:top w:val="single" w:color="000000" w:sz="8" w:space="0"/>
              <w:left w:val="single" w:color="000000" w:sz="8" w:space="0"/>
              <w:bottom w:val="single" w:color="000000" w:sz="8" w:space="0"/>
              <w:right w:val="single" w:color="000000" w:sz="8" w:space="0"/>
            </w:tcBorders>
            <w:vAlign w:val="center"/>
          </w:tcPr>
          <w:p w14:paraId="5F355EC2">
            <w:pPr>
              <w:spacing w:after="120" w:line="360" w:lineRule="auto"/>
              <w:ind w:left="240" w:leftChars="100" w:firstLine="0" w:firstLineChars="0"/>
              <w:jc w:val="both"/>
              <w:rPr>
                <w:sz w:val="24"/>
                <w:szCs w:val="24"/>
                <w:lang w:val="en-IN"/>
              </w:rPr>
            </w:pPr>
            <w:r>
              <w:rPr>
                <w:sz w:val="24"/>
                <w:szCs w:val="24"/>
                <w:lang w:val="en-IN"/>
              </w:rPr>
              <w:t>Random seed for trace generation, episode placement, cross-validation folds and stochastic estimators. Supports reproducibility of reported results.</w:t>
            </w:r>
          </w:p>
        </w:tc>
      </w:tr>
      <w:tr w14:paraId="50FDE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7F2F167C">
            <w:pPr>
              <w:spacing w:after="120" w:line="360" w:lineRule="auto"/>
              <w:jc w:val="center"/>
              <w:rPr>
                <w:sz w:val="24"/>
                <w:szCs w:val="24"/>
                <w:lang w:val="en-IN"/>
              </w:rPr>
            </w:pPr>
            <w:r>
              <w:rPr>
                <w:sz w:val="24"/>
                <w:szCs w:val="24"/>
                <w:lang w:val="en-IN"/>
              </w:rPr>
              <w:t>n_splits / cv_folds</w:t>
            </w:r>
          </w:p>
        </w:tc>
        <w:tc>
          <w:tcPr>
            <w:tcW w:w="2328" w:type="dxa"/>
            <w:tcBorders>
              <w:top w:val="single" w:color="000000" w:sz="8" w:space="0"/>
              <w:left w:val="single" w:color="000000" w:sz="8" w:space="0"/>
              <w:bottom w:val="single" w:color="000000" w:sz="8" w:space="0"/>
              <w:right w:val="single" w:color="000000" w:sz="8" w:space="0"/>
            </w:tcBorders>
            <w:vAlign w:val="center"/>
          </w:tcPr>
          <w:p w14:paraId="4C7E9D24">
            <w:pPr>
              <w:spacing w:after="120" w:line="360" w:lineRule="auto"/>
              <w:ind w:firstLine="720"/>
              <w:jc w:val="left"/>
              <w:rPr>
                <w:sz w:val="24"/>
                <w:szCs w:val="24"/>
                <w:lang w:val="en-IN"/>
              </w:rPr>
            </w:pPr>
            <w:r>
              <w:rPr>
                <w:sz w:val="24"/>
                <w:szCs w:val="24"/>
                <w:lang w:val="en-IN"/>
              </w:rPr>
              <w:t>5</w:t>
            </w:r>
          </w:p>
        </w:tc>
        <w:tc>
          <w:tcPr>
            <w:tcW w:w="4821" w:type="dxa"/>
            <w:tcBorders>
              <w:top w:val="single" w:color="000000" w:sz="8" w:space="0"/>
              <w:left w:val="single" w:color="000000" w:sz="8" w:space="0"/>
              <w:bottom w:val="single" w:color="000000" w:sz="8" w:space="0"/>
              <w:right w:val="single" w:color="000000" w:sz="8" w:space="0"/>
            </w:tcBorders>
            <w:vAlign w:val="center"/>
          </w:tcPr>
          <w:p w14:paraId="305F3EED">
            <w:pPr>
              <w:spacing w:after="120" w:line="360" w:lineRule="auto"/>
              <w:ind w:left="240" w:leftChars="100" w:firstLine="0" w:firstLineChars="0"/>
              <w:jc w:val="both"/>
              <w:rPr>
                <w:sz w:val="24"/>
                <w:szCs w:val="24"/>
                <w:lang w:val="en-IN"/>
              </w:rPr>
            </w:pPr>
            <w:r>
              <w:rPr>
                <w:sz w:val="24"/>
                <w:szCs w:val="24"/>
                <w:lang w:val="en-IN"/>
              </w:rPr>
              <w:t>Number of stratified cross-validation folds used during grid search.</w:t>
            </w:r>
          </w:p>
        </w:tc>
      </w:tr>
      <w:tr w14:paraId="3B2CC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370FE082">
            <w:pPr>
              <w:spacing w:after="120" w:line="360" w:lineRule="auto"/>
              <w:jc w:val="center"/>
              <w:rPr>
                <w:sz w:val="24"/>
                <w:szCs w:val="24"/>
                <w:lang w:val="en-IN"/>
              </w:rPr>
            </w:pPr>
            <w:r>
              <w:rPr>
                <w:sz w:val="24"/>
                <w:szCs w:val="24"/>
                <w:lang w:val="en-IN"/>
              </w:rPr>
              <w:t>scoring</w:t>
            </w:r>
          </w:p>
        </w:tc>
        <w:tc>
          <w:tcPr>
            <w:tcW w:w="2328" w:type="dxa"/>
            <w:tcBorders>
              <w:top w:val="single" w:color="000000" w:sz="8" w:space="0"/>
              <w:left w:val="single" w:color="000000" w:sz="8" w:space="0"/>
              <w:bottom w:val="single" w:color="000000" w:sz="8" w:space="0"/>
              <w:right w:val="single" w:color="000000" w:sz="8" w:space="0"/>
            </w:tcBorders>
            <w:vAlign w:val="center"/>
          </w:tcPr>
          <w:p w14:paraId="7724A2DB">
            <w:pPr>
              <w:spacing w:after="120" w:line="360" w:lineRule="auto"/>
              <w:ind w:firstLine="720"/>
              <w:jc w:val="left"/>
              <w:rPr>
                <w:rFonts w:hint="default"/>
                <w:sz w:val="24"/>
                <w:szCs w:val="24"/>
                <w:lang w:val="en-US"/>
              </w:rPr>
            </w:pPr>
            <w:r>
              <w:rPr>
                <w:sz w:val="24"/>
                <w:szCs w:val="24"/>
                <w:lang w:val="en-IN"/>
              </w:rPr>
              <w:t>Recall</w:t>
            </w:r>
            <w:r>
              <w:rPr>
                <w:rFonts w:hint="default"/>
                <w:sz w:val="24"/>
                <w:szCs w:val="24"/>
                <w:lang w:val="en-US"/>
              </w:rPr>
              <w:t xml:space="preserve"> </w:t>
            </w:r>
          </w:p>
        </w:tc>
        <w:tc>
          <w:tcPr>
            <w:tcW w:w="4821" w:type="dxa"/>
            <w:tcBorders>
              <w:top w:val="single" w:color="000000" w:sz="8" w:space="0"/>
              <w:left w:val="single" w:color="000000" w:sz="8" w:space="0"/>
              <w:bottom w:val="single" w:color="000000" w:sz="8" w:space="0"/>
              <w:right w:val="single" w:color="000000" w:sz="8" w:space="0"/>
            </w:tcBorders>
            <w:vAlign w:val="center"/>
          </w:tcPr>
          <w:p w14:paraId="53889E46">
            <w:pPr>
              <w:spacing w:after="120" w:line="360" w:lineRule="auto"/>
              <w:ind w:left="240" w:leftChars="100" w:firstLine="0" w:firstLineChars="0"/>
              <w:jc w:val="both"/>
              <w:rPr>
                <w:sz w:val="24"/>
                <w:szCs w:val="24"/>
                <w:lang w:val="en-IN"/>
              </w:rPr>
            </w:pPr>
            <w:r>
              <w:rPr>
                <w:sz w:val="24"/>
                <w:szCs w:val="24"/>
                <w:lang w:val="en-IN"/>
              </w:rPr>
              <w:t>Grid-search optimisation metric. Recall is prioritised to reduce false negatives under the 10:1 false-negative-to-false-positive cost ratio.</w:t>
            </w:r>
          </w:p>
        </w:tc>
      </w:tr>
      <w:tr w14:paraId="7149F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3EEFCB88">
            <w:pPr>
              <w:spacing w:after="120" w:line="360" w:lineRule="auto"/>
              <w:jc w:val="center"/>
              <w:rPr>
                <w:sz w:val="24"/>
                <w:szCs w:val="24"/>
                <w:lang w:val="en-IN"/>
              </w:rPr>
            </w:pPr>
            <w:r>
              <w:rPr>
                <w:sz w:val="24"/>
                <w:szCs w:val="24"/>
                <w:lang w:val="en-IN"/>
              </w:rPr>
              <w:t>threshold_grid</w:t>
            </w:r>
          </w:p>
        </w:tc>
        <w:tc>
          <w:tcPr>
            <w:tcW w:w="2328" w:type="dxa"/>
            <w:tcBorders>
              <w:top w:val="single" w:color="000000" w:sz="8" w:space="0"/>
              <w:left w:val="single" w:color="000000" w:sz="8" w:space="0"/>
              <w:bottom w:val="single" w:color="000000" w:sz="8" w:space="0"/>
              <w:right w:val="single" w:color="000000" w:sz="8" w:space="0"/>
            </w:tcBorders>
            <w:vAlign w:val="center"/>
          </w:tcPr>
          <w:p w14:paraId="105FF3CE">
            <w:pPr>
              <w:spacing w:after="120" w:line="360" w:lineRule="auto"/>
              <w:ind w:firstLine="720"/>
              <w:jc w:val="left"/>
              <w:rPr>
                <w:sz w:val="24"/>
                <w:szCs w:val="24"/>
                <w:lang w:val="en-IN"/>
              </w:rPr>
            </w:pPr>
            <w:r>
              <w:rPr>
                <w:sz w:val="24"/>
                <w:szCs w:val="24"/>
                <w:lang w:val="en-IN"/>
              </w:rPr>
              <w:t>1001</w:t>
            </w:r>
          </w:p>
        </w:tc>
        <w:tc>
          <w:tcPr>
            <w:tcW w:w="4821" w:type="dxa"/>
            <w:tcBorders>
              <w:top w:val="single" w:color="000000" w:sz="8" w:space="0"/>
              <w:left w:val="single" w:color="000000" w:sz="8" w:space="0"/>
              <w:bottom w:val="single" w:color="000000" w:sz="8" w:space="0"/>
              <w:right w:val="single" w:color="000000" w:sz="8" w:space="0"/>
            </w:tcBorders>
            <w:vAlign w:val="center"/>
          </w:tcPr>
          <w:p w14:paraId="4C18DFAE">
            <w:pPr>
              <w:spacing w:after="120" w:line="360" w:lineRule="auto"/>
              <w:ind w:left="240" w:leftChars="100" w:firstLine="0" w:firstLineChars="0"/>
              <w:jc w:val="both"/>
              <w:rPr>
                <w:sz w:val="24"/>
                <w:szCs w:val="24"/>
                <w:lang w:val="en-IN"/>
              </w:rPr>
            </w:pPr>
            <w:r>
              <w:rPr>
                <w:sz w:val="24"/>
                <w:szCs w:val="24"/>
                <w:lang w:val="en-IN"/>
              </w:rPr>
              <w:t>Number of points on the fixed probability grid evaluated when minimising validation cost.</w:t>
            </w:r>
          </w:p>
        </w:tc>
      </w:tr>
      <w:tr w14:paraId="7AD4E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3DD86565">
            <w:pPr>
              <w:spacing w:after="120" w:line="360" w:lineRule="auto"/>
              <w:jc w:val="center"/>
              <w:rPr>
                <w:sz w:val="24"/>
                <w:szCs w:val="24"/>
                <w:lang w:val="en-IN"/>
              </w:rPr>
            </w:pPr>
            <w:r>
              <w:rPr>
                <w:sz w:val="24"/>
                <w:szCs w:val="24"/>
                <w:lang w:val="en-IN"/>
              </w:rPr>
              <w:t>test_fraction / validation_fraction</w:t>
            </w:r>
          </w:p>
        </w:tc>
        <w:tc>
          <w:tcPr>
            <w:tcW w:w="2328" w:type="dxa"/>
            <w:tcBorders>
              <w:top w:val="single" w:color="000000" w:sz="8" w:space="0"/>
              <w:left w:val="single" w:color="000000" w:sz="8" w:space="0"/>
              <w:bottom w:val="single" w:color="000000" w:sz="8" w:space="0"/>
              <w:right w:val="single" w:color="000000" w:sz="8" w:space="0"/>
            </w:tcBorders>
            <w:vAlign w:val="center"/>
          </w:tcPr>
          <w:p w14:paraId="31B69B8D">
            <w:pPr>
              <w:spacing w:after="120" w:line="360" w:lineRule="auto"/>
              <w:ind w:firstLine="720"/>
              <w:jc w:val="left"/>
              <w:rPr>
                <w:sz w:val="24"/>
                <w:szCs w:val="24"/>
                <w:lang w:val="en-IN"/>
              </w:rPr>
            </w:pPr>
            <w:r>
              <w:rPr>
                <w:sz w:val="24"/>
                <w:szCs w:val="24"/>
                <w:lang w:val="en-IN"/>
              </w:rPr>
              <w:t>0.20</w:t>
            </w:r>
          </w:p>
        </w:tc>
        <w:tc>
          <w:tcPr>
            <w:tcW w:w="4821" w:type="dxa"/>
            <w:tcBorders>
              <w:top w:val="single" w:color="000000" w:sz="8" w:space="0"/>
              <w:left w:val="single" w:color="000000" w:sz="8" w:space="0"/>
              <w:bottom w:val="single" w:color="000000" w:sz="8" w:space="0"/>
              <w:right w:val="single" w:color="000000" w:sz="8" w:space="0"/>
            </w:tcBorders>
            <w:vAlign w:val="center"/>
          </w:tcPr>
          <w:p w14:paraId="457A2B1E">
            <w:pPr>
              <w:spacing w:after="120" w:line="360" w:lineRule="auto"/>
              <w:ind w:left="240" w:leftChars="100" w:firstLine="0" w:firstLineChars="0"/>
              <w:jc w:val="both"/>
              <w:rPr>
                <w:sz w:val="24"/>
                <w:szCs w:val="24"/>
                <w:lang w:val="en-IN"/>
              </w:rPr>
            </w:pPr>
            <w:r>
              <w:rPr>
                <w:sz w:val="24"/>
                <w:szCs w:val="24"/>
                <w:lang w:val="en-IN"/>
              </w:rPr>
              <w:t>Data partition fractions used by the Phase 3 ablation. Phase 2 uses 0.10 for each. splits.stratified_split also enforces family and stealth coverage.</w:t>
            </w:r>
          </w:p>
        </w:tc>
      </w:tr>
      <w:tr w14:paraId="17DC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55DDAE97">
            <w:pPr>
              <w:spacing w:after="120" w:line="360" w:lineRule="auto"/>
              <w:jc w:val="center"/>
              <w:rPr>
                <w:sz w:val="24"/>
                <w:szCs w:val="24"/>
                <w:lang w:val="en-IN"/>
              </w:rPr>
            </w:pPr>
            <w:r>
              <w:rPr>
                <w:sz w:val="24"/>
                <w:szCs w:val="24"/>
                <w:lang w:val="en-IN"/>
              </w:rPr>
              <w:t>min_stealth_episodes / min_stealth_train</w:t>
            </w:r>
          </w:p>
        </w:tc>
        <w:tc>
          <w:tcPr>
            <w:tcW w:w="2328" w:type="dxa"/>
            <w:tcBorders>
              <w:top w:val="single" w:color="000000" w:sz="8" w:space="0"/>
              <w:left w:val="single" w:color="000000" w:sz="8" w:space="0"/>
              <w:bottom w:val="single" w:color="000000" w:sz="8" w:space="0"/>
              <w:right w:val="single" w:color="000000" w:sz="8" w:space="0"/>
            </w:tcBorders>
            <w:vAlign w:val="center"/>
          </w:tcPr>
          <w:p w14:paraId="347FCA2C">
            <w:pPr>
              <w:spacing w:after="120" w:line="360" w:lineRule="auto"/>
              <w:ind w:firstLine="720"/>
              <w:jc w:val="left"/>
              <w:rPr>
                <w:sz w:val="24"/>
                <w:szCs w:val="24"/>
                <w:lang w:val="en-IN"/>
              </w:rPr>
            </w:pPr>
            <w:r>
              <w:rPr>
                <w:sz w:val="24"/>
                <w:szCs w:val="24"/>
                <w:lang w:val="en-IN"/>
              </w:rPr>
              <w:t>6 / 2</w:t>
            </w:r>
          </w:p>
        </w:tc>
        <w:tc>
          <w:tcPr>
            <w:tcW w:w="4821" w:type="dxa"/>
            <w:tcBorders>
              <w:top w:val="single" w:color="000000" w:sz="8" w:space="0"/>
              <w:left w:val="single" w:color="000000" w:sz="8" w:space="0"/>
              <w:bottom w:val="single" w:color="000000" w:sz="8" w:space="0"/>
              <w:right w:val="single" w:color="000000" w:sz="8" w:space="0"/>
            </w:tcBorders>
            <w:vAlign w:val="center"/>
          </w:tcPr>
          <w:p w14:paraId="257BC25E">
            <w:pPr>
              <w:spacing w:after="120" w:line="360" w:lineRule="auto"/>
              <w:ind w:left="240" w:leftChars="100" w:firstLine="0" w:firstLineChars="0"/>
              <w:jc w:val="both"/>
              <w:rPr>
                <w:sz w:val="24"/>
                <w:szCs w:val="24"/>
                <w:lang w:val="en-IN"/>
              </w:rPr>
            </w:pPr>
            <w:r>
              <w:rPr>
                <w:sz w:val="24"/>
                <w:szCs w:val="24"/>
                <w:lang w:val="en-IN"/>
              </w:rPr>
              <w:t>Minimum stealth episodes required for each evaluation split and training partition, respectively. Violations trigger a support flag instead of being silently ignored.</w:t>
            </w:r>
          </w:p>
        </w:tc>
      </w:tr>
      <w:tr w14:paraId="27E7F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7AC74404">
            <w:pPr>
              <w:spacing w:after="120" w:line="360" w:lineRule="auto"/>
              <w:jc w:val="center"/>
              <w:rPr>
                <w:sz w:val="24"/>
                <w:szCs w:val="24"/>
                <w:lang w:val="en-IN"/>
              </w:rPr>
            </w:pPr>
            <w:r>
              <w:rPr>
                <w:sz w:val="24"/>
                <w:szCs w:val="24"/>
                <w:lang w:val="en-IN"/>
              </w:rPr>
              <w:t>min_family_episodes</w:t>
            </w:r>
          </w:p>
        </w:tc>
        <w:tc>
          <w:tcPr>
            <w:tcW w:w="2328" w:type="dxa"/>
            <w:tcBorders>
              <w:top w:val="single" w:color="000000" w:sz="8" w:space="0"/>
              <w:left w:val="single" w:color="000000" w:sz="8" w:space="0"/>
              <w:bottom w:val="single" w:color="000000" w:sz="8" w:space="0"/>
              <w:right w:val="single" w:color="000000" w:sz="8" w:space="0"/>
            </w:tcBorders>
            <w:vAlign w:val="center"/>
          </w:tcPr>
          <w:p w14:paraId="4989377A">
            <w:pPr>
              <w:spacing w:after="120" w:line="360" w:lineRule="auto"/>
              <w:ind w:firstLine="720"/>
              <w:jc w:val="left"/>
              <w:rPr>
                <w:sz w:val="24"/>
                <w:szCs w:val="24"/>
                <w:lang w:val="en-IN"/>
              </w:rPr>
            </w:pPr>
            <w:r>
              <w:rPr>
                <w:sz w:val="24"/>
                <w:szCs w:val="24"/>
                <w:lang w:val="en-IN"/>
              </w:rPr>
              <w:t>3</w:t>
            </w:r>
          </w:p>
        </w:tc>
        <w:tc>
          <w:tcPr>
            <w:tcW w:w="4821" w:type="dxa"/>
            <w:tcBorders>
              <w:top w:val="single" w:color="000000" w:sz="8" w:space="0"/>
              <w:left w:val="single" w:color="000000" w:sz="8" w:space="0"/>
              <w:bottom w:val="single" w:color="000000" w:sz="8" w:space="0"/>
              <w:right w:val="single" w:color="000000" w:sz="8" w:space="0"/>
            </w:tcBorders>
            <w:vAlign w:val="center"/>
          </w:tcPr>
          <w:p w14:paraId="30221E0F">
            <w:pPr>
              <w:spacing w:after="120" w:line="360" w:lineRule="auto"/>
              <w:ind w:left="240" w:leftChars="100" w:firstLine="0" w:firstLineChars="0"/>
              <w:jc w:val="both"/>
              <w:rPr>
                <w:sz w:val="24"/>
                <w:szCs w:val="24"/>
                <w:lang w:val="en-IN"/>
              </w:rPr>
            </w:pPr>
            <w:r>
              <w:rPr>
                <w:sz w:val="24"/>
                <w:szCs w:val="24"/>
                <w:lang w:val="en-IN"/>
              </w:rPr>
              <w:t>Minimum number of episodes required for each ransomware family in every partition.</w:t>
            </w:r>
          </w:p>
        </w:tc>
      </w:tr>
      <w:tr w14:paraId="1A043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0A08ADC2">
            <w:pPr>
              <w:spacing w:after="120" w:line="360" w:lineRule="auto"/>
              <w:ind w:firstLine="720"/>
              <w:jc w:val="center"/>
              <w:rPr>
                <w:sz w:val="24"/>
                <w:szCs w:val="24"/>
                <w:lang w:val="en-IN"/>
              </w:rPr>
            </w:pPr>
            <w:r>
              <w:rPr>
                <w:sz w:val="24"/>
                <w:szCs w:val="24"/>
                <w:lang w:val="en-IN"/>
              </w:rPr>
              <w:t>n_jobs</w:t>
            </w:r>
          </w:p>
        </w:tc>
        <w:tc>
          <w:tcPr>
            <w:tcW w:w="2328" w:type="dxa"/>
            <w:tcBorders>
              <w:top w:val="single" w:color="000000" w:sz="8" w:space="0"/>
              <w:left w:val="single" w:color="000000" w:sz="8" w:space="0"/>
              <w:bottom w:val="single" w:color="000000" w:sz="8" w:space="0"/>
              <w:right w:val="single" w:color="000000" w:sz="8" w:space="0"/>
            </w:tcBorders>
            <w:vAlign w:val="center"/>
          </w:tcPr>
          <w:p w14:paraId="09FE97D6">
            <w:pPr>
              <w:spacing w:after="120" w:line="360" w:lineRule="auto"/>
              <w:ind w:firstLine="720"/>
              <w:jc w:val="left"/>
              <w:rPr>
                <w:sz w:val="24"/>
                <w:szCs w:val="24"/>
                <w:lang w:val="en-IN"/>
              </w:rPr>
            </w:pPr>
            <w:r>
              <w:rPr>
                <w:sz w:val="24"/>
                <w:szCs w:val="24"/>
                <w:lang w:val="en-IN"/>
              </w:rPr>
              <w:t>-1</w:t>
            </w:r>
          </w:p>
        </w:tc>
        <w:tc>
          <w:tcPr>
            <w:tcW w:w="4821" w:type="dxa"/>
            <w:tcBorders>
              <w:top w:val="single" w:color="000000" w:sz="8" w:space="0"/>
              <w:left w:val="single" w:color="000000" w:sz="8" w:space="0"/>
              <w:bottom w:val="single" w:color="000000" w:sz="8" w:space="0"/>
              <w:right w:val="single" w:color="000000" w:sz="8" w:space="0"/>
            </w:tcBorders>
            <w:vAlign w:val="center"/>
          </w:tcPr>
          <w:p w14:paraId="0713B49A">
            <w:pPr>
              <w:spacing w:after="120" w:line="360" w:lineRule="auto"/>
              <w:ind w:left="240" w:leftChars="100" w:firstLine="0" w:firstLineChars="0"/>
              <w:jc w:val="both"/>
              <w:rPr>
                <w:sz w:val="24"/>
                <w:szCs w:val="24"/>
                <w:lang w:val="en-IN"/>
              </w:rPr>
            </w:pPr>
            <w:r>
              <w:rPr>
                <w:sz w:val="24"/>
                <w:szCs w:val="24"/>
                <w:lang w:val="en-IN"/>
              </w:rPr>
              <w:t>Enables parallel grid-search execution using all available CPU cores. compat.threading_backend() forces the threading backend because the estimator-tag shim is incompatible with process-based workers.</w:t>
            </w:r>
          </w:p>
        </w:tc>
      </w:tr>
      <w:tr w14:paraId="5EE7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4" w:type="dxa"/>
            <w:left w:w="15" w:type="dxa"/>
            <w:bottom w:w="14" w:type="dxa"/>
            <w:right w:w="14" w:type="dxa"/>
          </w:tblCellMar>
        </w:tblPrEx>
        <w:tc>
          <w:tcPr>
            <w:tcW w:w="1858" w:type="dxa"/>
            <w:tcBorders>
              <w:top w:val="single" w:color="000000" w:sz="8" w:space="0"/>
              <w:left w:val="single" w:color="000000" w:sz="4" w:space="0"/>
              <w:bottom w:val="single" w:color="000000" w:sz="8" w:space="0"/>
              <w:right w:val="single" w:color="000000" w:sz="8" w:space="0"/>
            </w:tcBorders>
            <w:vAlign w:val="center"/>
          </w:tcPr>
          <w:p w14:paraId="2E1F331B">
            <w:pPr>
              <w:spacing w:after="120" w:line="360" w:lineRule="auto"/>
              <w:jc w:val="center"/>
              <w:rPr>
                <w:sz w:val="24"/>
                <w:szCs w:val="24"/>
                <w:lang w:val="en-IN"/>
              </w:rPr>
            </w:pPr>
            <w:r>
              <w:rPr>
                <w:sz w:val="24"/>
                <w:szCs w:val="24"/>
                <w:lang w:val="en-IN"/>
              </w:rPr>
              <w:t>MODEL_NAMES</w:t>
            </w:r>
          </w:p>
        </w:tc>
        <w:tc>
          <w:tcPr>
            <w:tcW w:w="2328" w:type="dxa"/>
            <w:tcBorders>
              <w:top w:val="single" w:color="000000" w:sz="8" w:space="0"/>
              <w:left w:val="single" w:color="000000" w:sz="8" w:space="0"/>
              <w:bottom w:val="single" w:color="000000" w:sz="8" w:space="0"/>
              <w:right w:val="single" w:color="000000" w:sz="8" w:space="0"/>
            </w:tcBorders>
            <w:vAlign w:val="center"/>
          </w:tcPr>
          <w:p w14:paraId="7DF853D8">
            <w:pPr>
              <w:spacing w:after="120" w:line="360" w:lineRule="auto"/>
              <w:jc w:val="left"/>
              <w:rPr>
                <w:sz w:val="24"/>
                <w:szCs w:val="24"/>
                <w:lang w:val="en-IN"/>
              </w:rPr>
            </w:pPr>
            <w:r>
              <w:rPr>
                <w:sz w:val="24"/>
                <w:szCs w:val="24"/>
                <w:lang w:val="en-IN"/>
              </w:rPr>
              <w:t>decision_tree, random_forest, svm_calibrated, adaboost, xgboost, logistic_regression</w:t>
            </w:r>
          </w:p>
        </w:tc>
        <w:tc>
          <w:tcPr>
            <w:tcW w:w="4821" w:type="dxa"/>
            <w:tcBorders>
              <w:top w:val="single" w:color="000000" w:sz="8" w:space="0"/>
              <w:left w:val="single" w:color="000000" w:sz="8" w:space="0"/>
              <w:bottom w:val="single" w:color="000000" w:sz="8" w:space="0"/>
              <w:right w:val="single" w:color="000000" w:sz="8" w:space="0"/>
            </w:tcBorders>
            <w:vAlign w:val="center"/>
          </w:tcPr>
          <w:p w14:paraId="3AB578C9">
            <w:pPr>
              <w:spacing w:after="120" w:line="360" w:lineRule="auto"/>
              <w:ind w:left="240" w:leftChars="100" w:firstLine="0" w:firstLineChars="0"/>
              <w:jc w:val="both"/>
              <w:rPr>
                <w:sz w:val="24"/>
                <w:szCs w:val="24"/>
                <w:lang w:val="en-IN"/>
              </w:rPr>
            </w:pPr>
            <w:r>
              <w:rPr>
                <w:sz w:val="24"/>
                <w:szCs w:val="24"/>
                <w:lang w:val="en-IN"/>
              </w:rPr>
              <w:t>Models included in tuning, ablation and reporting. Only the first five appear in the committed phase2_results.json; all six appear in results/rebaseline_6model/.</w:t>
            </w:r>
          </w:p>
        </w:tc>
      </w:tr>
    </w:tbl>
    <w:p w14:paraId="72123798">
      <w:pPr>
        <w:spacing w:after="120" w:line="360" w:lineRule="auto"/>
        <w:ind w:firstLine="720"/>
        <w:jc w:val="center"/>
        <w:rPr>
          <w:b/>
          <w:bCs/>
          <w:lang w:val="en-IN"/>
        </w:rPr>
      </w:pPr>
      <w:r>
        <w:rPr>
          <w:b/>
          <w:bCs/>
          <w:sz w:val="24"/>
          <w:szCs w:val="24"/>
          <w:lang w:val="en-IN"/>
        </w:rPr>
        <w:t>Total: 7.2 configuration keys and parameter entries.</w:t>
      </w:r>
    </w:p>
    <w:p w14:paraId="3FEBBEFA">
      <w:pPr>
        <w:pStyle w:val="3"/>
        <w:spacing w:before="200" w:after="120" w:line="360" w:lineRule="auto"/>
        <w:jc w:val="both"/>
        <w:rPr>
          <w:rFonts w:ascii="Times New Roman" w:hAnsi="Times New Roman" w:cs="Times New Roman"/>
          <w:b/>
          <w:bCs/>
          <w:sz w:val="24"/>
          <w:szCs w:val="24"/>
        </w:rPr>
      </w:pPr>
      <w:r>
        <w:rPr>
          <w:rFonts w:ascii="Times New Roman" w:hAnsi="Times New Roman" w:cs="Times New Roman"/>
          <w:b/>
          <w:bCs/>
          <w:color w:val="000000"/>
          <w:sz w:val="24"/>
          <w:szCs w:val="24"/>
        </w:rPr>
        <w:t xml:space="preserve">  7.3 EXPERIMENTAL SETUP</w:t>
      </w:r>
    </w:p>
    <w:p w14:paraId="520A40EE">
      <w:pPr>
        <w:spacing w:after="120" w:line="360" w:lineRule="auto"/>
        <w:ind w:left="142" w:firstLine="720"/>
        <w:jc w:val="both"/>
      </w:pPr>
      <w:r>
        <w:t>Because no labelled corpus of real server-side file-operation logs was available, the experiment uses a behaviour-faithful emulator. Benign windows are generated from eight user-profile templates transcribed from Table 3 of the base paper, covering four user roles under on-site and remote conditions with diurnal weighting. Ransomware behaviour is generated from five family profiles - Ryuk, WannaCry, NotPetya, LockBit and TeslaCrypt - modelled from published characteristics; no malware is executed. The evaluation trace contains 20,000 windows, of which 6.91 per cent are attack windows distributed over 24 episodes. After collapsing runs of all-zero windows and dropping attack windows with no observable operations, the working set is 15,707 records at an attack rate of 8.58 per cent. Splits are episode-aware: no window of one attack run appears on both sides of a split. The dataset summary and the realised partitions are given in Table 5.3.</w:t>
      </w:r>
    </w:p>
    <w:p w14:paraId="6E69C892">
      <w:pPr>
        <w:spacing w:after="120" w:line="240" w:lineRule="auto"/>
        <w:ind w:left="142"/>
        <w:jc w:val="both"/>
        <w:rPr>
          <w:b/>
          <w:bCs/>
        </w:rPr>
      </w:pPr>
      <w:r>
        <w:rPr>
          <w:b/>
          <w:bCs/>
        </w:rPr>
        <w:t>Listing 7.1 Command sequence used to reproduce the report</w:t>
      </w:r>
    </w:p>
    <w:p w14:paraId="6B406845">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1. create the environment and install the pinned dependencies</w:t>
      </w:r>
    </w:p>
    <w:p w14:paraId="20ED1A2D">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venv .venv</w:t>
      </w:r>
    </w:p>
    <w:p w14:paraId="4311F49C">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.venv\Scripts\activate</w:t>
      </w:r>
    </w:p>
    <w:p w14:paraId="22E1CA5B">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pip install -r requirements.txt</w:t>
      </w:r>
    </w:p>
    <w:p w14:paraId="4B1CDC0D">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p>
    <w:p w14:paraId="2D32B424">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2. run the live monitoring server and the dashboard</w:t>
      </w:r>
    </w:p>
    <w:p w14:paraId="0D35A59E">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(trains from the emulator on first start if no saved models exist)</w:t>
      </w:r>
    </w:p>
    <w:p w14:paraId="5E1F5E63">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app.py</w:t>
      </w:r>
    </w:p>
    <w:p w14:paraId="7474DA72">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dashboard : http://localhost:5000</w:t>
      </w:r>
    </w:p>
    <w:p w14:paraId="41ED497D">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p>
    <w:p w14:paraId="472926D6">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3. offline evaluation of the live engine on emulated data</w:t>
      </w:r>
    </w:p>
    <w:p w14:paraId="10C3C533">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scripts\evaluate.py</w:t>
      </w:r>
    </w:p>
    <w:p w14:paraId="4170E6C1">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p>
    <w:p w14:paraId="235160EB">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4. the live-pipeline regression suite (61 tests)</w:t>
      </w:r>
    </w:p>
    <w:p w14:paraId="03FFD2F1">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pytest tests\ -v</w:t>
      </w:r>
    </w:p>
    <w:p w14:paraId="084C2A8A">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p>
    <w:p w14:paraId="6D08B271">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5. the offline experiment suite (114 tests)</w:t>
      </w:r>
    </w:p>
    <w:p w14:paraId="01B28FBE">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cd prototype</w:t>
      </w:r>
    </w:p>
    <w:p w14:paraId="3A4114B6">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pytest -q</w:t>
      </w:r>
    </w:p>
    <w:p w14:paraId="6DC455CB">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p>
    <w:p w14:paraId="201C4F20">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6. tuning experiment  -&gt; results/phase2_results.json + _models.csv + _confusion.csv</w:t>
      </w:r>
    </w:p>
    <w:p w14:paraId="79143432">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assrd.phase2 --n-windows 20000 --seed 42 --folds 5</w:t>
      </w:r>
    </w:p>
    <w:p w14:paraId="17235D80">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p>
    <w:p w14:paraId="42C6AA60">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7. ablation experiment -&gt; results/phase3_results.json + 5 CSVs</w:t>
      </w:r>
    </w:p>
    <w:p w14:paraId="5A830B87">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separate basename, so a Phase 3 run never overwrites Phase 2 evidence</w:t>
      </w:r>
    </w:p>
    <w:p w14:paraId="705E0E09">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assrd.phase3 --quick --self-check   # preflight only, fits nothing</w:t>
      </w:r>
    </w:p>
    <w:p w14:paraId="634D60DC">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assrd.phase3 --quick               # acceptance run, small trace</w:t>
      </w:r>
    </w:p>
    <w:p w14:paraId="2A89BFD9">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assrd.phase3                       # full experiment</w:t>
      </w:r>
    </w:p>
    <w:p w14:paraId="0191BF34">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p>
    <w:p w14:paraId="4F60D96C">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8. verify the committed artefacts, then re-baseline to six models</w:t>
      </w:r>
    </w:p>
    <w:p w14:paraId="5181F287">
      <w:pPr>
        <w:widowControl w:val="0"/>
        <w:pBdr>
          <w:left w:val="single" w:color="BFBFBF" w:sz="4" w:space="4"/>
          <w:right w:val="single" w:color="BFBFBF" w:sz="4" w:space="4"/>
        </w:pBdr>
        <w:shd w:val="clear" w:color="auto" w:fill="F2F2F2"/>
        <w:spacing w:after="0" w:line="360" w:lineRule="auto"/>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assrd.rebaseline check</w:t>
      </w:r>
    </w:p>
    <w:p w14:paraId="014218BD">
      <w:pPr>
        <w:widowControl w:val="0"/>
        <w:pBdr>
          <w:left w:val="single" w:color="BFBFBF" w:sz="4" w:space="4"/>
          <w:right w:val="single" w:color="BFBFBF" w:sz="4" w:space="4"/>
        </w:pBdr>
        <w:shd w:val="clear" w:color="auto" w:fill="F2F2F2"/>
        <w:spacing w:after="0" w:line="360" w:lineRule="auto"/>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assrd.rebaseline run-phase2</w:t>
      </w:r>
    </w:p>
    <w:p w14:paraId="5FBBA928">
      <w:pPr>
        <w:widowControl w:val="0"/>
        <w:pBdr>
          <w:left w:val="single" w:color="BFBFBF" w:sz="4" w:space="4"/>
          <w:right w:val="single" w:color="BFBFBF" w:sz="4" w:space="4"/>
        </w:pBdr>
        <w:shd w:val="clear" w:color="auto" w:fill="F2F2F2"/>
        <w:spacing w:after="0" w:line="360" w:lineRule="auto"/>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assrd.rebaseline verify            # Tier A: byte-identical artefacts</w:t>
      </w:r>
    </w:p>
    <w:p w14:paraId="3D553A99">
      <w:pPr>
        <w:widowControl w:val="0"/>
        <w:pBdr>
          <w:left w:val="single" w:color="BFBFBF" w:sz="4" w:space="4"/>
          <w:right w:val="single" w:color="BFBFBF" w:sz="4" w:space="4"/>
        </w:pBdr>
        <w:shd w:val="clear" w:color="auto" w:fill="F2F2F2"/>
        <w:spacing w:after="0" w:line="360" w:lineRule="auto"/>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assrd.rebaseline run-phase3 --mode full</w:t>
      </w:r>
    </w:p>
    <w:p w14:paraId="09B5E770">
      <w:pPr>
        <w:widowControl w:val="0"/>
        <w:pBdr>
          <w:left w:val="single" w:color="BFBFBF" w:sz="4" w:space="4"/>
          <w:right w:val="single" w:color="BFBFBF" w:sz="4" w:space="4"/>
        </w:pBdr>
        <w:shd w:val="clear" w:color="auto" w:fill="F2F2F2"/>
        <w:spacing w:after="0" w:line="360" w:lineRule="auto"/>
        <w:rPr>
          <w:rFonts w:ascii="Courier New" w:hAnsi="Courier New" w:eastAsia="Courier New" w:cs="Courier New"/>
          <w:color w:val="000000"/>
          <w:sz w:val="20"/>
          <w:szCs w:val="20"/>
        </w:rPr>
      </w:pPr>
      <w:r>
        <w:rPr>
          <w:rFonts w:ascii="Courier New" w:hAnsi="Courier New" w:eastAsia="Courier New" w:cs="Courier New"/>
          <w:color w:val="000000"/>
          <w:sz w:val="20"/>
          <w:szCs w:val="20"/>
        </w:rPr>
        <w:t>Alternative installation, via the container image (Dockerfile, docker-compose.yml):</w:t>
      </w:r>
    </w:p>
    <w:p w14:paraId="5AFE417E">
      <w:pPr>
        <w:widowControl w:val="0"/>
        <w:pBdr>
          <w:left w:val="single" w:color="BFBFBF" w:sz="4" w:space="4"/>
          <w:right w:val="single" w:color="BFBFBF" w:sz="4" w:space="4"/>
        </w:pBdr>
        <w:shd w:val="clear" w:color="auto" w:fill="F2F2F2"/>
        <w:spacing w:after="0" w:line="360" w:lineRule="auto"/>
        <w:rPr>
          <w:rFonts w:ascii="Courier New" w:hAnsi="Courier New" w:eastAsia="Courier New" w:cs="Courier New"/>
          <w:color w:val="000000"/>
          <w:sz w:val="20"/>
          <w:szCs w:val="20"/>
        </w:rPr>
      </w:pPr>
      <w:r>
        <w:rPr>
          <w:rFonts w:ascii="Courier New" w:hAnsi="Courier New" w:eastAsia="Courier New" w:cs="Courier New"/>
          <w:color w:val="000000"/>
          <w:sz w:val="20"/>
          <w:szCs w:val="20"/>
        </w:rPr>
        <w:t>docker compose up --build#  dashboard : http://localhost:5000</w:t>
      </w:r>
    </w:p>
    <w:p w14:paraId="455970A0">
      <w:pPr>
        <w:widowControl w:val="0"/>
        <w:pBdr>
          <w:left w:val="single" w:color="BFBFBF" w:sz="4" w:space="4"/>
          <w:right w:val="single" w:color="BFBFBF" w:sz="4" w:space="4"/>
        </w:pBdr>
        <w:shd w:val="clear" w:color="auto" w:fill="F2F2F2"/>
        <w:spacing w:after="0" w:line="360" w:lineRule="auto"/>
        <w:rPr>
          <w:rFonts w:ascii="Courier New" w:hAnsi="Courier New" w:eastAsia="Courier New" w:cs="Courier New"/>
          <w:color w:val="000000"/>
          <w:sz w:val="20"/>
          <w:szCs w:val="20"/>
        </w:rPr>
      </w:pPr>
      <w:r>
        <w:rPr>
          <w:rFonts w:ascii="Courier New" w:hAnsi="Courier New" w:eastAsia="Courier New" w:cs="Courier New"/>
          <w:color w:val="000000"/>
          <w:sz w:val="20"/>
          <w:szCs w:val="20"/>
        </w:rPr>
        <w:t>#    image      : python:3.12-slim, pip install -r requirements.txt, CMD python app.py</w:t>
      </w:r>
    </w:p>
    <w:p w14:paraId="7C7C6D7D">
      <w:pPr>
        <w:spacing w:after="120" w:line="360" w:lineRule="auto"/>
        <w:jc w:val="both"/>
        <w:rPr>
          <w:b/>
          <w:bCs/>
        </w:rPr>
      </w:pPr>
      <w:r>
        <w:rPr>
          <w:b/>
          <w:bCs/>
        </w:rPr>
        <w:t xml:space="preserve"> 7.4 ENVIRONMENTAL SETUP</w:t>
      </w:r>
    </w:p>
    <w:p w14:paraId="4C8160AD">
      <w:pPr>
        <w:spacing w:after="120" w:line="360" w:lineRule="auto"/>
        <w:ind w:left="142" w:firstLine="578"/>
        <w:jc w:val="both"/>
      </w:pPr>
      <w:r>
        <w:t>The development and evaluation environment is Windows 11 with Python 3.12 in a virtual environment. The version pin is not a preference but a requirement of the compatibility layer: prototype/assrd/compat.py repairs the estimator-tag disagreement between scikit-learn 1.6.1 and XGBoost 2.1.3, and prototype/pytest.ini promotes every RuntimeWarning to an error while filtering the single expected XGBoost DeprecationWarning, so the suite fails loudly on any untested library combination. There is no Node toolchain and no front-end build step. The dashboard is a static page — templates/index.html, static/js/dashboard.js and static/css/style.css, with Chart.js pulled from a CDN at line 27 of the template — served directly by Flask. There is also no dataset to download: because no labelled corpus of real server-side file-operation logs was available, the experiment uses a behaviour-faithful emulator (prototype/assrd/data.py), and no malware is executed anywhere. The system is set up in the following order.</w:t>
      </w:r>
    </w:p>
    <w:p w14:paraId="643D005B">
      <w:pPr>
        <w:spacing w:after="120" w:line="360" w:lineRule="auto"/>
        <w:ind w:left="142" w:hanging="142"/>
        <w:jc w:val="both"/>
        <w:rPr>
          <w:b/>
          <w:bCs/>
        </w:rPr>
      </w:pPr>
      <w:r>
        <w:rPr>
          <w:b/>
          <w:bCs/>
        </w:rPr>
        <w:t xml:space="preserve">Listing 7.2: Environmental Sequence </w:t>
      </w:r>
    </w:p>
    <w:p w14:paraId="13438A2A">
      <w:pPr>
        <w:widowControl w:val="0"/>
        <w:pBdr>
          <w:left w:val="single" w:color="BFBFBF" w:sz="4" w:space="4"/>
          <w:right w:val="single" w:color="BFBFBF" w:sz="4" w:space="4"/>
        </w:pBdr>
        <w:shd w:val="clear" w:color="auto" w:fill="F2F2F2"/>
        <w:spacing w:after="0" w:line="360" w:lineRule="auto"/>
        <w:ind w:left="142" w:leftChars="0" w:firstLine="98" w:firstLineChars="0"/>
        <w:rPr>
          <w:rFonts w:ascii="Courier New" w:hAnsi="Courier New" w:eastAsia="Courier New" w:cs="Courier New"/>
          <w:color w:val="000000"/>
          <w:sz w:val="20"/>
          <w:szCs w:val="20"/>
        </w:rPr>
      </w:pPr>
      <w:r>
        <w:rPr>
          <w:rFonts w:ascii="Courier New" w:hAnsi="Courier New" w:eastAsia="Courier New" w:cs="Courier New"/>
          <w:color w:val="000000"/>
          <w:sz w:val="20"/>
          <w:szCs w:val="20"/>
        </w:rPr>
        <w:t># 1. create the Python environment and install the pinned dependencies</w:t>
      </w:r>
    </w:p>
    <w:p w14:paraId="21181E57">
      <w:pPr>
        <w:widowControl w:val="0"/>
        <w:pBdr>
          <w:left w:val="single" w:color="BFBFBF" w:sz="4" w:space="4"/>
          <w:right w:val="single" w:color="BFBFBF" w:sz="4" w:space="4"/>
        </w:pBdr>
        <w:shd w:val="clear" w:color="auto" w:fill="F2F2F2"/>
        <w:spacing w:after="0" w:line="360" w:lineRule="auto"/>
        <w:ind w:left="142" w:leftChars="0" w:firstLine="98" w:firstLineChars="0"/>
        <w:rPr>
          <w:rFonts w:ascii="Courier New" w:hAnsi="Courier New" w:eastAsia="Courier New" w:cs="Courier New"/>
          <w:color w:val="000000"/>
          <w:sz w:val="20"/>
          <w:szCs w:val="20"/>
        </w:rPr>
      </w:pPr>
      <w:r>
        <w:rPr>
          <w:rFonts w:ascii="Courier New" w:hAnsi="Courier New" w:eastAsia="Courier New" w:cs="Courier New"/>
          <w:color w:val="000000"/>
          <w:sz w:val="20"/>
          <w:szCs w:val="20"/>
        </w:rPr>
        <w:t>python -m venv .venv</w:t>
      </w:r>
    </w:p>
    <w:p w14:paraId="3550A21C">
      <w:pPr>
        <w:widowControl w:val="0"/>
        <w:pBdr>
          <w:left w:val="single" w:color="BFBFBF" w:sz="4" w:space="4"/>
          <w:right w:val="single" w:color="BFBFBF" w:sz="4" w:space="4"/>
        </w:pBdr>
        <w:shd w:val="clear" w:color="auto" w:fill="F2F2F2"/>
        <w:spacing w:after="0" w:line="360" w:lineRule="auto"/>
        <w:ind w:left="142" w:leftChars="0" w:firstLine="98" w:firstLineChars="0"/>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.venv\Scripts\pip install -r requirements.txt</w:t>
      </w:r>
    </w:p>
    <w:p w14:paraId="7167CFFB">
      <w:pPr>
        <w:widowControl w:val="0"/>
        <w:pBdr>
          <w:left w:val="single" w:color="BFBFBF" w:sz="4" w:space="4"/>
          <w:right w:val="single" w:color="BFBFBF" w:sz="4" w:space="4"/>
        </w:pBdr>
        <w:shd w:val="clear" w:color="auto" w:fill="F2F2F2"/>
        <w:spacing w:after="0" w:line="360" w:lineRule="auto"/>
        <w:ind w:left="142" w:leftChars="0" w:firstLine="98" w:firstLineChars="0"/>
        <w:rPr>
          <w:rFonts w:ascii="Courier New" w:hAnsi="Courier New" w:eastAsia="Courier New" w:cs="Courier New"/>
          <w:color w:val="000000"/>
          <w:sz w:val="20"/>
          <w:szCs w:val="20"/>
        </w:rPr>
      </w:pPr>
      <w:r>
        <w:rPr>
          <w:rFonts w:ascii="Courier New" w:hAnsi="Courier New" w:eastAsia="Courier New" w:cs="Courier New"/>
          <w:color w:val="000000"/>
          <w:sz w:val="20"/>
          <w:szCs w:val="20"/>
        </w:rPr>
        <w:t># 2. run the live monitoring server; it trains from the emulator on first start</w:t>
      </w:r>
    </w:p>
    <w:p w14:paraId="36A2B8C9">
      <w:pPr>
        <w:widowControl w:val="0"/>
        <w:pBdr>
          <w:left w:val="single" w:color="BFBFBF" w:sz="4" w:space="4"/>
          <w:right w:val="single" w:color="BFBFBF" w:sz="4" w:space="4"/>
        </w:pBdr>
        <w:shd w:val="clear" w:color="auto" w:fill="F2F2F2"/>
        <w:spacing w:after="0" w:line="360" w:lineRule="auto"/>
        <w:ind w:left="142" w:leftChars="0" w:firstLine="98" w:firstLineChars="0"/>
        <w:rPr>
          <w:rFonts w:ascii="Courier New" w:hAnsi="Courier New" w:eastAsia="Courier New" w:cs="Courier New"/>
          <w:color w:val="000000"/>
          <w:sz w:val="20"/>
          <w:szCs w:val="20"/>
        </w:rPr>
      </w:pPr>
      <w:r>
        <w:rPr>
          <w:rFonts w:ascii="Courier New" w:hAnsi="Courier New" w:eastAsia="Courier New" w:cs="Courier New"/>
          <w:color w:val="000000"/>
          <w:sz w:val="20"/>
          <w:szCs w:val="20"/>
        </w:rPr>
        <w:t>#    if no saved models are present, and serves the dashboard</w:t>
      </w:r>
    </w:p>
    <w:p w14:paraId="1B97C060">
      <w:pPr>
        <w:widowControl w:val="0"/>
        <w:pBdr>
          <w:left w:val="single" w:color="BFBFBF" w:sz="4" w:space="4"/>
          <w:right w:val="single" w:color="BFBFBF" w:sz="4" w:space="4"/>
        </w:pBdr>
        <w:shd w:val="clear" w:color="auto" w:fill="F2F2F2"/>
        <w:spacing w:after="0" w:line="360" w:lineRule="auto"/>
        <w:ind w:left="142" w:leftChars="0" w:firstLine="98" w:firstLineChars="0"/>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app.py</w:t>
      </w:r>
    </w:p>
    <w:p w14:paraId="27BBF60C">
      <w:pPr>
        <w:widowControl w:val="0"/>
        <w:pBdr>
          <w:left w:val="single" w:color="BFBFBF" w:sz="4" w:space="4"/>
          <w:right w:val="single" w:color="BFBFBF" w:sz="4" w:space="4"/>
        </w:pBdr>
        <w:shd w:val="clear" w:color="auto" w:fill="F2F2F2"/>
        <w:spacing w:after="0" w:line="360" w:lineRule="auto"/>
        <w:ind w:left="142" w:leftChars="0" w:firstLine="98" w:firstLineChars="0"/>
        <w:rPr>
          <w:rFonts w:ascii="Courier New" w:hAnsi="Courier New" w:eastAsia="Courier New" w:cs="Courier New"/>
          <w:color w:val="000000"/>
          <w:sz w:val="20"/>
          <w:szCs w:val="20"/>
        </w:rPr>
      </w:pPr>
      <w:r>
        <w:rPr>
          <w:rFonts w:ascii="Courier New" w:hAnsi="Courier New" w:eastAsia="Courier New" w:cs="Courier New"/>
          <w:color w:val="000000"/>
          <w:sz w:val="20"/>
          <w:szCs w:val="20"/>
        </w:rPr>
        <w:t>#    dashboard : http://localhost:5000</w:t>
      </w:r>
    </w:p>
    <w:p w14:paraId="70DAF5A9">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3. offline evaluation of the live engine on emulated data</w:t>
      </w:r>
    </w:p>
    <w:p w14:paraId="1B0F434A">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scripts\evaluate.py</w:t>
      </w:r>
    </w:p>
    <w:p w14:paraId="33954121">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4. the live-pipeline regression suite (61 tests)</w:t>
      </w:r>
    </w:p>
    <w:p w14:paraId="7FF06142">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-m pytest tests\ -v</w:t>
      </w:r>
    </w:p>
    <w:p w14:paraId="1F5F9872">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5. the offline experiment suite (114 tests) and the reproduction pipeline</w:t>
      </w:r>
      <w:r>
        <w:rPr>
          <w:rFonts w:hint="default" w:ascii="Courier New" w:hAnsi="Courier New" w:eastAsia="Courier New" w:cs="Courier New"/>
          <w:color w:val="000000"/>
          <w:sz w:val="20"/>
          <w:szCs w:val="20"/>
          <w:lang w:val="en-US"/>
        </w:rPr>
        <w:t xml:space="preserve"> </w:t>
      </w:r>
      <w:r>
        <w:rPr>
          <w:rFonts w:ascii="Courier New" w:hAnsi="Courier New" w:eastAsia="Courier New" w:cs="Courier New"/>
          <w:color w:val="000000"/>
          <w:sz w:val="20"/>
          <w:szCs w:val="20"/>
        </w:rPr>
        <w:t>cd prototype</w:t>
      </w:r>
    </w:p>
    <w:p w14:paraId="31682322">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-m pytest -q</w:t>
      </w:r>
    </w:p>
    <w:p w14:paraId="0318A167">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tuning experiment; regenerates results/phase2_results.json and its </w:t>
      </w:r>
    </w:p>
    <w:p w14:paraId="62F49BEC">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-m assrd.phase2 --n-windows 20000 --seed 42 --folds 5</w:t>
      </w:r>
    </w:p>
    <w:p w14:paraId="5D0E8CB8">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xml:space="preserve"># ablation experiment; writes a separate basename so Phase 2 evidence </w:t>
      </w:r>
    </w:p>
    <w:p w14:paraId="1239537A">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-m assrd.phase3 --quick --self-check   # preflight, fits nothing</w:t>
      </w:r>
    </w:p>
    <w:p w14:paraId="3C4420A0">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-m assrd.phase3 --quick    # acceptance run</w:t>
      </w:r>
    </w:p>
    <w:p w14:paraId="1CA46189">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-m assrd.phase3           # full experiment</w:t>
      </w:r>
    </w:p>
    <w:p w14:paraId="693E7C37">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 6. verify the committed artefacts are reproducible,then re-baseline</w:t>
      </w:r>
    </w:p>
    <w:p w14:paraId="1D3033B5">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-m assrd.rebaseline check</w:t>
      </w:r>
    </w:p>
    <w:p w14:paraId="5D3C658B">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-m assrd.rebaseline run-phase2</w:t>
      </w:r>
    </w:p>
    <w:p w14:paraId="71106793">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-m assrd.rebaseline verify  # Tier A, byte-identical</w:t>
      </w:r>
    </w:p>
    <w:p w14:paraId="1D6269B1">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.venv\Scripts\python.exe -m assrd.rebaseline run-phase3 --mode full</w:t>
      </w:r>
    </w:p>
    <w:p w14:paraId="637D655E">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Recorded environment (phase2_results.json, environment block, so these are the versions the quoted numbers were produced on):</w:t>
      </w:r>
    </w:p>
    <w:p w14:paraId="03EA4881">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Component</w:t>
      </w:r>
      <w:r>
        <w:rPr>
          <w:rFonts w:ascii="Courier New" w:hAnsi="Courier New" w:eastAsia="Courier New" w:cs="Courier New"/>
          <w:color w:val="000000"/>
          <w:sz w:val="20"/>
          <w:szCs w:val="20"/>
        </w:rPr>
        <w:tab/>
      </w:r>
      <w:r>
        <w:rPr>
          <w:rFonts w:ascii="Courier New" w:hAnsi="Courier New" w:eastAsia="Courier New" w:cs="Courier New"/>
          <w:color w:val="000000"/>
          <w:sz w:val="20"/>
          <w:szCs w:val="20"/>
        </w:rPr>
        <w:t>VersionPython</w:t>
      </w:r>
      <w:r>
        <w:rPr>
          <w:rFonts w:ascii="Courier New" w:hAnsi="Courier New" w:eastAsia="Courier New" w:cs="Courier New"/>
          <w:color w:val="000000"/>
          <w:sz w:val="20"/>
          <w:szCs w:val="20"/>
        </w:rPr>
        <w:tab/>
      </w:r>
      <w:r>
        <w:rPr>
          <w:rFonts w:ascii="Courier New" w:hAnsi="Courier New" w:eastAsia="Courier New" w:cs="Courier New"/>
          <w:color w:val="000000"/>
          <w:sz w:val="20"/>
          <w:szCs w:val="20"/>
        </w:rPr>
        <w:t>3.12.10</w:t>
      </w:r>
    </w:p>
    <w:p w14:paraId="4DEC1F54">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Platform</w:t>
      </w:r>
      <w:r>
        <w:rPr>
          <w:rFonts w:ascii="Courier New" w:hAnsi="Courier New" w:eastAsia="Courier New" w:cs="Courier New"/>
          <w:color w:val="000000"/>
          <w:sz w:val="20"/>
          <w:szCs w:val="20"/>
        </w:rPr>
        <w:tab/>
      </w:r>
      <w:r>
        <w:rPr>
          <w:rFonts w:ascii="Courier New" w:hAnsi="Courier New" w:eastAsia="Courier New" w:cs="Courier New"/>
          <w:color w:val="000000"/>
          <w:sz w:val="20"/>
          <w:szCs w:val="20"/>
        </w:rPr>
        <w:t>Windows-11-10.0.26300-SP0 NumPy2.2.3 pandas2.2.3</w:t>
      </w:r>
    </w:p>
    <w:p w14:paraId="767AC8A2">
      <w:pPr>
        <w:widowControl w:val="0"/>
        <w:pBdr>
          <w:left w:val="single" w:color="BFBFBF" w:sz="4" w:space="4"/>
          <w:right w:val="single" w:color="BFBFBF" w:sz="4" w:space="4"/>
        </w:pBdr>
        <w:shd w:val="clear" w:color="auto" w:fill="F2F2F2"/>
        <w:spacing w:after="0" w:line="360" w:lineRule="auto"/>
        <w:ind w:left="142"/>
        <w:rPr>
          <w:rFonts w:ascii="Courier New" w:hAnsi="Courier New" w:eastAsia="Courier New" w:cs="Courier New"/>
          <w:color w:val="000000"/>
          <w:sz w:val="20"/>
          <w:szCs w:val="20"/>
        </w:rPr>
      </w:pPr>
      <w:r>
        <w:rPr>
          <w:rFonts w:ascii="Courier New" w:hAnsi="Courier New" w:eastAsia="Courier New" w:cs="Courier New"/>
          <w:color w:val="000000"/>
          <w:sz w:val="20"/>
          <w:szCs w:val="20"/>
        </w:rPr>
        <w:t>scikit-learn1.6.1 XGBoost2.1.3</w:t>
      </w:r>
    </w:p>
    <w:p w14:paraId="5DA7A5EC">
      <w:pPr>
        <w:widowControl w:val="0"/>
        <w:pBdr>
          <w:left w:val="single" w:color="BFBFBF" w:sz="4" w:space="4"/>
          <w:right w:val="single" w:color="BFBFBF" w:sz="4" w:space="4"/>
        </w:pBdr>
        <w:shd w:val="clear" w:color="auto" w:fill="F2F2F2"/>
        <w:spacing w:after="0" w:line="360" w:lineRule="auto"/>
        <w:ind w:left="142"/>
        <w:rPr>
          <w:rFonts w:ascii="Times New Roman" w:hAnsi="Times New Roman" w:eastAsia="Times New Roman" w:cs="Times New Roman"/>
          <w:b/>
          <w:color w:val="000000"/>
          <w:sz w:val="24"/>
          <w:szCs w:val="24"/>
        </w:rPr>
      </w:pPr>
      <w:r>
        <w:rPr>
          <w:rFonts w:ascii="Courier New" w:hAnsi="Courier New" w:eastAsia="Courier New" w:cs="Courier New"/>
          <w:color w:val="000000"/>
          <w:sz w:val="20"/>
          <w:szCs w:val="20"/>
        </w:rPr>
        <w:t>joblib backendthr eading, forced by assrd.compat.threading_backend()</w:t>
      </w:r>
    </w:p>
    <w:p w14:paraId="77CAEEDA">
      <w:pPr>
        <w:ind w:firstLine="120" w:firstLineChars="50"/>
        <w:rPr>
          <w:rFonts w:hint="default" w:cs="Times New Roman"/>
          <w:b/>
          <w:color w:val="000000"/>
          <w:sz w:val="24"/>
          <w:szCs w:val="24"/>
          <w:lang w:val="en-US"/>
        </w:rPr>
      </w:pPr>
    </w:p>
    <w:p w14:paraId="5D8575B9">
      <w:pPr>
        <w:ind w:firstLine="120" w:firstLineChars="50"/>
        <w:rPr>
          <w:rFonts w:hint="default" w:cs="Times New Roman"/>
          <w:b/>
          <w:color w:val="000000"/>
          <w:sz w:val="24"/>
          <w:szCs w:val="24"/>
          <w:lang w:val="en-US"/>
        </w:rPr>
      </w:pPr>
      <w:r>
        <w:rPr>
          <w:rFonts w:hint="default" w:cs="Times New Roman"/>
          <w:b/>
          <w:color w:val="000000"/>
          <w:sz w:val="24"/>
          <w:szCs w:val="24"/>
          <w:lang w:val="en-US"/>
        </w:rPr>
        <w:t>7.5 IMPLEMETATION CODE LISTINGS</w:t>
      </w:r>
    </w:p>
    <w:p w14:paraId="2AE823F0">
      <w:pPr>
        <w:spacing w:after="120" w:line="360" w:lineRule="auto"/>
        <w:ind w:left="-142" w:firstLine="142"/>
        <w:jc w:val="both"/>
        <w:rPr>
          <w:b/>
          <w:bCs/>
        </w:rPr>
      </w:pPr>
      <w:r>
        <w:rPr>
          <w:b/>
          <w:bCs/>
        </w:rPr>
        <w:t xml:space="preserve">Listing </w:t>
      </w:r>
      <w:r>
        <w:rPr>
          <w:rFonts w:hint="default"/>
          <w:b/>
          <w:bCs/>
          <w:lang w:val="en-US"/>
        </w:rPr>
        <w:t>7</w:t>
      </w:r>
      <w:r>
        <w:rPr>
          <w:b/>
          <w:bCs/>
        </w:rPr>
        <w:t>.1: schema.db the database structure</w:t>
      </w:r>
    </w:p>
    <w:p w14:paraId="1503B4C4">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CREATE TABLE IF NOT EXISTS detection_alerts (</w:t>
      </w:r>
    </w:p>
    <w:p w14:paraId="11B0D2D8">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 xml:space="preserve">    id INTEGER PRIMARY KEY AUTOINCREMENT,</w:t>
      </w:r>
    </w:p>
    <w:p w14:paraId="7EB2ED3A">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 xml:space="preserve">    timestamp INTEGER NOT NULL,</w:t>
      </w:r>
    </w:p>
    <w:p w14:paraId="3E59C41E">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 xml:space="preserve">    xgb_prediction INTEGER,</w:t>
      </w:r>
    </w:p>
    <w:p w14:paraId="357FE966">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 xml:space="preserve">    xgb_probability REAL,</w:t>
      </w:r>
    </w:p>
    <w:p w14:paraId="75D60582">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 xml:space="preserve">    xgb_confidence REAL,</w:t>
      </w:r>
    </w:p>
    <w:p w14:paraId="1B378248">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 xml:space="preserve">    all_models_prediction TEXT,</w:t>
      </w:r>
    </w:p>
    <w:p w14:paraId="1B21E7B7">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 xml:space="preserve">    actual_label INTEGER,</w:t>
      </w:r>
    </w:p>
    <w:p w14:paraId="715ABF5E">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 xml:space="preserve">    user TEXT,</w:t>
      </w:r>
    </w:p>
    <w:p w14:paraId="161CB68B">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 xml:space="preserve">    family TEXT,</w:t>
      </w:r>
    </w:p>
    <w:p w14:paraId="7C6B5E5A">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 xml:space="preserve">    created_at TIMESTAMP DEFAULT CURRENT_TIMESTAMP</w:t>
      </w:r>
    </w:p>
    <w:p w14:paraId="15FCD64E">
      <w:pPr>
        <w:widowControl w:val="0"/>
        <w:pBdr>
          <w:left w:val="single" w:color="BFBFBF" w:sz="4" w:space="4"/>
          <w:right w:val="single" w:color="BFBFBF" w:sz="4" w:space="4"/>
        </w:pBdr>
        <w:shd w:val="clear" w:color="auto" w:fill="F2F2F2"/>
        <w:spacing w:after="0" w:line="360" w:lineRule="auto"/>
        <w:ind w:left="284" w:hanging="284"/>
        <w:rPr>
          <w:rFonts w:eastAsia="Courier New"/>
          <w:color w:val="000000"/>
          <w:sz w:val="24"/>
          <w:szCs w:val="24"/>
        </w:rPr>
      </w:pPr>
      <w:r>
        <w:rPr>
          <w:rFonts w:eastAsia="Courier New"/>
          <w:color w:val="000000"/>
          <w:sz w:val="24"/>
          <w:szCs w:val="24"/>
        </w:rPr>
        <w:t>);</w:t>
      </w:r>
    </w:p>
    <w:p w14:paraId="5D8EC400">
      <w:pPr>
        <w:rPr>
          <w:rFonts w:hint="default" w:cs="Times New Roman"/>
          <w:b/>
          <w:color w:val="000000"/>
          <w:sz w:val="28"/>
          <w:lang w:val="en-US"/>
        </w:rPr>
      </w:pPr>
    </w:p>
    <w:p w14:paraId="7934AF53">
      <w:pPr>
        <w:spacing w:after="120" w:line="360" w:lineRule="auto"/>
        <w:ind w:left="142" w:firstLine="142"/>
        <w:jc w:val="both"/>
      </w:pPr>
      <w:r>
        <w:rPr>
          <w:b/>
          <w:bCs/>
        </w:rPr>
        <w:t xml:space="preserve">Listings </w:t>
      </w:r>
      <w:r>
        <w:rPr>
          <w:rFonts w:hint="default"/>
          <w:b/>
          <w:bCs/>
          <w:lang w:val="en-US"/>
        </w:rPr>
        <w:t>7</w:t>
      </w:r>
      <w:r>
        <w:rPr>
          <w:b/>
          <w:bCs/>
        </w:rPr>
        <w:t>.2: temporal.py the Temporal Feature design</w:t>
      </w:r>
    </w:p>
    <w:p w14:paraId="5C34D999">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def add_temporal_features(df, trailing=TRAILING_WINDOWS,</w:t>
      </w:r>
    </w:p>
    <w:p w14:paraId="57431433">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baseline_window=BASELINE_WINDOW,</w:t>
      </w:r>
    </w:p>
    <w:p w14:paraId="0E7F2AE2">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count_columns=None):</w:t>
      </w:r>
    </w:p>
    <w:p w14:paraId="3E162A7C">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"""Return a copy of df augmented with the 26 temporal features.</w:t>
      </w:r>
    </w:p>
    <w:p w14:paraId="273A40E6">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p>
    <w:p w14:paraId="6149264E">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df must be one row per one-second window in temporal order.</w:t>
      </w:r>
    </w:p>
    <w:p w14:paraId="5510BEE7">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Apply this to the whole trace before any split.</w:t>
      </w:r>
    </w:p>
    <w:p w14:paraId="2D6FA26F">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w:t>
      </w:r>
    </w:p>
    <w:p w14:paraId="1A78A358">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cols = count_columns or RAW_COUNT_COLUMNS</w:t>
      </w:r>
    </w:p>
    <w:p w14:paraId="264AE1F8">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out = df.copy()</w:t>
      </w:r>
    </w:p>
    <w:p w14:paraId="63A45E97">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p>
    <w:p w14:paraId="19D75AC2">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total = out[cols].sum(axis=1).astype(float)      # ops_total</w:t>
      </w:r>
    </w:p>
    <w:p w14:paraId="552905D9">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out["ops_total"] = total</w:t>
      </w:r>
    </w:p>
    <w:p w14:paraId="54D2477B">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active = (total &gt; 0).astype(int)             # active indicator</w:t>
      </w:r>
    </w:p>
    <w:p w14:paraId="7932A8B2">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out["is_active_window"] = active</w:t>
      </w:r>
    </w:p>
    <w:p w14:paraId="10B4B18D">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for w in trailing:                             # (3, 5, 10, 30) s</w:t>
      </w:r>
    </w:p>
    <w:p w14:paraId="4998A72F">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roll = total.rolling(w, min_periods=1)       # trailing (t-w, t]</w:t>
      </w:r>
    </w:p>
    <w:p w14:paraId="65D0892A">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out[f"ops_sum_{w}s"]     = roll.sum()</w:t>
      </w:r>
    </w:p>
    <w:p w14:paraId="09ADFED3">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out[f"ops_mean_{w}s"]    = roll.mean()</w:t>
      </w:r>
    </w:p>
    <w:p w14:paraId="3E225005">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out[f"ops_max_{w}s"]     = roll.max()</w:t>
      </w:r>
    </w:p>
    <w:p w14:paraId="20905163">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out[f"active_frac_{w}s"] = active.rolling(w, min_periods=1).mean()</w:t>
      </w:r>
    </w:p>
    <w:p w14:paraId="61B913FC">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p>
    <w:p w14:paraId="7D60919B">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delta = total.diff().fillna(0.0)                 # first difference</w:t>
      </w:r>
    </w:p>
    <w:p w14:paraId="27A247DE">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out["ops_delta"] = delta</w:t>
      </w:r>
    </w:p>
    <w:p w14:paraId="2371E586">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for w in trailing:</w:t>
      </w:r>
    </w:p>
    <w:p w14:paraId="5D299C03">
      <w:pPr>
        <w:widowControl w:val="0"/>
        <w:pBdr>
          <w:left w:val="single" w:color="BFBFBF" w:sz="4" w:space="4"/>
          <w:right w:val="single" w:color="BFBFBF" w:sz="4" w:space="4"/>
        </w:pBdr>
        <w:shd w:val="clear" w:color="auto" w:fill="F2F2F2"/>
        <w:spacing w:after="0" w:line="360" w:lineRule="auto"/>
        <w:ind w:left="142" w:firstLine="142"/>
        <w:rPr>
          <w:rFonts w:eastAsia="Courier New"/>
          <w:color w:val="000000"/>
          <w:sz w:val="20"/>
          <w:szCs w:val="20"/>
        </w:rPr>
      </w:pPr>
      <w:r>
        <w:rPr>
          <w:rFonts w:eastAsia="Courier New"/>
          <w:color w:val="000000"/>
          <w:sz w:val="20"/>
          <w:szCs w:val="20"/>
        </w:rPr>
        <w:t xml:space="preserve">        out[f"ops_absdelta_mean_{w}s"] = delta.abs().rolling(w, min_periods=1).mean()</w:t>
      </w:r>
    </w:p>
    <w:p w14:paraId="40B14F80">
      <w:pPr>
        <w:widowControl w:val="0"/>
        <w:pBdr>
          <w:left w:val="single" w:color="BFBFBF" w:sz="4" w:space="4"/>
          <w:right w:val="single" w:color="BFBFBF" w:sz="4" w:space="4"/>
        </w:pBdr>
        <w:shd w:val="clear" w:color="auto" w:fill="F2F2F2"/>
        <w:spacing w:after="0" w:line="360" w:lineRule="auto"/>
        <w:ind w:left="142" w:firstLine="142"/>
      </w:pPr>
      <w:r>
        <w:rPr>
          <w:rFonts w:eastAsia="Courier New"/>
          <w:color w:val="000000"/>
          <w:sz w:val="20"/>
          <w:szCs w:val="20"/>
        </w:rPr>
        <w:t xml:space="preserve">    out["active_run_length"] = _run_length(active)   # persistence</w:t>
      </w:r>
    </w:p>
    <w:p w14:paraId="37B97C86">
      <w:pPr>
        <w:rPr>
          <w:rFonts w:hint="default" w:cs="Times New Roman"/>
          <w:b/>
          <w:color w:val="000000"/>
          <w:sz w:val="28"/>
          <w:lang w:val="en-US"/>
        </w:rPr>
      </w:pPr>
    </w:p>
    <w:p w14:paraId="77387706">
      <w:pPr>
        <w:spacing w:after="120" w:line="360" w:lineRule="auto"/>
        <w:ind w:left="426"/>
        <w:jc w:val="both"/>
        <w:rPr>
          <w:b/>
          <w:bCs/>
        </w:rPr>
      </w:pPr>
      <w:r>
        <w:rPr>
          <w:b/>
          <w:bCs/>
        </w:rPr>
        <w:t xml:space="preserve">Listing </w:t>
      </w:r>
      <w:r>
        <w:rPr>
          <w:rFonts w:hint="default"/>
          <w:b/>
          <w:bCs/>
          <w:lang w:val="en-US"/>
        </w:rPr>
        <w:t>7</w:t>
      </w:r>
      <w:r>
        <w:rPr>
          <w:b/>
          <w:bCs/>
        </w:rPr>
        <w:t xml:space="preserve">.3: Search.py the search snippet </w:t>
      </w:r>
    </w:p>
    <w:p w14:paraId="7B9756C8">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def make_search(name, *, seed=42, n_splits=5, scoring="recall", n_jobs=-1):</w:t>
      </w:r>
    </w:p>
    <w:p w14:paraId="029BAC57">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"""Exhaustive grid search under stratified CV, scored on recall."""</w:t>
      </w:r>
    </w:p>
    <w:p w14:paraId="4E56936E">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return GridSearchCV(</w:t>
      </w:r>
    </w:p>
    <w:p w14:paraId="6870D3D1">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estimator=build_estimator(name, seed=seed),</w:t>
      </w:r>
    </w:p>
    <w:p w14:paraId="29AEA8F1">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param_grid=param_grid(name),</w:t>
      </w:r>
    </w:p>
    <w:p w14:paraId="3306D357">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cv=StratifiedKFold(n_splits=n_splits, shuffle=True, random_state=seed),</w:t>
      </w:r>
    </w:p>
    <w:p w14:paraId="12723DC4">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scoring=scoring,     # "recall" — biases away from false negatives</w:t>
      </w:r>
    </w:p>
    <w:p w14:paraId="3EB76D4D">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refit=True,</w:t>
      </w:r>
    </w:p>
    <w:p w14:paraId="3E266EA8">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error_score="raise",</w:t>
      </w:r>
    </w:p>
    <w:p w14:paraId="37FE74B2">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w:t>
      </w:r>
    </w:p>
    <w:p w14:paraId="5A7CCF8D">
      <w:pPr>
        <w:spacing w:after="120" w:line="360" w:lineRule="auto"/>
        <w:ind w:left="426"/>
        <w:jc w:val="both"/>
      </w:pPr>
    </w:p>
    <w:p w14:paraId="37A31860">
      <w:pPr>
        <w:spacing w:after="120" w:line="360" w:lineRule="auto"/>
        <w:ind w:left="426"/>
        <w:jc w:val="both"/>
      </w:pPr>
      <w:r>
        <w:t>Paired with the cost weights that make the search cost-aware (models.py:78-88):</w:t>
      </w:r>
    </w:p>
    <w:p w14:paraId="6453584D">
      <w:pPr>
        <w:spacing w:after="120" w:line="360" w:lineRule="auto"/>
        <w:ind w:left="426"/>
        <w:jc w:val="both"/>
      </w:pPr>
      <w:r>
        <w:rPr>
          <w:b/>
          <w:bCs/>
        </w:rPr>
        <w:t xml:space="preserve">Listing </w:t>
      </w:r>
      <w:r>
        <w:rPr>
          <w:rFonts w:hint="default"/>
          <w:b/>
          <w:bCs/>
          <w:lang w:val="en-US"/>
        </w:rPr>
        <w:t>7</w:t>
      </w:r>
      <w:r>
        <w:rPr>
          <w:b/>
          <w:bCs/>
        </w:rPr>
        <w:t>.4: add.py the pairing for the temporal featueres</w:t>
      </w:r>
    </w:p>
    <w:p w14:paraId="20B31821">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p>
    <w:p w14:paraId="7648CB62">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def add_temporal_features(df, trailing=TRAILING_WINDOWS,</w:t>
      </w:r>
    </w:p>
    <w:p w14:paraId="7FB26890">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baseline_window=BASELINE_WINDOW,</w:t>
      </w:r>
    </w:p>
    <w:p w14:paraId="40204B16">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count_columns=None):</w:t>
      </w:r>
    </w:p>
    <w:p w14:paraId="78F25F4F">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"""Return a copy of df augmented with the 26 temporal features.</w:t>
      </w:r>
    </w:p>
    <w:p w14:paraId="085140C0">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p>
    <w:p w14:paraId="615DF898">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df must be one row per one-second window in temporal order.</w:t>
      </w:r>
    </w:p>
    <w:p w14:paraId="397900B1">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Apply this to the whole trace before any split.</w:t>
      </w:r>
    </w:p>
    <w:p w14:paraId="54C6EECB">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w:t>
      </w:r>
    </w:p>
    <w:p w14:paraId="4368F9F1">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cols = count_columns or RAW_COUNT_COLUMNS</w:t>
      </w:r>
    </w:p>
    <w:p w14:paraId="7DFD6498">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out = df.copy()</w:t>
      </w:r>
    </w:p>
    <w:p w14:paraId="5C1DDA98">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p>
    <w:p w14:paraId="7F5ED6C0">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total = out[cols].sum(axis=1).astype(float)      # ops_total</w:t>
      </w:r>
    </w:p>
    <w:p w14:paraId="612BD16D">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out["ops_total"] = total</w:t>
      </w:r>
    </w:p>
    <w:p w14:paraId="7ED2CFE8">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active = (total &gt; 0).astype(int)              # active indicator</w:t>
      </w:r>
    </w:p>
    <w:p w14:paraId="5C9CDFC1">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out["is_active_window"] = active</w:t>
      </w:r>
    </w:p>
    <w:p w14:paraId="5E5B2821">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p>
    <w:p w14:paraId="1583EF6E">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for w in trailing:                          # (3, 5, 10, 30) s</w:t>
      </w:r>
    </w:p>
    <w:p w14:paraId="64227695">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roll = total.rolling(w, min_periods=1)    # trailing (t-w, t]</w:t>
      </w:r>
    </w:p>
    <w:p w14:paraId="02F2D0A6">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out[f"ops_sum_{w}s"]     = roll.sum()</w:t>
      </w:r>
    </w:p>
    <w:p w14:paraId="2C2DD8FB">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out[f"ops_mean_{w}s"]    = roll.mean()</w:t>
      </w:r>
    </w:p>
    <w:p w14:paraId="652EEEDB">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out[f"ops_max_{w}s"]     = roll.max()</w:t>
      </w:r>
    </w:p>
    <w:p w14:paraId="4391F309">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out[f"active_frac_{w}s"] = active.rolling(w, min_periods=1).mean()</w:t>
      </w:r>
    </w:p>
    <w:p w14:paraId="6D12A002">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p>
    <w:p w14:paraId="465C088D">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delta = total.diff().fillna(0.0)             # first difference</w:t>
      </w:r>
    </w:p>
    <w:p w14:paraId="103581FA">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out["ops_delta"] = delta</w:t>
      </w:r>
    </w:p>
    <w:p w14:paraId="0DB75DB0">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for w in trailing:</w:t>
      </w:r>
    </w:p>
    <w:p w14:paraId="7936EB3F">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out[f"ops_absdelta_mean_{w}s"] = delta.abs().rolling(w, min_periods=1).mean()</w:t>
      </w:r>
    </w:p>
    <w:p w14:paraId="2EC5F4E8">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p>
    <w:p w14:paraId="0A8497ED">
      <w:pPr>
        <w:widowControl w:val="0"/>
        <w:pBdr>
          <w:left w:val="single" w:color="BFBFBF" w:sz="4" w:space="4"/>
          <w:right w:val="single" w:color="BFBFBF" w:sz="4" w:space="4"/>
        </w:pBdr>
        <w:shd w:val="clear" w:color="auto" w:fill="F2F2F2"/>
        <w:spacing w:after="0" w:line="360" w:lineRule="auto"/>
        <w:ind w:left="426"/>
        <w:rPr>
          <w:rFonts w:eastAsia="Courier New"/>
          <w:color w:val="000000"/>
          <w:sz w:val="20"/>
          <w:szCs w:val="20"/>
        </w:rPr>
      </w:pPr>
      <w:r>
        <w:rPr>
          <w:rFonts w:eastAsia="Courier New"/>
          <w:color w:val="000000"/>
          <w:sz w:val="20"/>
          <w:szCs w:val="20"/>
        </w:rPr>
        <w:t xml:space="preserve">    out["active_run_length"] = _run_length(active)   # persistence</w:t>
      </w:r>
    </w:p>
    <w:p w14:paraId="67D0EAE1">
      <w:pPr>
        <w:spacing w:after="120" w:line="360" w:lineRule="auto"/>
        <w:jc w:val="both"/>
      </w:pPr>
    </w:p>
    <w:p w14:paraId="49022C09">
      <w:pPr>
        <w:spacing w:after="120" w:line="360" w:lineRule="auto"/>
        <w:ind w:left="284"/>
        <w:rPr>
          <w:b/>
          <w:bCs/>
        </w:rPr>
      </w:pPr>
      <w:r>
        <w:rPr>
          <w:b/>
          <w:bCs/>
        </w:rPr>
        <w:t xml:space="preserve">Listing </w:t>
      </w:r>
      <w:r>
        <w:rPr>
          <w:rFonts w:hint="default"/>
          <w:b/>
          <w:bCs/>
          <w:lang w:val="en-US"/>
        </w:rPr>
        <w:t>7</w:t>
      </w:r>
      <w:r>
        <w:rPr>
          <w:b/>
          <w:bCs/>
        </w:rPr>
        <w:t xml:space="preserve">.5: drift.py the identifier and model recovery part </w:t>
      </w:r>
    </w:p>
    <w:p w14:paraId="3226AEFC">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def psi(reference, current, n_bins=10):</w:t>
      </w:r>
    </w:p>
    <w:p w14:paraId="7AB0FCF8">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"""Population Stability Index between a reference and a rolling current sample.</w:t>
      </w:r>
    </w:p>
    <w:p w14:paraId="642A7784">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Bin edges are drawn from the REFERENCE quantiles; conventional severity</w:t>
      </w:r>
    </w:p>
    <w:p w14:paraId="02611795">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bands are 0.10 (moderate) and 0.25 (significant)."""</w:t>
      </w:r>
    </w:p>
    <w:p w14:paraId="309DBB8C">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edges = np.unique(np.quantile(reference, np.linspace(0, 1, n_bins + 1)))</w:t>
      </w:r>
    </w:p>
    <w:p w14:paraId="24BA4304">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ref_counts, _ = np.histogram(reference, bins=edges)</w:t>
      </w:r>
    </w:p>
    <w:p w14:paraId="4665EFD4">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cur_counts, _ = np.histogram(current, bins=edges)</w:t>
      </w:r>
    </w:p>
    <w:p w14:paraId="5A246E27">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p = np.clip(ref_counts / ref_counts.sum(), 1e-6, None)   # reference share</w:t>
      </w:r>
    </w:p>
    <w:p w14:paraId="6B853181">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q = np.clip(cur_counts / cur_counts.sum(), 1e-6, None)   # current share</w:t>
      </w:r>
    </w:p>
    <w:p w14:paraId="6A887F56">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value = float(np.sum((q - p) * np.log(q / p)))</w:t>
      </w:r>
    </w:p>
    <w:p w14:paraId="304D5C01">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p>
    <w:p w14:paraId="2E31F874">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severity = ("significant" if value &gt;= 0.25 else</w:t>
      </w:r>
    </w:p>
    <w:p w14:paraId="12505040">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"moderate"     if value &gt;= 0.10 else "stable")</w:t>
      </w:r>
    </w:p>
    <w:p w14:paraId="0A37B6E7">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return {"psi": value, "severity": severity,</w:t>
      </w:r>
    </w:p>
    <w:p w14:paraId="323B9410">
      <w:pPr>
        <w:widowControl w:val="0"/>
        <w:pBdr>
          <w:left w:val="single" w:color="BFBFBF" w:sz="4" w:space="4"/>
          <w:right w:val="single" w:color="BFBFBF" w:sz="4" w:space="4"/>
        </w:pBdr>
        <w:shd w:val="clear" w:color="auto" w:fill="F2F2F2"/>
        <w:spacing w:after="0" w:line="360" w:lineRule="auto"/>
        <w:ind w:left="284"/>
        <w:rPr>
          <w:rFonts w:eastAsia="Courier New"/>
          <w:color w:val="000000"/>
          <w:sz w:val="20"/>
          <w:szCs w:val="20"/>
        </w:rPr>
      </w:pPr>
      <w:r>
        <w:rPr>
          <w:rFonts w:eastAsia="Courier New"/>
          <w:color w:val="000000"/>
          <w:sz w:val="20"/>
          <w:szCs w:val="20"/>
        </w:rPr>
        <w:t xml:space="preserve">            "retraining_required": severity == "significant"}</w:t>
      </w:r>
    </w:p>
    <w:p w14:paraId="7F7E3C36">
      <w:pPr>
        <w:pStyle w:val="3"/>
        <w:jc w:val="center"/>
        <w:rPr>
          <w:rFonts w:ascii="Times New Roman" w:hAnsi="Times New Roman" w:cs="Times New Roman"/>
          <w:b/>
          <w:color w:val="000000" w:themeColor="text1"/>
          <w:sz w:val="28"/>
          <w14:textFill>
            <w14:solidFill>
              <w14:schemeClr w14:val="tx1"/>
            </w14:solidFill>
          </w14:textFill>
        </w:rPr>
      </w:pPr>
    </w:p>
    <w:p w14:paraId="3D99C911">
      <w:pPr>
        <w:pStyle w:val="2"/>
        <w:spacing w:before="120" w:after="240"/>
        <w:jc w:val="both"/>
        <w:rPr>
          <w:rFonts w:ascii="Times New Roman" w:hAnsi="Times New Roman" w:eastAsia="Times New Roman" w:cs="Times New Roman"/>
          <w:b/>
          <w:color w:val="000000"/>
          <w:sz w:val="28"/>
        </w:rPr>
      </w:pPr>
    </w:p>
    <w:p w14:paraId="528FCA1D">
      <w:pPr>
        <w:rPr>
          <w:rFonts w:ascii="Times New Roman" w:hAnsi="Times New Roman" w:eastAsia="Times New Roman" w:cs="Times New Roman"/>
          <w:b/>
          <w:color w:val="000000"/>
          <w:sz w:val="28"/>
        </w:rPr>
      </w:pPr>
    </w:p>
    <w:p w14:paraId="62511B7E">
      <w:pPr>
        <w:rPr>
          <w:rFonts w:ascii="Times New Roman" w:hAnsi="Times New Roman" w:eastAsia="Times New Roman" w:cs="Times New Roman"/>
          <w:b/>
          <w:color w:val="000000"/>
          <w:sz w:val="28"/>
        </w:rPr>
      </w:pPr>
    </w:p>
    <w:p w14:paraId="4536C445">
      <w:pPr>
        <w:rPr>
          <w:rFonts w:ascii="Times New Roman" w:hAnsi="Times New Roman" w:eastAsia="Times New Roman" w:cs="Times New Roman"/>
          <w:b/>
          <w:color w:val="000000"/>
          <w:sz w:val="28"/>
        </w:rPr>
      </w:pPr>
    </w:p>
    <w:p w14:paraId="6385DFA4">
      <w:pPr>
        <w:rPr>
          <w:rFonts w:ascii="Times New Roman" w:hAnsi="Times New Roman" w:eastAsia="Times New Roman" w:cs="Times New Roman"/>
          <w:b/>
          <w:color w:val="000000"/>
          <w:sz w:val="28"/>
        </w:rPr>
      </w:pPr>
    </w:p>
    <w:p w14:paraId="74FD7104">
      <w:pPr>
        <w:rPr>
          <w:rFonts w:ascii="Times New Roman" w:hAnsi="Times New Roman" w:eastAsia="Times New Roman" w:cs="Times New Roman"/>
          <w:b/>
          <w:color w:val="000000"/>
          <w:sz w:val="28"/>
        </w:rPr>
      </w:pPr>
    </w:p>
    <w:p w14:paraId="6EA4A1B8">
      <w:pPr>
        <w:pStyle w:val="2"/>
        <w:spacing w:before="120" w:after="240"/>
        <w:jc w:val="center"/>
        <w:rPr>
          <w:rFonts w:ascii="Times New Roman" w:hAnsi="Times New Roman" w:eastAsia="Times New Roman" w:cs="Times New Roman"/>
          <w:b/>
          <w:color w:val="000000"/>
          <w:sz w:val="28"/>
        </w:rPr>
      </w:pPr>
      <w:bookmarkStart w:id="0" w:name="_GoBack"/>
      <w:bookmarkEnd w:id="0"/>
      <w:r>
        <w:rPr>
          <w:rFonts w:ascii="Times New Roman" w:hAnsi="Times New Roman" w:eastAsia="Times New Roman" w:cs="Times New Roman"/>
          <w:b/>
          <w:color w:val="000000"/>
          <w:sz w:val="28"/>
        </w:rPr>
        <w:t>CHAPTER 8</w:t>
      </w:r>
    </w:p>
    <w:p w14:paraId="3CDCFCDD">
      <w:pPr>
        <w:pStyle w:val="2"/>
        <w:spacing w:before="120" w:after="240"/>
        <w:jc w:val="both"/>
      </w:pPr>
      <w:r>
        <w:rPr>
          <w:rFonts w:ascii="Times New Roman" w:hAnsi="Times New Roman" w:eastAsia="Times New Roman" w:cs="Times New Roman"/>
          <w:b/>
          <w:color w:val="000000"/>
          <w:sz w:val="28"/>
        </w:rPr>
        <w:t>8. REFERENCES</w:t>
      </w:r>
    </w:p>
    <w:p w14:paraId="04DD8F38">
      <w:pPr>
        <w:spacing w:after="120"/>
        <w:ind w:left="576" w:hanging="576"/>
        <w:jc w:val="both"/>
      </w:pPr>
      <w:r>
        <w:rPr>
          <w:sz w:val="22"/>
        </w:rPr>
        <w:t xml:space="preserve">[1] </w:t>
      </w:r>
      <w:r>
        <w:rPr>
          <w:sz w:val="22"/>
        </w:rPr>
        <w:tab/>
      </w:r>
      <w:r>
        <w:rPr>
          <w:sz w:val="22"/>
        </w:rPr>
        <w:t>G. Aranyi, T. Miseta and V. Szucs, “Ransomware detection based on server-side file operation logs using machine learning,” Journal on Information Security, vol. 8, 2026, doi: 10.1186/s13635-026-00229-7.</w:t>
      </w:r>
    </w:p>
    <w:p w14:paraId="3B312FA1">
      <w:pPr>
        <w:spacing w:after="120"/>
        <w:ind w:left="576" w:hanging="576"/>
        <w:jc w:val="both"/>
      </w:pPr>
      <w:r>
        <w:rPr>
          <w:sz w:val="22"/>
        </w:rPr>
        <w:t xml:space="preserve">[2]  </w:t>
      </w:r>
      <w:r>
        <w:rPr>
          <w:sz w:val="22"/>
        </w:rPr>
        <w:tab/>
      </w:r>
      <w:r>
        <w:rPr>
          <w:sz w:val="22"/>
        </w:rPr>
        <w:t>M. Cen, F. Jiang, X. Qin, Q. Jiang and R. Doss, “Ransomware early detection: A survey,” Computer Networks, vol. 239, art. 110138, 2024, doi: 10.1016/j.comnet.2023.110138.</w:t>
      </w:r>
    </w:p>
    <w:p w14:paraId="0B99DCC8">
      <w:pPr>
        <w:spacing w:after="120"/>
        <w:ind w:left="576" w:hanging="576"/>
        <w:jc w:val="both"/>
      </w:pPr>
      <w:r>
        <w:rPr>
          <w:sz w:val="22"/>
        </w:rPr>
        <w:t xml:space="preserve">[3]  </w:t>
      </w:r>
      <w:r>
        <w:rPr>
          <w:sz w:val="22"/>
        </w:rPr>
        <w:tab/>
      </w:r>
      <w:r>
        <w:rPr>
          <w:sz w:val="22"/>
        </w:rPr>
        <w:t>T. R. McIntosh, J. Jang-Jaccard, P. Watters and T. Susnjak, “The inadequacy of entropy-based ransomware detection,” in Neural Information Processing (ICONIP 2019), Communications in Computer and Information Science, vol. 1143, pp. 181–189, Springer, 2019, doi: 10.1007/978-3-030-36802-9_20.</w:t>
      </w:r>
    </w:p>
    <w:p w14:paraId="68D15147">
      <w:pPr>
        <w:spacing w:after="120"/>
        <w:ind w:left="576" w:hanging="576"/>
        <w:jc w:val="both"/>
      </w:pPr>
      <w:r>
        <w:rPr>
          <w:sz w:val="22"/>
        </w:rPr>
        <w:t xml:space="preserve">[4]  </w:t>
      </w:r>
      <w:r>
        <w:rPr>
          <w:sz w:val="22"/>
        </w:rPr>
        <w:tab/>
      </w:r>
      <w:r>
        <w:rPr>
          <w:sz w:val="22"/>
        </w:rPr>
        <w:t>M. E. Ahmed, H. Kim, S. Camtepe and S. Nepal, “Peeler: Profiling kernel-level events to detect ransomware,” in Computer Security – ESORICS 2021, Lecture Notes in Computer Science, vol. 12972, pp. 240–260, Springer, 2021, doi: 10.1007/978-3-030-88418-5_12.</w:t>
      </w:r>
    </w:p>
    <w:p w14:paraId="545574C8">
      <w:pPr>
        <w:spacing w:after="120"/>
        <w:ind w:left="576" w:hanging="576"/>
        <w:jc w:val="both"/>
      </w:pPr>
      <w:r>
        <w:rPr>
          <w:sz w:val="22"/>
        </w:rPr>
        <w:t xml:space="preserve">[5] </w:t>
      </w:r>
      <w:r>
        <w:rPr>
          <w:sz w:val="22"/>
        </w:rPr>
        <w:tab/>
      </w:r>
      <w:r>
        <w:rPr>
          <w:sz w:val="22"/>
        </w:rPr>
        <w:t>K. Cabaj, M. Gregorczyk and W. Mazurczyk, “Software-defined networking-based crypto ransomware detection using HTTP traffic characteristics,” Computers &amp; Electrical Engineering, vol. 66, pp. 353–368, 2018.</w:t>
      </w:r>
    </w:p>
    <w:p w14:paraId="28D24551">
      <w:pPr>
        <w:spacing w:after="120"/>
        <w:ind w:left="576" w:hanging="576"/>
        <w:jc w:val="both"/>
      </w:pPr>
      <w:r>
        <w:rPr>
          <w:sz w:val="22"/>
        </w:rPr>
        <w:t xml:space="preserve">[6]  </w:t>
      </w:r>
      <w:r>
        <w:rPr>
          <w:sz w:val="22"/>
        </w:rPr>
        <w:tab/>
      </w:r>
      <w:r>
        <w:rPr>
          <w:sz w:val="22"/>
        </w:rPr>
        <w:t>D. Hitaj, G. Pagnotta, F. De Gaspari, L. De Carli and L. V. Mancini, “Minerva: A file-based ransomware detector,” arXiv:2301.11050, 2023.</w:t>
      </w:r>
    </w:p>
    <w:p w14:paraId="42CBFE28">
      <w:pPr>
        <w:spacing w:after="120"/>
        <w:ind w:left="576" w:hanging="576"/>
        <w:jc w:val="both"/>
      </w:pPr>
      <w:r>
        <w:rPr>
          <w:sz w:val="22"/>
        </w:rPr>
        <w:t xml:space="preserve">[7] </w:t>
      </w:r>
      <w:r>
        <w:rPr>
          <w:sz w:val="22"/>
        </w:rPr>
        <w:tab/>
      </w:r>
      <w:r>
        <w:rPr>
          <w:sz w:val="22"/>
        </w:rPr>
        <w:t>N. Scaife, H. Carter, P. Traynor and K. R. B. Butler, “CryptoLock (and drop it): Stopping ransomware attacks on user data,” in Proc. IEEE 36th Int. Conf. Distributed Computing Systems (ICDCS), 2016, pp. 303–312.</w:t>
      </w:r>
    </w:p>
    <w:p w14:paraId="26E221D2">
      <w:pPr>
        <w:spacing w:after="120"/>
        <w:ind w:left="576" w:hanging="576"/>
        <w:jc w:val="both"/>
      </w:pPr>
      <w:r>
        <w:rPr>
          <w:sz w:val="22"/>
        </w:rPr>
        <w:t xml:space="preserve">[8] </w:t>
      </w:r>
      <w:r>
        <w:rPr>
          <w:sz w:val="22"/>
        </w:rPr>
        <w:tab/>
      </w:r>
      <w:r>
        <w:rPr>
          <w:sz w:val="22"/>
        </w:rPr>
        <w:t>A. Continella, A. Guagnelli, G. Zingaro, G. De Pasquale, A. Barenghi, S. Zanero and F. Maggi, “ShieldFS: A self-healing, ransomware-aware filesystem,” in Proc. 32nd Annu. Conf. Computer Security Applications (ACSAC), 2016, pp. 336–347.</w:t>
      </w:r>
    </w:p>
    <w:p w14:paraId="4C382E3C">
      <w:pPr>
        <w:spacing w:after="120"/>
        <w:ind w:left="576" w:hanging="576"/>
        <w:jc w:val="both"/>
      </w:pPr>
      <w:r>
        <w:rPr>
          <w:sz w:val="22"/>
        </w:rPr>
        <w:t xml:space="preserve">[9] </w:t>
      </w:r>
      <w:r>
        <w:rPr>
          <w:sz w:val="22"/>
        </w:rPr>
        <w:tab/>
      </w:r>
      <w:r>
        <w:rPr>
          <w:sz w:val="22"/>
        </w:rPr>
        <w:t>A. Kharaz, S. Arshad, C. Mulliner, W. Robertson and E. Kirda, “UNVEIL: A large-scale, automated approach to detecting ransomware,” in Proc. 25th USENIX Security Symposium, 2016, pp. 757–772.</w:t>
      </w:r>
    </w:p>
    <w:p w14:paraId="6D6E063A">
      <w:pPr>
        <w:spacing w:after="120"/>
        <w:ind w:left="576" w:hanging="576"/>
        <w:jc w:val="both"/>
      </w:pPr>
      <w:r>
        <w:rPr>
          <w:sz w:val="22"/>
        </w:rPr>
        <w:t xml:space="preserve">[10] </w:t>
      </w:r>
      <w:r>
        <w:rPr>
          <w:sz w:val="22"/>
        </w:rPr>
        <w:tab/>
      </w:r>
      <w:r>
        <w:rPr>
          <w:sz w:val="22"/>
        </w:rPr>
        <w:t>C. Cortes and V. Vapnik, “Support-vector networks,” Machine Learning, vol. 20, no. 3, pp. 273–297, 1995.</w:t>
      </w:r>
    </w:p>
    <w:p w14:paraId="30F1DCA7">
      <w:pPr>
        <w:spacing w:after="120"/>
        <w:ind w:left="576" w:hanging="576"/>
        <w:jc w:val="both"/>
      </w:pPr>
      <w:r>
        <w:rPr>
          <w:sz w:val="22"/>
        </w:rPr>
        <w:t>[11]</w:t>
      </w:r>
      <w:r>
        <w:rPr>
          <w:sz w:val="22"/>
        </w:rPr>
        <w:tab/>
      </w:r>
      <w:r>
        <w:rPr>
          <w:sz w:val="22"/>
        </w:rPr>
        <w:t xml:space="preserve"> L. Breiman, “Random forests,” Machine Learning, vol. 45, no. 1, pp. 5–32, 2001.</w:t>
      </w:r>
    </w:p>
    <w:p w14:paraId="352D0EAA">
      <w:pPr>
        <w:spacing w:after="120"/>
        <w:ind w:left="576" w:hanging="576"/>
        <w:jc w:val="both"/>
      </w:pPr>
      <w:r>
        <w:rPr>
          <w:sz w:val="22"/>
        </w:rPr>
        <w:t xml:space="preserve">[12] </w:t>
      </w:r>
      <w:r>
        <w:rPr>
          <w:sz w:val="22"/>
        </w:rPr>
        <w:tab/>
      </w:r>
      <w:r>
        <w:rPr>
          <w:sz w:val="22"/>
        </w:rPr>
        <w:t>T. Chen and C. Guestrin, “XGBoost: A scalable tree boosting system,” in Proc. 22nd ACM SIGKDD Int. Conf. Knowledge Discovery and Data Mining, 2016, pp. 785–794.</w:t>
      </w:r>
    </w:p>
    <w:p w14:paraId="178973FE">
      <w:pPr>
        <w:spacing w:after="120"/>
        <w:ind w:left="576" w:hanging="576"/>
        <w:jc w:val="both"/>
      </w:pPr>
      <w:r>
        <w:rPr>
          <w:sz w:val="22"/>
        </w:rPr>
        <w:t xml:space="preserve">[13] </w:t>
      </w:r>
      <w:r>
        <w:rPr>
          <w:sz w:val="22"/>
        </w:rPr>
        <w:tab/>
      </w:r>
      <w:r>
        <w:rPr>
          <w:sz w:val="22"/>
        </w:rPr>
        <w:t>C. Elkan, “The foundations of cost-sensitive learning,” in Proc. 17th Int. Joint Conf. Artificial Intelligence (IJCAI), 2001, pp. 973–978.</w:t>
      </w:r>
    </w:p>
    <w:p w14:paraId="0F339458">
      <w:pPr>
        <w:spacing w:after="120"/>
        <w:ind w:left="576" w:hanging="576"/>
        <w:jc w:val="both"/>
      </w:pPr>
      <w:r>
        <w:rPr>
          <w:sz w:val="22"/>
        </w:rPr>
        <w:t xml:space="preserve">[14] </w:t>
      </w:r>
      <w:r>
        <w:rPr>
          <w:sz w:val="22"/>
        </w:rPr>
        <w:tab/>
      </w:r>
      <w:r>
        <w:rPr>
          <w:sz w:val="22"/>
        </w:rPr>
        <w:t>T. Fawcett, “An introduction to ROC analysis,” Pattern Recognition Letters, vol. 27, no. 8, pp. 861–874, 2006.</w:t>
      </w:r>
    </w:p>
    <w:p w14:paraId="22528F70">
      <w:pPr>
        <w:spacing w:after="120"/>
        <w:ind w:left="576" w:hanging="576"/>
        <w:jc w:val="both"/>
      </w:pPr>
      <w:r>
        <w:rPr>
          <w:sz w:val="22"/>
        </w:rPr>
        <w:t>[15] D. Sgandurra, L. Muñoz-González, R. Mohsen and E. C. Lupu, “Automated dynamic analysis of ransomware: Benefits, limitations and use for detection,” arXiv:1609.03020, 2016.</w:t>
      </w:r>
    </w:p>
    <w:p w14:paraId="4127F45F">
      <w:pPr>
        <w:spacing w:after="120"/>
        <w:ind w:left="576" w:hanging="576"/>
        <w:jc w:val="both"/>
      </w:pPr>
      <w:r>
        <w:rPr>
          <w:sz w:val="22"/>
        </w:rPr>
        <w:t xml:space="preserve">[16]  </w:t>
      </w:r>
      <w:r>
        <w:rPr>
          <w:sz w:val="22"/>
        </w:rPr>
        <w:tab/>
      </w:r>
      <w:r>
        <w:rPr>
          <w:sz w:val="22"/>
        </w:rPr>
        <w:t>S. Herrera-Silva, “Dynamic feature dataset for ransomware detection using behavioral patterns,” Sensors, vol. 23, no. 3, art. 1053, 2023, doi: 10.3390/s23031053.</w:t>
      </w:r>
    </w:p>
    <w:p w14:paraId="68FD0B4D">
      <w:pPr>
        <w:spacing w:after="120"/>
        <w:ind w:left="576" w:hanging="576"/>
        <w:jc w:val="both"/>
      </w:pPr>
      <w:r>
        <w:rPr>
          <w:sz w:val="22"/>
        </w:rPr>
        <w:t xml:space="preserve">[17]  </w:t>
      </w:r>
      <w:r>
        <w:rPr>
          <w:sz w:val="22"/>
        </w:rPr>
        <w:tab/>
      </w:r>
      <w:r>
        <w:rPr>
          <w:sz w:val="22"/>
        </w:rPr>
        <w:t>C. Zhou, L. Guo, Y. Hou, Z. Ma, Q. Zhang, M. Wang, Z. Liu and Y. Jiang, “Limits of I/O based ransomware detection: An imitation based attack,” in Proc. IEEE Symposium on Security and Privacy (S&amp;P), 2023, pp. 2584–2601, doi: 10.1109/SP46215.2023.10179372.</w:t>
      </w:r>
    </w:p>
    <w:p w14:paraId="6ED7EB15">
      <w:pPr>
        <w:spacing w:after="120"/>
        <w:ind w:left="576" w:hanging="576"/>
        <w:jc w:val="both"/>
      </w:pPr>
      <w:r>
        <w:rPr>
          <w:sz w:val="22"/>
        </w:rPr>
        <w:t xml:space="preserve">[18] </w:t>
      </w:r>
      <w:r>
        <w:rPr>
          <w:sz w:val="22"/>
        </w:rPr>
        <w:tab/>
      </w:r>
      <w:r>
        <w:rPr>
          <w:sz w:val="22"/>
        </w:rPr>
        <w:t>J. Gama, I. Zliobaite, A. Bifet, M. Pechenizkiy and A. Bouchachia, “A survey on concept drift adaptation,” ACM Computing Surveys, vol. 46, no. 4, art. 44, 2014.</w:t>
      </w:r>
    </w:p>
    <w:p w14:paraId="1A634EEF">
      <w:pPr>
        <w:spacing w:after="120"/>
        <w:ind w:left="576" w:hanging="576"/>
        <w:jc w:val="both"/>
      </w:pPr>
      <w:r>
        <w:rPr>
          <w:sz w:val="22"/>
        </w:rPr>
        <w:t xml:space="preserve">[19] </w:t>
      </w:r>
      <w:r>
        <w:rPr>
          <w:sz w:val="22"/>
        </w:rPr>
        <w:tab/>
      </w:r>
      <w:r>
        <w:rPr>
          <w:sz w:val="22"/>
        </w:rPr>
        <w:t>F. Pedregosa et al., “Scikit-learn: Machine learning in Python,” Journal of Machine Learning Research, vol. 12, pp. 2825–2830, 2011.</w:t>
      </w:r>
    </w:p>
    <w:p w14:paraId="1C9850DF">
      <w:pPr>
        <w:spacing w:after="120"/>
        <w:ind w:left="576" w:hanging="576"/>
        <w:jc w:val="both"/>
      </w:pPr>
      <w:r>
        <w:rPr>
          <w:sz w:val="22"/>
        </w:rPr>
        <w:t xml:space="preserve">[20] </w:t>
      </w:r>
      <w:r>
        <w:rPr>
          <w:sz w:val="22"/>
        </w:rPr>
        <w:tab/>
      </w:r>
      <w:r>
        <w:rPr>
          <w:sz w:val="22"/>
        </w:rPr>
        <w:t>J. R. Quinlan, “Induction of decision trees,” Machine Learning, vol. 1, no. 1, pp. 81–106, 1986.</w:t>
      </w:r>
    </w:p>
    <w:p w14:paraId="49AAB6A1">
      <w:pPr>
        <w:spacing w:after="120"/>
        <w:ind w:left="576" w:hanging="576"/>
        <w:jc w:val="both"/>
      </w:pPr>
      <w:r>
        <w:rPr>
          <w:sz w:val="22"/>
        </w:rPr>
        <w:t xml:space="preserve">[21] </w:t>
      </w:r>
      <w:r>
        <w:rPr>
          <w:sz w:val="22"/>
        </w:rPr>
        <w:tab/>
      </w:r>
      <w:r>
        <w:rPr>
          <w:sz w:val="22"/>
        </w:rPr>
        <w:t>Y. Freund and R. E. Schapire, “A decision-theoretic generalization of on-line learning and an application to boosting,” Journal of Computer and System Sciences, vol. 55, no. 1, pp. 119–139, 1997.</w:t>
      </w:r>
    </w:p>
    <w:p w14:paraId="48CEA8DE"/>
    <w:p w14:paraId="6098076B">
      <w:pPr>
        <w:spacing w:after="120" w:line="360" w:lineRule="auto"/>
        <w:ind w:firstLine="720"/>
        <w:jc w:val="both"/>
      </w:pPr>
    </w:p>
    <w:p w14:paraId="43618DB4"/>
    <w:p w14:paraId="50A9420B"/>
    <w:sectPr>
      <w:footerReference r:id="rId5" w:type="default"/>
      <w:pgSz w:w="11906" w:h="16838"/>
      <w:pgMar w:top="1440" w:right="144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0303386"/>
      <w:docPartObj>
        <w:docPartGallery w:val="autotext"/>
      </w:docPartObj>
    </w:sdtPr>
    <w:sdtContent>
      <w:p w14:paraId="66D0CB66">
        <w:pPr>
          <w:pStyle w:val="13"/>
          <w:jc w:val="center"/>
        </w:pPr>
        <w:r>
          <w:fldChar w:fldCharType="begin"/>
        </w:r>
        <w:r>
          <w:instrText xml:space="preserve"> PAGE   \* MERGEFORMAT </w:instrText>
        </w:r>
        <w:r>
          <w:fldChar w:fldCharType="separate"/>
        </w:r>
        <w:r>
          <w:t>2</w:t>
        </w:r>
        <w:r>
          <w:fldChar w:fldCharType="end"/>
        </w:r>
      </w:p>
    </w:sdtContent>
  </w:sdt>
  <w:p w14:paraId="2CCD41E9">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0296B0"/>
    <w:multiLevelType w:val="singleLevel"/>
    <w:tmpl w:val="710296B0"/>
    <w:lvl w:ilvl="0" w:tentative="0">
      <w:start w:val="4"/>
      <w:numFmt w:val="decimal"/>
      <w:suff w:val="space"/>
      <w:lvlText w:val="%1."/>
      <w:lvlJc w:val="left"/>
      <w:rPr>
        <w:rFonts w:hint="default"/>
        <w:b/>
        <w:bCs/>
        <w:sz w:val="28"/>
        <w:szCs w:val="2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8C0"/>
    <w:rsid w:val="00042F4D"/>
    <w:rsid w:val="00096719"/>
    <w:rsid w:val="001328B8"/>
    <w:rsid w:val="001B1B5D"/>
    <w:rsid w:val="001B48C0"/>
    <w:rsid w:val="00302692"/>
    <w:rsid w:val="00414E92"/>
    <w:rsid w:val="007A6B47"/>
    <w:rsid w:val="00AB5231"/>
    <w:rsid w:val="00B1400C"/>
    <w:rsid w:val="00D266ED"/>
    <w:rsid w:val="00D42B69"/>
    <w:rsid w:val="00D97FAE"/>
    <w:rsid w:val="00E335CC"/>
    <w:rsid w:val="00E8740C"/>
    <w:rsid w:val="00ED6374"/>
    <w:rsid w:val="00EF7F0D"/>
    <w:rsid w:val="34EF424E"/>
    <w:rsid w:val="478665E8"/>
    <w:rsid w:val="495358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imes New Roman"/>
      <w:kern w:val="0"/>
      <w:sz w:val="24"/>
      <w:szCs w:val="22"/>
      <w:lang w:val="en-US" w:eastAsia="en-US" w:bidi="ar-SA"/>
      <w14:ligatures w14:val="none"/>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unhideWhenUsed/>
    <w:qFormat/>
    <w:uiPriority w:val="1"/>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character" w:styleId="15">
    <w:name w:val="HTML Code"/>
    <w:basedOn w:val="11"/>
    <w:qFormat/>
    <w:uiPriority w:val="99"/>
    <w:rPr>
      <w:rFonts w:ascii="Courier New" w:hAnsi="Courier New" w:cs="Courier New"/>
      <w:sz w:val="20"/>
      <w:szCs w:val="20"/>
    </w:rPr>
  </w:style>
  <w:style w:type="paragraph" w:styleId="16">
    <w:name w:val="Normal (Web)"/>
    <w:qFormat/>
    <w:uiPriority w:val="0"/>
    <w:pPr>
      <w:spacing w:beforeAutospacing="1" w:after="0" w:afterAutospacing="1" w:line="240" w:lineRule="auto"/>
    </w:pPr>
    <w:rPr>
      <w:rFonts w:ascii="Times New Roman" w:hAnsi="Times New Roman" w:eastAsia="SimSun" w:cs="Times New Roman"/>
      <w:kern w:val="0"/>
      <w:sz w:val="24"/>
      <w:szCs w:val="24"/>
      <w:lang w:val="en-US" w:eastAsia="zh-CN" w:bidi="ar-SA"/>
      <w14:ligatures w14:val="none"/>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0"/>
    <w:pPr>
      <w:widowControl w:val="0"/>
      <w:spacing w:after="0" w:line="240" w:lineRule="auto"/>
      <w:jc w:val="both"/>
    </w:pPr>
    <w:rPr>
      <w:rFonts w:eastAsiaTheme="minorEastAsia"/>
      <w:kern w:val="0"/>
      <w:sz w:val="20"/>
      <w:szCs w:val="20"/>
      <w:lang w:eastAsia="en-I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qFormat/>
    <w:uiPriority w:val="1"/>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Header Char"/>
    <w:basedOn w:val="11"/>
    <w:link w:val="14"/>
    <w:qFormat/>
    <w:uiPriority w:val="99"/>
    <w:rPr>
      <w:rFonts w:ascii="Times New Roman" w:hAnsi="Times New Roman" w:eastAsia="Times New Roman" w:cs="Times New Roman"/>
      <w:kern w:val="0"/>
      <w:szCs w:val="22"/>
      <w:lang w:val="en-US"/>
      <w14:ligatures w14:val="none"/>
    </w:rPr>
  </w:style>
  <w:style w:type="character" w:customStyle="1" w:styleId="39">
    <w:name w:val="Footer Char"/>
    <w:basedOn w:val="11"/>
    <w:link w:val="13"/>
    <w:qFormat/>
    <w:uiPriority w:val="99"/>
    <w:rPr>
      <w:rFonts w:ascii="Times New Roman" w:hAnsi="Times New Roman" w:eastAsia="Times New Roman" w:cs="Times New Roman"/>
      <w:kern w:val="0"/>
      <w:szCs w:val="22"/>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FA7B0-52BC-485A-A535-695BDC251422}">
  <ds:schemaRefs/>
</ds:datastoreItem>
</file>

<file path=docProps/app.xml><?xml version="1.0" encoding="utf-8"?>
<Properties xmlns="http://schemas.openxmlformats.org/officeDocument/2006/extended-properties" xmlns:vt="http://schemas.openxmlformats.org/officeDocument/2006/docPropsVTypes">
  <Template>Normal</Template>
  <Pages>50</Pages>
  <Words>12479</Words>
  <Characters>74172</Characters>
  <Lines>634</Lines>
  <Paragraphs>178</Paragraphs>
  <TotalTime>7</TotalTime>
  <ScaleCrop>false</ScaleCrop>
  <LinksUpToDate>false</LinksUpToDate>
  <CharactersWithSpaces>87079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2026-10-16T02:44:00Z</dcterms:created>
  <dc:creator>DSE PY31193</dc:creator>
  <cp:lastModifiedBy>M J KAVIN VENTHAN</cp:lastModifiedBy>
  <cp:lastPrinted>2026-10-17T07:57:00Z</cp:lastPrinted>
  <dcterms:modified xsi:type="dcterms:W3CDTF">2026-10-19T06:06:30Z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eyJoZGlkIjoiMTFiYzU0NzU5NjAwNzk2N2ExZmIyZWYxYTQ1NzI3NjYiLCJ1c2VySWQiOiI1Njc0NjEwOTAyNjIifQ==</vt:lpwstr>
  </property>
  <property fmtid="{D5CDD505-2E9C-101B-9397-08002B2CF9AE}" pid="3" name="KSOProductBuildVer">
    <vt:lpwstr>1033-12.1.0.29162</vt:lpwstr>
  </property>
  <property fmtid="{D5CDD505-2E9C-101B-9397-08002B2CF9AE}" pid="4" name="ICV">
    <vt:lpwstr>C6AEBB7ED8E64D7FB632BA457337913E_12</vt:lpwstr>
  </property>
</Properties>
</file>