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e6b575b93163b573788b32fce1c225652d1236a"/>
    <w:p>
      <w:pPr>
        <w:pStyle w:val="Heading1"/>
      </w:pPr>
      <w:r>
        <w:t xml:space="preserve">Dynamic Linear Election Model for Icelandic Parliamentary Elections Forecast</w:t>
      </w:r>
    </w:p>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adjusting for polling house effects, accounting for overdispersion, and modeling the impact of significant political events.</w:t>
      </w:r>
    </w:p>
    <w:bookmarkEnd w:id="20"/>
    <w:bookmarkStart w:id="28"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accounts for variations between different polling houses, incorporates overdispersion, and includes the effect of notable political events.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r>
        <w:t xml:space="preserve">.</w:t>
      </w:r>
    </w:p>
    <w:p>
      <w:pPr>
        <w:pStyle w:val="Compact"/>
        <w:numPr>
          <w:ilvl w:val="0"/>
          <w:numId w:val="1001"/>
        </w:numPr>
      </w:pPr>
      <m:oMath>
        <m:sSub>
          <m:e>
            <m:r>
              <m:t>s</m:t>
            </m:r>
          </m:e>
          <m:sub>
            <m:r>
              <m:t>t</m:t>
            </m:r>
          </m:sub>
        </m:sSub>
      </m:oMath>
      <w:r>
        <w:t xml:space="preserve">: Indicator variable for the occurrence of the political event at time</w:t>
      </w:r>
      <w:r>
        <w:t xml:space="preserve"> </w:t>
      </w:r>
      <m:oMath>
        <m:r>
          <m:t>t</m:t>
        </m:r>
      </m:oMath>
      <w:r>
        <w:t xml:space="preserve">.</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w:t>
      </w:r>
    </w:p>
    <w:p>
      <w:pPr>
        <w:pStyle w:val="Compact"/>
        <w:numPr>
          <w:ilvl w:val="0"/>
          <w:numId w:val="1002"/>
        </w:numPr>
      </w:pPr>
      <m:oMath>
        <m:sSub>
          <m:e>
            <m:r>
              <m:t>σ</m:t>
            </m:r>
          </m:e>
          <m:sub>
            <m:r>
              <m:t>p</m:t>
            </m:r>
          </m:sub>
        </m:sSub>
      </m:oMath>
      <w:r>
        <w:t xml:space="preserve">: Scale parameter for the random walk of party</w:t>
      </w:r>
      <w:r>
        <w:t xml:space="preserve"> </w:t>
      </w:r>
      <m:oMath>
        <m:r>
          <m:t>p</m:t>
        </m:r>
      </m:oMath>
      <w:r>
        <w:t xml:space="preserve">.</w:t>
      </w:r>
    </w:p>
    <w:p>
      <w:pPr>
        <w:pStyle w:val="Compact"/>
        <w:numPr>
          <w:ilvl w:val="0"/>
          <w:numId w:val="1002"/>
        </w:numPr>
      </w:pPr>
      <m:oMath>
        <m:r>
          <m:t>ϕ</m:t>
        </m:r>
      </m:oMath>
      <w:r>
        <w:t xml:space="preserve">: Overdispersion parameter.</w:t>
      </w:r>
    </w:p>
    <w:p>
      <w:pPr>
        <w:pStyle w:val="Compact"/>
        <w:numPr>
          <w:ilvl w:val="0"/>
          <w:numId w:val="1002"/>
        </w:numPr>
      </w:pPr>
      <m:oMath>
        <m:sSubSup>
          <m:e>
            <m:r>
              <m:t>β</m:t>
            </m:r>
          </m:e>
          <m:sub>
            <m:r>
              <m:t>p</m:t>
            </m:r>
          </m:sub>
          <m:sup>
            <m:r>
              <m:rPr>
                <m:nor/>
                <m:sty m:val="p"/>
              </m:rPr>
              <m:t>event</m:t>
            </m:r>
          </m:sup>
        </m:sSubSup>
      </m:oMath>
      <w:r>
        <w:t xml:space="preserve">: Effect of a significant political event for party</w:t>
      </w:r>
      <w:r>
        <w:t xml:space="preserve"> </w:t>
      </w:r>
      <m:oMath>
        <m:r>
          <m:t>p</m:t>
        </m:r>
      </m:oMath>
      <w:r>
        <w:t xml:space="preserve">.</w:t>
      </w:r>
    </w:p>
    <w:p>
      <w:pPr>
        <w:pStyle w:val="Compact"/>
        <w:numPr>
          <w:ilvl w:val="0"/>
          <w:numId w:val="1002"/>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2"/>
    <w:bookmarkEnd w:id="23"/>
    <w:bookmarkStart w:id="24" w:name="dynamic-party-effects"/>
    <w:p>
      <w:pPr>
        <w:pStyle w:val="Heading3"/>
      </w:pPr>
      <w:r>
        <w:t xml:space="preserve">Dynamic Party Effects</w:t>
      </w:r>
    </w:p>
    <w:p>
      <w:pPr>
        <w:pStyle w:val="FirstParagraph"/>
      </w:pPr>
      <w:r>
        <w:t xml:space="preserve">The latent support for each party evolves over time following a random walk with Student’s t-distributed innovations:</w:t>
      </w:r>
    </w:p>
    <w:p>
      <w:pPr>
        <w:pStyle w:val="BodyText"/>
      </w:pPr>
      <m:oMathPara>
        <m:oMathParaPr>
          <m:jc m:val="center"/>
        </m:oMathParaPr>
        <m:oMath>
          <m:sSub>
            <m:e>
              <m:r>
                <m:t>β</m:t>
              </m:r>
            </m:e>
            <m:sub>
              <m:r>
                <m:t>p</m:t>
              </m:r>
              <m:r>
                <m:rPr>
                  <m:sty m:val="p"/>
                </m:rPr>
                <m:t>,</m:t>
              </m:r>
              <m:r>
                <m:t>1</m:t>
              </m:r>
            </m:sub>
          </m:sSub>
          <m:r>
            <m:rPr>
              <m:sty m:val="p"/>
            </m:rPr>
            <m:t>=</m:t>
          </m:r>
          <m:sSub>
            <m:e>
              <m:r>
                <m:t>β</m:t>
              </m:r>
            </m:e>
            <m:sub>
              <m:r>
                <m:t>0</m:t>
              </m:r>
              <m:r>
                <m:rPr>
                  <m:sty m:val="p"/>
                </m:rPr>
                <m:t>,</m:t>
              </m:r>
              <m:r>
                <m:t>p</m:t>
              </m:r>
            </m:sub>
          </m:sSub>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ϵ</m:t>
              </m:r>
            </m:e>
            <m:sub>
              <m:r>
                <m:t>p</m:t>
              </m:r>
              <m:r>
                <m:rPr>
                  <m:sty m:val="p"/>
                </m:rPr>
                <m:t>,</m:t>
              </m:r>
              <m:r>
                <m:t>t</m:t>
              </m:r>
            </m:sub>
          </m:sSub>
          <m:r>
            <m:t> </m:t>
          </m:r>
          <m:r>
            <m:rPr>
              <m:nor/>
              <m:sty m:val="p"/>
            </m:rPr>
            <m:t>for </m:t>
          </m:r>
          <m:r>
            <m:t>t</m:t>
          </m:r>
          <m:r>
            <m:rPr>
              <m:sty m:val="p"/>
            </m:rPr>
            <m:t>=</m:t>
          </m:r>
          <m:r>
            <m:t>2</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
          <m:e>
            <m:r>
              <m:t>ϵ</m:t>
            </m:r>
          </m:e>
          <m:sub>
            <m:r>
              <m:t>p</m:t>
            </m:r>
            <m:r>
              <m:rPr>
                <m:sty m:val="p"/>
              </m:rPr>
              <m:t>,</m:t>
            </m:r>
            <m:r>
              <m:t>t</m:t>
            </m:r>
          </m:sub>
        </m:sSub>
        <m:r>
          <m:rPr>
            <m:sty m:val="p"/>
          </m:rPr>
          <m:t>∼</m:t>
        </m:r>
        <m:sSub>
          <m:e>
            <m:r>
              <m:t>t</m:t>
            </m:r>
          </m:e>
          <m:sub>
            <m:r>
              <m:t>3</m:t>
            </m:r>
          </m:sub>
        </m:sSub>
        <m:d>
          <m:dPr>
            <m:begChr m:val="("/>
            <m:endChr m:val=")"/>
            <m:sepChr m:val=""/>
            <m:grow/>
          </m:dPr>
          <m:e>
            <m:r>
              <m:t>0</m:t>
            </m:r>
            <m:r>
              <m:rPr>
                <m:sty m:val="p"/>
              </m:rPr>
              <m:t>,</m:t>
            </m:r>
            <m:sSub>
              <m:e>
                <m:r>
                  <m:t>σ</m:t>
                </m:r>
              </m:e>
              <m:sub>
                <m:r>
                  <m:t>p</m:t>
                </m:r>
              </m:sub>
            </m:sSub>
            <m:rad>
              <m:radPr>
                <m:degHide m:val="on"/>
              </m:radPr>
              <m:deg/>
              <m:e>
                <m:sSub>
                  <m:e>
                    <m:r>
                      <m:t>Δ</m:t>
                    </m:r>
                  </m:e>
                  <m:sub>
                    <m:r>
                      <m:t>t</m:t>
                    </m:r>
                  </m:sub>
                </m:sSub>
              </m:e>
            </m:rad>
          </m:e>
        </m:d>
      </m:oMath>
      <w:r>
        <w:t xml:space="preserve">, a Student’s t-distribution with 3 degrees of freedom, scale</w:t>
      </w:r>
      <w:r>
        <w:t xml:space="preserve"> </w:t>
      </w:r>
      <m:oMath>
        <m:sSub>
          <m:e>
            <m:r>
              <m:t>σ</m:t>
            </m:r>
          </m:e>
          <m:sub>
            <m:r>
              <m:t>p</m:t>
            </m:r>
          </m:sub>
        </m:sSub>
        <m:rad>
          <m:radPr>
            <m:degHide m:val="on"/>
          </m:radPr>
          <m:deg/>
          <m:e>
            <m:sSub>
              <m:e>
                <m:r>
                  <m:t>Δ</m:t>
                </m:r>
              </m:e>
              <m:sub>
                <m:r>
                  <m:t>t</m:t>
                </m:r>
              </m:sub>
            </m:sSub>
          </m:e>
        </m:rad>
      </m:oMath>
      <w:r>
        <w:t xml:space="preserve">, and</w:t>
      </w:r>
      <w:r>
        <w:t xml:space="preserve"> </w:t>
      </w:r>
      <m:oMath>
        <m:sSub>
          <m:e>
            <m:r>
              <m:t>Δ</m:t>
            </m:r>
          </m:e>
          <m:sub>
            <m:r>
              <m:t>t</m:t>
            </m:r>
          </m:sub>
        </m:sSub>
      </m:oMath>
      <w:r>
        <w:t xml:space="preserve"> </w:t>
      </w:r>
      <w:r>
        <w:t xml:space="preserve">is the time difference between consecutive polls in days.</w:t>
      </w:r>
    </w:p>
    <w:p>
      <w:pPr>
        <w:pStyle w:val="BodyText"/>
      </w:pPr>
      <m:oMath>
        <m:sSub>
          <m:e>
            <m:r>
              <m:t>β</m:t>
            </m:r>
          </m:e>
          <m:sub>
            <m:r>
              <m:t>p</m:t>
            </m:r>
            <m:r>
              <m:rPr>
                <m:sty m:val="p"/>
              </m:rPr>
              <m:t>,</m:t>
            </m:r>
            <m:r>
              <m:t>T</m:t>
            </m:r>
            <m:r>
              <m:rPr>
                <m:sty m:val="p"/>
              </m:rPr>
              <m:t>+</m:t>
            </m:r>
            <m:r>
              <m:t>1</m:t>
            </m:r>
          </m:sub>
        </m:sSub>
      </m:oMath>
      <w:r>
        <w:t xml:space="preserve"> </w:t>
      </w:r>
      <w:r>
        <w:t xml:space="preserve">is the predicted support for party</w:t>
      </w:r>
      <w:r>
        <w:t xml:space="preserve"> </w:t>
      </w:r>
      <m:oMath>
        <m:r>
          <m:t>p</m:t>
        </m:r>
      </m:oMath>
      <w:r>
        <w:t xml:space="preserve"> </w:t>
      </w:r>
      <w:r>
        <w:t xml:space="preserve">at election day where</w:t>
      </w:r>
      <w:r>
        <w:t xml:space="preserve"> </w:t>
      </w:r>
      <m:oMath>
        <m:sSub>
          <m:e>
            <m:r>
              <m:t>Δ</m:t>
            </m:r>
          </m:e>
          <m:sub>
            <m:r>
              <m:t>T</m:t>
            </m:r>
            <m:r>
              <m:rPr>
                <m:sty m:val="p"/>
              </m:rPr>
              <m:t>+</m:t>
            </m:r>
            <m:r>
              <m:t>1</m:t>
            </m:r>
          </m:sub>
        </m:sSub>
      </m:oMath>
      <w:r>
        <w:t xml:space="preserve"> </w:t>
      </w:r>
      <w:r>
        <w:t xml:space="preserve">is the number of days between the most recent poll and the day of the elections.</w:t>
      </w:r>
    </w:p>
    <w:bookmarkEnd w:id="24"/>
    <w:bookmarkStart w:id="25" w:name="polling-house-effects"/>
    <w:p>
      <w:pPr>
        <w:pStyle w:val="Heading3"/>
      </w:pPr>
      <w:r>
        <w:t xml:space="preserve">Polling House Effects</w:t>
      </w:r>
    </w:p>
    <w:p>
      <w:pPr>
        <w:pStyle w:val="FirstParagraph"/>
      </w:pPr>
      <w:r>
        <w:t xml:space="preserve">Polling house effects are modeled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r>
            <m:rPr>
              <m:sty m:val="p"/>
              <m:scr m:val="script"/>
            </m:rPr>
            <m:t>N</m:t>
          </m:r>
          <m:d>
            <m:dPr>
              <m:begChr m:val="("/>
              <m:endChr m:val=")"/>
              <m:sepChr m:val=""/>
              <m:grow/>
            </m:dPr>
            <m:e>
              <m:r>
                <m:t>0</m:t>
              </m:r>
              <m:r>
                <m:rPr>
                  <m:sty m:val="p"/>
                </m:rPr>
                <m:t>,</m:t>
              </m:r>
              <m:sSubSup>
                <m:e>
                  <m:r>
                    <m:t>σ</m:t>
                  </m:r>
                </m:e>
                <m:sub>
                  <m:r>
                    <m:rPr>
                      <m:nor/>
                      <m:sty m:val="p"/>
                    </m:rPr>
                    <m:t>house</m:t>
                  </m:r>
                </m:sub>
                <m:sup>
                  <m:r>
                    <m:t>2</m:t>
                  </m:r>
                </m:sup>
              </m:sSubSup>
            </m:e>
          </m:d>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 outcomes of elections are coded as the first polling house and thus the first polling house effect is set to zero. The hyperparameter</w:t>
      </w:r>
      <w:r>
        <w:t xml:space="preserve"> </w:t>
      </w:r>
      <m:oMath>
        <m:sSub>
          <m:e>
            <m:r>
              <m:t>σ</m:t>
            </m:r>
          </m:e>
          <m:sub>
            <m:r>
              <m:rPr>
                <m:nor/>
                <m:sty m:val="p"/>
              </m:rPr>
              <m:t>house</m:t>
            </m:r>
          </m:sub>
        </m:sSub>
      </m:oMath>
      <w:r>
        <w:t xml:space="preserve"> </w:t>
      </w:r>
      <w:r>
        <w:t xml:space="preserve">controls the variability of polling house effects.</w:t>
      </w:r>
    </w:p>
    <w:bookmarkEnd w:id="25"/>
    <w:bookmarkStart w:id="26" w:name="political-event-effect"/>
    <w:p>
      <w:pPr>
        <w:pStyle w:val="Heading3"/>
      </w:pPr>
      <w:r>
        <w:t xml:space="preserve">Political Event Effect</w:t>
      </w:r>
    </w:p>
    <w:p>
      <w:pPr>
        <w:pStyle w:val="FirstParagraph"/>
      </w:pPr>
      <w:r>
        <w:t xml:space="preserve">We include an effect for a significant political event (e.g., government collapse):</w:t>
      </w:r>
    </w:p>
    <w:p>
      <w:pPr>
        <w:pStyle w:val="BodyText"/>
      </w:pPr>
      <m:oMathPara>
        <m:oMathParaPr>
          <m:jc m:val="center"/>
        </m:oMathParaPr>
        <m:oMath>
          <m:sSubSup>
            <m:e>
              <m:r>
                <m:t>β</m:t>
              </m:r>
            </m:e>
            <m:sub>
              <m:r>
                <m:t>p</m:t>
              </m:r>
            </m:sub>
            <m:sup>
              <m:r>
                <m:rPr>
                  <m:nor/>
                  <m:sty m:val="p"/>
                </m:rPr>
                <m:t>event</m:t>
              </m:r>
            </m:sup>
          </m:sSubSup>
          <m:r>
            <m:rPr>
              <m:sty m:val="p"/>
            </m:rPr>
            <m:t>∼</m:t>
          </m:r>
          <m:r>
            <m:rPr>
              <m:sty m:val="p"/>
              <m:scr m:val="script"/>
            </m:rPr>
            <m:t>N</m:t>
          </m:r>
          <m:d>
            <m:dPr>
              <m:begChr m:val="("/>
              <m:endChr m:val=")"/>
              <m:sepChr m:val=""/>
              <m:grow/>
            </m:dPr>
            <m:e>
              <m:r>
                <m:t>0</m:t>
              </m:r>
              <m:r>
                <m:rPr>
                  <m:sty m:val="p"/>
                </m:rPr>
                <m:t>,</m:t>
              </m:r>
              <m:sSubSup>
                <m:e>
                  <m:r>
                    <m:t>σ</m:t>
                  </m:r>
                </m:e>
                <m:sub>
                  <m:r>
                    <m:rPr>
                      <m:nor/>
                      <m:sty m:val="p"/>
                    </m:rPr>
                    <m:t>event</m:t>
                  </m:r>
                </m:sub>
                <m:sup>
                  <m:r>
                    <m:t>2</m:t>
                  </m:r>
                </m:sup>
              </m:sSubSup>
            </m:e>
          </m:d>
          <m:r>
            <m:rPr>
              <m:sty m:val="p"/>
            </m:rPr>
            <m:t>,</m:t>
          </m:r>
        </m:oMath>
      </m:oMathPara>
    </w:p>
    <w:p>
      <w:pPr>
        <w:pStyle w:val="FirstParagraph"/>
      </w:pPr>
      <w:r>
        <w:t xml:space="preserve">and incorporate it into the model as:</w:t>
      </w:r>
    </w:p>
    <w:p>
      <w:pPr>
        <w:pStyle w:val="BodyText"/>
      </w:pPr>
      <m:oMathPara>
        <m:oMathParaPr>
          <m:jc m:val="center"/>
        </m:oMathParaPr>
        <m:oMath>
          <m:sSub>
            <m:e>
              <m:r>
                <m:t>η</m:t>
              </m:r>
            </m:e>
            <m:sub>
              <m:r>
                <m:t>n</m:t>
              </m:r>
              <m:r>
                <m:rPr>
                  <m:sty m:val="p"/>
                </m:rPr>
                <m:t>,</m:t>
              </m:r>
              <m:r>
                <m:t>p</m:t>
              </m:r>
            </m:sub>
          </m:sSub>
          <m:r>
            <m:rPr>
              <m:sty m:val="p"/>
            </m:rPr>
            <m:t>=</m:t>
          </m:r>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r>
            <m:rPr>
              <m:sty m:val="p"/>
            </m:rPr>
            <m:t>+</m:t>
          </m:r>
          <m:sSubSup>
            <m:e>
              <m:r>
                <m:t>β</m:t>
              </m:r>
            </m:e>
            <m:sub>
              <m:r>
                <m:t>p</m:t>
              </m:r>
            </m:sub>
            <m:sup>
              <m:r>
                <m:rPr>
                  <m:nor/>
                  <m:sty m:val="p"/>
                </m:rPr>
                <m:t>event</m:t>
              </m:r>
            </m:sup>
          </m:sSubSup>
          <m:r>
            <m:rPr>
              <m:sty m:val="p"/>
            </m:rPr>
            <m:t>×</m:t>
          </m:r>
          <m:sSub>
            <m:e>
              <m:r>
                <m:t>s</m:t>
              </m:r>
            </m:e>
            <m:sub>
              <m:sSub>
                <m:e>
                  <m:r>
                    <m:t>t</m:t>
                  </m:r>
                </m:e>
                <m:sub>
                  <m:r>
                    <m:t>n</m:t>
                  </m:r>
                </m:sub>
              </m:sSub>
            </m:sub>
          </m:sSub>
          <m:r>
            <m:rPr>
              <m:sty m:val="p"/>
            </m:rPr>
            <m:t>,</m:t>
          </m:r>
        </m:oMath>
      </m:oMathPara>
    </w:p>
    <w:p>
      <w:pPr>
        <w:pStyle w:val="FirstParagraph"/>
      </w:pPr>
      <w:r>
        <w:t xml:space="preserve">where</w:t>
      </w:r>
      <w:r>
        <w:t xml:space="preserve"> </w:t>
      </w:r>
      <m:oMath>
        <m:sSub>
          <m:e>
            <m:r>
              <m:t>s</m:t>
            </m:r>
          </m:e>
          <m:sub>
            <m:sSub>
              <m:e>
                <m:r>
                  <m:t>t</m:t>
                </m:r>
              </m:e>
              <m:sub>
                <m:r>
                  <m:t>n</m:t>
                </m:r>
              </m:sub>
            </m:sSub>
          </m:sub>
        </m:sSub>
      </m:oMath>
      <w:r>
        <w:t xml:space="preserve"> </w:t>
      </w:r>
      <w:r>
        <w:t xml:space="preserve">is an indicator (typically 0 or 1) denoting the occurrence of the event at time</w:t>
      </w:r>
      <w:r>
        <w:t xml:space="preserve"> </w:t>
      </w:r>
      <m:oMath>
        <m:sSub>
          <m:e>
            <m:r>
              <m:t>t</m:t>
            </m:r>
          </m:e>
          <m:sub>
            <m:r>
              <m:t>n</m:t>
            </m:r>
          </m:sub>
        </m:sSub>
      </m:oMath>
      <w:r>
        <w:t xml:space="preserve">.</w:t>
      </w:r>
    </w:p>
    <w:bookmarkEnd w:id="26"/>
    <w:bookmarkStart w:id="27"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 This parameter adjusts the concentration of the Dirichlet-Multinomial distribution where a larger value of</w:t>
      </w:r>
      <w:r>
        <w:t xml:space="preserve"> </w:t>
      </w:r>
      <m:oMath>
        <m:sSub>
          <m:e>
            <m:r>
              <m:t>ϕ</m:t>
            </m:r>
          </m:e>
          <m:sub>
            <m:r>
              <m:rPr>
                <m:nor/>
                <m:sty m:val="p"/>
              </m:rPr>
              <m:t>inv</m:t>
            </m:r>
          </m:sub>
        </m:sSub>
      </m:oMath>
      <w:r>
        <w:t xml:space="preserve"> </w:t>
      </w:r>
      <w:r>
        <w:t xml:space="preserve">implies greater dispersion (more observational variance) and a smaller value of</w:t>
      </w:r>
      <w:r>
        <w:t xml:space="preserve"> </w:t>
      </w:r>
      <m:oMath>
        <m:sSub>
          <m:e>
            <m:r>
              <m:t>ϕ</m:t>
            </m:r>
          </m:e>
          <m:sub>
            <m:r>
              <m:rPr>
                <m:nor/>
                <m:sty m:val="p"/>
              </m:rPr>
              <m:t>inv</m:t>
            </m:r>
          </m:sub>
        </m:sSub>
      </m:oMath>
      <w:r>
        <w:t xml:space="preserve"> </w:t>
      </w:r>
      <w:r>
        <w:t xml:space="preserve">implies less overdispersion.</w:t>
      </w:r>
    </w:p>
    <w:bookmarkEnd w:id="27"/>
    <w:bookmarkEnd w:id="28"/>
    <w:bookmarkStart w:id="29"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r>
          <m:rPr>
            <m:sty m:val="p"/>
          </m:rPr>
          <m:t>=</m:t>
        </m:r>
        <m:d>
          <m:dPr>
            <m:begChr m:val="("/>
            <m:endChr m:val=")"/>
            <m:sepChr m:val=""/>
            <m:grow/>
          </m:dPr>
          <m:e>
            <m:sSub>
              <m:e>
                <m:r>
                  <m:t>η</m:t>
                </m:r>
              </m:e>
              <m:sub>
                <m:r>
                  <m:t>n</m:t>
                </m:r>
                <m:r>
                  <m:rPr>
                    <m:sty m:val="p"/>
                  </m:rPr>
                  <m:t>,</m:t>
                </m:r>
                <m:r>
                  <m:t>1</m:t>
                </m:r>
              </m:sub>
            </m:sSub>
            <m:r>
              <m:rPr>
                <m:sty m:val="p"/>
              </m:rPr>
              <m:t>,</m:t>
            </m:r>
            <m:r>
              <m:rPr>
                <m:sty m:val="p"/>
              </m:rPr>
              <m:t>…</m:t>
            </m:r>
            <m:r>
              <m:rPr>
                <m:sty m:val="p"/>
              </m:rPr>
              <m:t>,</m:t>
            </m:r>
            <m:sSub>
              <m:e>
                <m:r>
                  <m:t>η</m:t>
                </m:r>
              </m:e>
              <m:sub>
                <m:r>
                  <m:t>n</m:t>
                </m:r>
                <m:r>
                  <m:rPr>
                    <m:sty m:val="p"/>
                  </m:rPr>
                  <m:t>,</m:t>
                </m:r>
                <m:r>
                  <m:t>P</m:t>
                </m:r>
              </m:sub>
            </m:sSub>
          </m:e>
        </m:d>
      </m:oMath>
      <w:r>
        <w:t xml:space="preserve"> </w:t>
      </w:r>
      <w:r>
        <w:t xml:space="preserve">includes the latent support, polling house effect, and event effect for each party:</w:t>
      </w:r>
    </w:p>
    <w:p>
      <w:pPr>
        <w:pStyle w:val="BodyText"/>
      </w:pPr>
      <m:oMathPara>
        <m:oMathParaPr>
          <m:jc m:val="center"/>
        </m:oMathParaPr>
        <m:oMath>
          <m:sSub>
            <m:e>
              <m:r>
                <m:t>η</m:t>
              </m:r>
            </m:e>
            <m:sub>
              <m:r>
                <m:t>n</m:t>
              </m:r>
              <m:r>
                <m:rPr>
                  <m:sty m:val="p"/>
                </m:rPr>
                <m:t>,</m:t>
              </m:r>
              <m:r>
                <m:t>p</m:t>
              </m:r>
            </m:sub>
          </m:sSub>
          <m:r>
            <m:rPr>
              <m:sty m:val="p"/>
            </m:rPr>
            <m:t>=</m:t>
          </m:r>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r>
            <m:rPr>
              <m:sty m:val="p"/>
            </m:rPr>
            <m:t>+</m:t>
          </m:r>
          <m:sSubSup>
            <m:e>
              <m:r>
                <m:t>β</m:t>
              </m:r>
            </m:e>
            <m:sub>
              <m:r>
                <m:t>p</m:t>
              </m:r>
            </m:sub>
            <m:sup>
              <m:r>
                <m:rPr>
                  <m:nor/>
                  <m:sty m:val="p"/>
                </m:rPr>
                <m:t>event</m:t>
              </m:r>
            </m:sup>
          </m:sSubSup>
          <m:r>
            <m:rPr>
              <m:sty m:val="p"/>
            </m:rPr>
            <m:t>×</m:t>
          </m:r>
          <m:sSub>
            <m:e>
              <m:r>
                <m:t>s</m:t>
              </m:r>
            </m:e>
            <m:sub>
              <m:sSub>
                <m:e>
                  <m:r>
                    <m:t>t</m:t>
                  </m:r>
                </m:e>
                <m:sub>
                  <m:r>
                    <m:t>n</m:t>
                  </m:r>
                </m:sub>
              </m:sSub>
            </m:sub>
          </m:sSub>
          <m:r>
            <m:rPr>
              <m:sty m:val="p"/>
            </m:rPr>
            <m:t>.</m:t>
          </m:r>
        </m:oMath>
      </m:oMathPara>
    </w:p>
    <w:p>
      <w:pPr>
        <w:pStyle w:val="FirstParagraph"/>
      </w:pPr>
      <w:r>
        <w:t xml:space="preserve">Here,</w:t>
      </w:r>
      <w:r>
        <w:t xml:space="preserve"> </w:t>
      </w:r>
      <m:oMath>
        <m:sSub>
          <m:e>
            <m:r>
              <m:t>t</m:t>
            </m:r>
          </m:e>
          <m:sub>
            <m:r>
              <m:t>n</m:t>
            </m:r>
          </m:sub>
        </m:sSub>
      </m:oMath>
      <w:r>
        <w:t xml:space="preserve"> </w:t>
      </w:r>
      <w:r>
        <w:t xml:space="preserve">is the date of poll</w:t>
      </w:r>
      <w:r>
        <w:t xml:space="preserve"> </w:t>
      </w:r>
      <m:oMath>
        <m:r>
          <m:t>n</m:t>
        </m:r>
      </m:oMath>
      <w:r>
        <w:t xml:space="preserve">, and</w:t>
      </w:r>
      <w:r>
        <w:t xml:space="preserve"> </w:t>
      </w:r>
      <m:oMath>
        <m:sSub>
          <m:e>
            <m:r>
              <m:t>h</m:t>
            </m:r>
          </m:e>
          <m:sub>
            <m:r>
              <m:t>n</m:t>
            </m:r>
          </m:sub>
        </m:sSub>
      </m:oMath>
      <w:r>
        <w:t xml:space="preserve"> </w:t>
      </w:r>
      <w:r>
        <w:t xml:space="preserve">is the polling house of poll</w:t>
      </w:r>
      <w:r>
        <w:t xml:space="preserve"> </w:t>
      </w:r>
      <m:oMath>
        <m:r>
          <m:t>n</m:t>
        </m:r>
      </m:oMath>
      <w:r>
        <w:t xml:space="preserve">.</w:t>
      </w:r>
    </w:p>
    <w:bookmarkEnd w:id="29"/>
    <w:bookmarkStart w:id="30" w:name="predictions"/>
    <w:p>
      <w:pPr>
        <w:pStyle w:val="Heading2"/>
      </w:pPr>
      <w:r>
        <w:t xml:space="preserve">Predictions</w:t>
      </w:r>
    </w:p>
    <w:p>
      <w:pPr>
        <w:pStyle w:val="FirstParagraph"/>
      </w:pPr>
      <w:r>
        <w:t xml:space="preserve">We then predict the true latent party support as</w:t>
      </w:r>
    </w:p>
    <w:p>
      <w:pPr>
        <w:pStyle w:val="BodyText"/>
      </w:pPr>
      <m:oMathPara>
        <m:oMathParaPr>
          <m:jc m:val="center"/>
        </m:oMathParaPr>
        <m:oMath>
          <m:sSubSup>
            <m:e>
              <m:r>
                <m:rPr>
                  <m:sty m:val="b"/>
                </m:rPr>
                <m:t>y</m:t>
              </m:r>
            </m:e>
            <m:sub>
              <m:r>
                <m:t>t</m:t>
              </m:r>
            </m:sub>
            <m:sup>
              <m:r>
                <m:rPr>
                  <m:sty m:val="p"/>
                </m:rPr>
                <m:t>*</m:t>
              </m:r>
            </m:sup>
          </m:sSubSup>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Sup>
                <m:e>
                  <m:r>
                    <m:rPr>
                      <m:sty m:val="b"/>
                    </m:rPr>
                    <m:t>π</m:t>
                  </m:r>
                </m:e>
                <m:sub>
                  <m:r>
                    <m:t>t</m:t>
                  </m:r>
                </m:sub>
                <m:sup>
                  <m:r>
                    <m:rPr>
                      <m:sty m:val="p"/>
                    </m:rPr>
                    <m:t>*</m:t>
                  </m:r>
                </m:sup>
              </m:sSubSup>
            </m:e>
          </m:d>
          <m:r>
            <m:rPr>
              <m:sty m:val="p"/>
            </m:rPr>
            <m:t>,</m:t>
          </m:r>
        </m:oMath>
      </m:oMathPara>
    </w:p>
    <w:p>
      <w:pPr>
        <w:pStyle w:val="FirstParagraph"/>
      </w:pPr>
      <w:r>
        <w:t xml:space="preserve">where</w:t>
      </w:r>
      <w:r>
        <w:t xml:space="preserve"> </w:t>
      </w:r>
      <m:oMath>
        <m:sSubSup>
          <m:e>
            <m:r>
              <m:rPr>
                <m:sty m:val="b"/>
              </m:rPr>
              <m:t>π</m:t>
            </m:r>
          </m:e>
          <m:sub>
            <m:r>
              <m:t>t</m:t>
            </m:r>
          </m:sub>
          <m:sup>
            <m:r>
              <m:rPr>
                <m:sty m:val="p"/>
              </m:rPr>
              <m:t>*</m:t>
            </m:r>
          </m:sup>
        </m:sSubSup>
        <m:r>
          <m:rPr>
            <m:sty m:val="p"/>
          </m:rPr>
          <m:t>=</m:t>
        </m:r>
        <m:r>
          <m:rPr>
            <m:nor/>
            <m:sty m:val="p"/>
          </m:rPr>
          <m:t>softmax</m:t>
        </m:r>
        <m:d>
          <m:dPr>
            <m:begChr m:val="("/>
            <m:endChr m:val=")"/>
            <m:sepChr m:val=""/>
            <m:grow/>
          </m:dPr>
          <m:e>
            <m:sSubSup>
              <m:e>
                <m:r>
                  <m:rPr>
                    <m:sty m:val="b"/>
                  </m:rPr>
                  <m:t>η</m:t>
                </m:r>
              </m:e>
              <m:sub>
                <m:r>
                  <m:t>t</m:t>
                </m:r>
              </m:sub>
              <m:sup>
                <m:r>
                  <m:rPr>
                    <m:sty m:val="p"/>
                  </m:rPr>
                  <m:t>*</m:t>
                </m:r>
              </m:sup>
            </m:sSubSup>
          </m:e>
        </m:d>
      </m:oMath>
      <w:r>
        <w:t xml:space="preserve"> </w:t>
      </w:r>
      <w:r>
        <w:t xml:space="preserve">and</w:t>
      </w:r>
      <w:r>
        <w:t xml:space="preserve"> </w:t>
      </w:r>
      <m:oMath>
        <m:sSubSup>
          <m:e>
            <m:r>
              <m:rPr>
                <m:sty m:val="b"/>
              </m:rPr>
              <m:t>η</m:t>
            </m:r>
          </m:e>
          <m:sub>
            <m:r>
              <m:t>t</m:t>
            </m:r>
          </m:sub>
          <m:sup>
            <m:r>
              <m:rPr>
                <m:sty m:val="p"/>
              </m:rPr>
              <m:t>*</m:t>
            </m:r>
          </m:sup>
        </m:sSubSup>
        <m:r>
          <m:rPr>
            <m:sty m:val="p"/>
          </m:rPr>
          <m:t>=</m:t>
        </m:r>
        <m:d>
          <m:dPr>
            <m:begChr m:val="("/>
            <m:endChr m:val=")"/>
            <m:sepChr m:val=""/>
            <m:grow/>
          </m:dPr>
          <m:e>
            <m:sSubSup>
              <m:e>
                <m:r>
                  <m:t>η</m:t>
                </m:r>
              </m:e>
              <m:sub>
                <m:r>
                  <m:t>t</m:t>
                </m:r>
                <m:r>
                  <m:rPr>
                    <m:sty m:val="p"/>
                  </m:rPr>
                  <m:t>,</m:t>
                </m:r>
                <m:r>
                  <m:t>1</m:t>
                </m:r>
              </m:sub>
              <m:sup>
                <m:r>
                  <m:rPr>
                    <m:sty m:val="p"/>
                  </m:rPr>
                  <m:t>*</m:t>
                </m:r>
              </m:sup>
            </m:sSubSup>
            <m:r>
              <m:rPr>
                <m:sty m:val="p"/>
              </m:rPr>
              <m:t>,</m:t>
            </m:r>
            <m:r>
              <m:rPr>
                <m:sty m:val="p"/>
              </m:rPr>
              <m:t>…</m:t>
            </m:r>
            <m:r>
              <m:rPr>
                <m:sty m:val="p"/>
              </m:rPr>
              <m:t>,</m:t>
            </m:r>
            <m:sSubSup>
              <m:e>
                <m:r>
                  <m:t>η</m:t>
                </m:r>
              </m:e>
              <m:sub>
                <m:r>
                  <m:t>t</m:t>
                </m:r>
                <m:r>
                  <m:rPr>
                    <m:sty m:val="p"/>
                  </m:rPr>
                  <m:t>,</m:t>
                </m:r>
                <m:r>
                  <m:t>P</m:t>
                </m:r>
              </m:sub>
              <m:sup>
                <m:r>
                  <m:rPr>
                    <m:sty m:val="p"/>
                  </m:rPr>
                  <m:t>*</m:t>
                </m:r>
              </m:sup>
            </m:sSubSup>
          </m:e>
        </m:d>
      </m:oMath>
      <w:r>
        <w:t xml:space="preserve"> </w:t>
      </w:r>
      <w:r>
        <w:t xml:space="preserve">includes the latent support and event effect for each party, but not the house effects:</w:t>
      </w:r>
    </w:p>
    <w:p>
      <w:pPr>
        <w:pStyle w:val="BodyText"/>
      </w:pPr>
      <m:oMathPara>
        <m:oMathParaPr>
          <m:jc m:val="center"/>
        </m:oMathParaPr>
        <m:oMath>
          <m:sSubSup>
            <m:e>
              <m:r>
                <m:t>η</m:t>
              </m:r>
            </m:e>
            <m:sub>
              <m:r>
                <m:t>t</m:t>
              </m:r>
              <m:r>
                <m:rPr>
                  <m:sty m:val="p"/>
                </m:rPr>
                <m:t>,</m:t>
              </m:r>
              <m:r>
                <m:t>p</m:t>
              </m:r>
            </m:sub>
            <m:sup>
              <m:r>
                <m:rPr>
                  <m:sty m:val="p"/>
                </m:rPr>
                <m:t>*</m:t>
              </m:r>
            </m:sup>
          </m:sSubSup>
          <m:r>
            <m:rPr>
              <m:sty m:val="p"/>
            </m:rPr>
            <m:t>=</m:t>
          </m:r>
          <m:sSub>
            <m:e>
              <m:r>
                <m:t>β</m:t>
              </m:r>
            </m:e>
            <m:sub>
              <m:r>
                <m:t>p</m:t>
              </m:r>
              <m:r>
                <m:rPr>
                  <m:sty m:val="p"/>
                </m:rPr>
                <m:t>,</m:t>
              </m:r>
              <m:r>
                <m:t>t</m:t>
              </m:r>
            </m:sub>
          </m:sSub>
          <m:r>
            <m:rPr>
              <m:sty m:val="p"/>
            </m:rPr>
            <m:t>+</m:t>
          </m:r>
          <m:sSubSup>
            <m:e>
              <m:r>
                <m:t>β</m:t>
              </m:r>
            </m:e>
            <m:sub>
              <m:r>
                <m:t>p</m:t>
              </m:r>
            </m:sub>
            <m:sup>
              <m:r>
                <m:rPr>
                  <m:nor/>
                  <m:sty m:val="p"/>
                </m:rPr>
                <m:t>event</m:t>
              </m:r>
            </m:sup>
          </m:sSubSup>
          <m:r>
            <m:rPr>
              <m:sty m:val="p"/>
            </m:rPr>
            <m:t>×</m:t>
          </m:r>
          <m:sSub>
            <m:e>
              <m:r>
                <m:t>s</m:t>
              </m:r>
            </m:e>
            <m:sub>
              <m:r>
                <m:t>t</m:t>
              </m:r>
            </m:sub>
          </m:sSub>
          <m:r>
            <m:rPr>
              <m:sty m:val="p"/>
            </m:rPr>
            <m:t>.</m:t>
          </m:r>
        </m:oMath>
      </m:oMathPara>
    </w:p>
    <w:bookmarkEnd w:id="30"/>
    <w:bookmarkStart w:id="31"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
          <m:e>
            <m:r>
              <m:t>β</m:t>
            </m:r>
          </m:e>
          <m:sub>
            <m:r>
              <m:t>0</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03"/>
        </w:numPr>
      </w:pPr>
      <w:r>
        <w:rPr>
          <w:b/>
          <w:bCs/>
        </w:rPr>
        <w:t xml:space="preserve">Random Walk Innovations</w:t>
      </w:r>
      <w:r>
        <w:t xml:space="preserve">:</w:t>
      </w:r>
      <w:r>
        <w:t xml:space="preserve"> </w:t>
      </w:r>
      <m:oMath>
        <m:sSub>
          <m:e>
            <m:r>
              <m:t>ϵ</m:t>
            </m:r>
          </m:e>
          <m:sub>
            <m:r>
              <m:t>p</m:t>
            </m:r>
            <m:r>
              <m:rPr>
                <m:sty m:val="p"/>
              </m:rPr>
              <m:t>,</m:t>
            </m:r>
            <m:r>
              <m:t>t</m:t>
            </m:r>
          </m:sub>
        </m:sSub>
        <m:r>
          <m:rPr>
            <m:sty m:val="p"/>
          </m:rPr>
          <m:t>∼</m:t>
        </m:r>
        <m:sSub>
          <m:e>
            <m:r>
              <m:t>t</m:t>
            </m:r>
          </m:e>
          <m:sub>
            <m:r>
              <m:t>3</m:t>
            </m:r>
          </m:sub>
        </m:sSub>
        <m:d>
          <m:dPr>
            <m:begChr m:val="("/>
            <m:endChr m:val=")"/>
            <m:sepChr m:val=""/>
            <m:grow/>
          </m:dPr>
          <m:e>
            <m:r>
              <m:t>0</m:t>
            </m:r>
            <m:r>
              <m:rPr>
                <m:sty m:val="p"/>
              </m:rPr>
              <m:t>,</m:t>
            </m:r>
            <m:sSub>
              <m:e>
                <m:r>
                  <m:t>σ</m:t>
                </m:r>
              </m:e>
              <m:sub>
                <m:r>
                  <m:t>p</m:t>
                </m:r>
              </m:sub>
            </m:sSub>
            <m:rad>
              <m:radPr>
                <m:degHide m:val="on"/>
              </m:radPr>
              <m:deg/>
              <m:e>
                <m:sSub>
                  <m:e>
                    <m:r>
                      <m:t>Δ</m:t>
                    </m:r>
                  </m:e>
                  <m:sub>
                    <m:r>
                      <m:t>t</m:t>
                    </m:r>
                  </m:sub>
                </m:sSub>
              </m:e>
            </m:rad>
          </m:e>
        </m:d>
      </m:oMath>
      <w:r>
        <w:t xml:space="preserve">.</w:t>
      </w:r>
    </w:p>
    <w:p>
      <w:pPr>
        <w:pStyle w:val="Compact"/>
        <w:numPr>
          <w:ilvl w:val="0"/>
          <w:numId w:val="1003"/>
        </w:numPr>
      </w:pPr>
      <w:r>
        <w:rPr>
          <w:b/>
          <w:bCs/>
        </w:rPr>
        <w:t xml:space="preserve">Polling House Effects</w:t>
      </w:r>
      <w:r>
        <w:t xml:space="preserve">:</w:t>
      </w:r>
      <w:r>
        <w:t xml:space="preserve"> </w:t>
      </w:r>
      <m:oMath>
        <m:sSub>
          <m:e>
            <m:r>
              <m:t>γ</m:t>
            </m:r>
          </m:e>
          <m:sub>
            <m:r>
              <m:t>p</m:t>
            </m:r>
            <m:r>
              <m:rPr>
                <m:sty m:val="p"/>
              </m:rPr>
              <m:t>,</m:t>
            </m:r>
            <m:r>
              <m:t>h</m:t>
            </m:r>
          </m:sub>
        </m:sSub>
        <m:r>
          <m:rPr>
            <m:sty m:val="p"/>
          </m:rPr>
          <m:t>∼</m:t>
        </m:r>
        <m:r>
          <m:rPr>
            <m:sty m:val="p"/>
            <m:scr m:val="script"/>
          </m:rPr>
          <m:t>N</m:t>
        </m:r>
        <m:d>
          <m:dPr>
            <m:begChr m:val="("/>
            <m:endChr m:val=")"/>
            <m:sepChr m:val=""/>
            <m:grow/>
          </m:dPr>
          <m:e>
            <m:r>
              <m:t>0</m:t>
            </m:r>
            <m:r>
              <m:rPr>
                <m:sty m:val="p"/>
              </m:rPr>
              <m:t>,</m:t>
            </m:r>
            <m:sSubSup>
              <m:e>
                <m:r>
                  <m:t>σ</m:t>
                </m:r>
              </m:e>
              <m:sub>
                <m:r>
                  <m:rPr>
                    <m:nor/>
                    <m:sty m:val="p"/>
                  </m:rPr>
                  <m:t>house</m:t>
                </m:r>
              </m:sub>
              <m:sup>
                <m:r>
                  <m:t>2</m:t>
                </m:r>
              </m:sup>
            </m:sSubSup>
          </m:e>
        </m:d>
      </m:oMath>
      <w:r>
        <w:t xml:space="preserve"> </w:t>
      </w:r>
      <w:r>
        <w:t xml:space="preserve">for</w:t>
      </w:r>
      <w:r>
        <w:t xml:space="preserve"> </w:t>
      </w:r>
      <m:oMath>
        <m:r>
          <m:t>h</m:t>
        </m:r>
        <m:r>
          <m:rPr>
            <m:sty m:val="p"/>
          </m:rPr>
          <m:t>=</m:t>
        </m:r>
        <m:r>
          <m:t>2</m:t>
        </m:r>
        <m:r>
          <m:rPr>
            <m:sty m:val="p"/>
          </m:rPr>
          <m:t>,</m:t>
        </m:r>
        <m:r>
          <m:rPr>
            <m:sty m:val="p"/>
          </m:rPr>
          <m:t>…</m:t>
        </m:r>
        <m:r>
          <m:rPr>
            <m:sty m:val="p"/>
          </m:rPr>
          <m:t>,</m:t>
        </m:r>
        <m:r>
          <m:t>H</m:t>
        </m:r>
      </m:oMath>
      <w:r>
        <w:t xml:space="preserve">.</w:t>
      </w:r>
    </w:p>
    <w:p>
      <w:pPr>
        <w:pStyle w:val="Compact"/>
        <w:numPr>
          <w:ilvl w:val="0"/>
          <w:numId w:val="1003"/>
        </w:numPr>
      </w:pPr>
      <w:r>
        <w:rPr>
          <w:b/>
          <w:bCs/>
        </w:rPr>
        <w:t xml:space="preserve">Scale Parameters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r>
        <w:t xml:space="preserve">.</w:t>
      </w:r>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p>
      <w:pPr>
        <w:pStyle w:val="Compact"/>
        <w:numPr>
          <w:ilvl w:val="0"/>
          <w:numId w:val="1003"/>
        </w:numPr>
      </w:pPr>
      <w:r>
        <w:rPr>
          <w:b/>
          <w:bCs/>
        </w:rPr>
        <w:t xml:space="preserve">Event Effects</w:t>
      </w:r>
      <w:r>
        <w:t xml:space="preserve">:</w:t>
      </w:r>
      <w:r>
        <w:t xml:space="preserve"> </w:t>
      </w:r>
      <m:oMath>
        <m:sSubSup>
          <m:e>
            <m:r>
              <m:t>β</m:t>
            </m:r>
          </m:e>
          <m:sub>
            <m:r>
              <m:t>p</m:t>
            </m:r>
          </m:sub>
          <m:sup>
            <m:r>
              <m:rPr>
                <m:nor/>
                <m:sty m:val="p"/>
              </m:rPr>
              <m:t>event</m:t>
            </m:r>
          </m:sup>
        </m:sSubSup>
        <m:r>
          <m:rPr>
            <m:sty m:val="p"/>
          </m:rPr>
          <m:t>∼</m:t>
        </m:r>
        <m:r>
          <m:rPr>
            <m:sty m:val="p"/>
            <m:scr m:val="script"/>
          </m:rPr>
          <m:t>N</m:t>
        </m:r>
        <m:d>
          <m:dPr>
            <m:begChr m:val="("/>
            <m:endChr m:val=")"/>
            <m:sepChr m:val=""/>
            <m:grow/>
          </m:dPr>
          <m:e>
            <m:r>
              <m:t>0</m:t>
            </m:r>
            <m:r>
              <m:rPr>
                <m:sty m:val="p"/>
              </m:rPr>
              <m:t>,</m:t>
            </m:r>
            <m:sSubSup>
              <m:e>
                <m:r>
                  <m:t>σ</m:t>
                </m:r>
              </m:e>
              <m:sub>
                <m:r>
                  <m:rPr>
                    <m:nor/>
                    <m:sty m:val="p"/>
                  </m:rPr>
                  <m:t>event</m:t>
                </m:r>
              </m:sub>
              <m:sup>
                <m:r>
                  <m:t>2</m:t>
                </m:r>
              </m:sup>
            </m:sSubSup>
          </m:e>
        </m:d>
      </m:oMath>
      <w:r>
        <w:t xml:space="preserve">.</w:t>
      </w:r>
    </w:p>
    <w:bookmarkEnd w:id="31"/>
    <w:bookmarkStart w:id="32"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w:t>
      </w:r>
      <w:r>
        <w:t xml:space="preserve"> </w:t>
      </w:r>
      <m:oMath>
        <m:sSub>
          <m:e>
            <m:r>
              <m:t>γ</m:t>
            </m:r>
          </m:e>
          <m:sub>
            <m:r>
              <m:t>p</m:t>
            </m:r>
            <m:r>
              <m:rPr>
                <m:sty m:val="p"/>
              </m:rPr>
              <m:t>,</m:t>
            </m:r>
            <m:r>
              <m:t>h</m:t>
            </m:r>
          </m:sub>
        </m:sSub>
      </m:oMath>
      <w:r>
        <w:t xml:space="preserve">, and</w:t>
      </w:r>
      <w:r>
        <w:t xml:space="preserve"> </w:t>
      </w:r>
      <m:oMath>
        <m:sSubSup>
          <m:e>
            <m:r>
              <m:t>β</m:t>
            </m:r>
          </m:e>
          <m:sub>
            <m:r>
              <m:t>p</m:t>
            </m:r>
          </m:sub>
          <m:sup>
            <m:r>
              <m:rPr>
                <m:nor/>
                <m:sty m:val="p"/>
              </m:rPr>
              <m:t>event</m:t>
            </m:r>
          </m:sup>
        </m:sSubSup>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2"/>
    <w:bookmarkStart w:id="33"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r>
            <m:t> </m:t>
          </m:r>
          <m:r>
            <m:t>d</m:t>
          </m:r>
          <m:r>
            <m:rPr>
              <m:sty m:val="p"/>
            </m:rPr>
            <m:t>=</m:t>
          </m:r>
          <m:r>
            <m:t>1</m:t>
          </m:r>
          <m:r>
            <m:rPr>
              <m:sty m:val="p"/>
            </m:rPr>
            <m:t>,</m:t>
          </m:r>
          <m:r>
            <m:rPr>
              <m:sty m:val="p"/>
            </m:rPr>
            <m:t>…</m:t>
          </m:r>
          <m:r>
            <m:rPr>
              <m:sty m:val="p"/>
            </m:rPr>
            <m:t>,</m:t>
          </m:r>
          <m:r>
            <m:t>D</m:t>
          </m:r>
          <m:r>
            <m:rPr>
              <m:sty m:val="p"/>
            </m:rPr>
            <m:t>+</m:t>
          </m:r>
          <m:r>
            <m:t>1</m:t>
          </m:r>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β</m:t>
                </m:r>
              </m:e>
              <m:sub>
                <m:r>
                  <m:t>d</m:t>
                </m:r>
              </m:sub>
            </m:sSub>
          </m:e>
        </m:d>
      </m:oMath>
      <w:r>
        <w:t xml:space="preserve"> </w:t>
      </w:r>
      <w:r>
        <w:t xml:space="preserve">and</w:t>
      </w:r>
      <w:r>
        <w:t xml:space="preserve"> </w:t>
      </w:r>
      <m:oMath>
        <m:sSub>
          <m:e>
            <m:r>
              <m:rPr>
                <m:sty m:val="b"/>
              </m:rPr>
              <m:t>β</m:t>
            </m:r>
          </m:e>
          <m:sub>
            <m:r>
              <m:t>d</m:t>
            </m:r>
          </m:sub>
        </m:sSub>
        <m:r>
          <m:rPr>
            <m:sty m:val="p"/>
          </m:rPr>
          <m:t>=</m:t>
        </m:r>
        <m:d>
          <m:dPr>
            <m:begChr m:val="("/>
            <m:endChr m:val=")"/>
            <m:sepChr m:val=""/>
            <m:grow/>
          </m:dPr>
          <m:e>
            <m:sSub>
              <m:e>
                <m:r>
                  <m:t>β</m:t>
                </m:r>
              </m:e>
              <m:sub>
                <m:r>
                  <m:t>1</m:t>
                </m:r>
                <m:r>
                  <m:rPr>
                    <m:sty m:val="p"/>
                  </m:rPr>
                  <m:t>,</m:t>
                </m:r>
                <m:r>
                  <m:t>d</m:t>
                </m:r>
              </m:sub>
            </m:sSub>
            <m:r>
              <m:rPr>
                <m:sty m:val="p"/>
              </m:rPr>
              <m:t>,</m:t>
            </m:r>
            <m:r>
              <m:rPr>
                <m:sty m:val="p"/>
              </m:rPr>
              <m:t>…</m:t>
            </m:r>
            <m:r>
              <m:rPr>
                <m:sty m:val="p"/>
              </m:rPr>
              <m:t>,</m:t>
            </m:r>
            <m:sSub>
              <m:e>
                <m:r>
                  <m:t>β</m:t>
                </m:r>
              </m:e>
              <m:sub>
                <m:r>
                  <m:t>P</m:t>
                </m:r>
                <m:r>
                  <m:rPr>
                    <m:sty m:val="p"/>
                  </m:rPr>
                  <m:t>,</m:t>
                </m:r>
                <m:r>
                  <m:t>d</m:t>
                </m:r>
              </m:sub>
            </m:sSub>
          </m:e>
        </m:d>
      </m:oMath>
      <w:r>
        <w:t xml:space="preserve">.</w:t>
      </w:r>
    </w:p>
    <w:p>
      <w:pPr>
        <w:pStyle w:val="BodyText"/>
      </w:pPr>
      <w:r>
        <w:t xml:space="preserve">These simulations generate replicated data under the model to compare with the observed data, aiding in the evaluation of model adequacy.</w:t>
      </w:r>
    </w:p>
    <w:bookmarkEnd w:id="33"/>
    <w:bookmarkStart w:id="34" w:name="conclusion"/>
    <w:p>
      <w:pPr>
        <w:pStyle w:val="Heading2"/>
      </w:pPr>
      <w:r>
        <w:t xml:space="preserve">Conclusion</w:t>
      </w:r>
    </w:p>
    <w:p>
      <w:pPr>
        <w:pStyle w:val="FirstParagraph"/>
      </w:pPr>
      <w:r>
        <w:t xml:space="preserve">The dynamic linear model effectively captures the temporal evolution of party support, adjusts for polling house biases, accounts for overdispersion in the data, and incorporates the effects of significant political events. By leveraging Bayesian methods, we obtain a comprehensive probabilistic forecast of the election outcomes, accounting for uncertainty in the estimates.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2024-10-25T07:48:17Z</dcterms:created>
  <dcterms:modified xsi:type="dcterms:W3CDTF">2024-10-25T07:48:17Z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