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before="60" w:after="20" w:line="240" w:lineRule="auto"/>
      </w:pPr>
      <w:r>
        <w:rPr>
          <w:rFonts w:ascii="Aptos" w:hAnsi="Aptos"/>
          <w:b/>
          <w:i w:val="0"/>
          <w:color w:val="12344D"/>
          <w:sz w:val="38"/>
        </w:rPr>
        <w:t>KAPSAMLI DNA ve RNA NGS</w:t>
      </w:r>
    </w:p>
    <w:p>
      <w:pPr>
        <w:keepNext w:val="0"/>
        <w:spacing w:before="0" w:after="80" w:line="240" w:lineRule="auto"/>
      </w:pPr>
      <w:r>
        <w:rPr>
          <w:rFonts w:ascii="Aptos" w:hAnsi="Aptos"/>
          <w:b/>
          <w:i w:val="0"/>
          <w:color w:val="0F6B7A"/>
          <w:sz w:val="26"/>
        </w:rPr>
        <w:t>Laboratuvar ve Klinisyen Başvuru Rehberi</w:t>
      </w:r>
    </w:p>
    <w:p>
      <w:pPr>
        <w:keepNext w:val="0"/>
        <w:spacing w:before="0" w:after="80" w:line="240" w:lineRule="auto"/>
      </w:pPr>
      <w:r>
        <w:rPr>
          <w:rFonts w:ascii="Aptos" w:hAnsi="Aptos"/>
          <w:b/>
          <w:i w:val="0"/>
          <w:color w:val="3C6472"/>
          <w:sz w:val="17"/>
        </w:rPr>
        <w:t>Pan-Kanser DNA Paneli: 679 gen  •  RNA Füzyon Paneli: 80 gen  •  Doku temelli tümör profilleme</w:t>
      </w:r>
    </w:p>
    <w:p>
      <w:pPr>
        <w:pStyle w:val="Callout"/>
        <w:shd w:fill="E8F2F4"/>
        <w:pBdr>
          <w:left w:val="single" w:sz="22" w:space="7" w:color="0F6B7A"/>
        </w:pBdr>
      </w:pPr>
      <w:r>
        <w:rPr>
          <w:rFonts w:ascii="Aptos" w:hAnsi="Aptos"/>
          <w:b/>
          <w:i w:val="0"/>
          <w:color w:val="0F6B7A"/>
          <w:sz w:val="18"/>
        </w:rPr>
        <w:t xml:space="preserve">Amaç: </w:t>
      </w:r>
      <w:r>
        <w:rPr>
          <w:rFonts w:ascii="Aptos" w:hAnsi="Aptos"/>
          <w:b w:val="0"/>
          <w:i w:val="0"/>
          <w:color w:val="12344D"/>
          <w:sz w:val="18"/>
        </w:rPr>
        <w:t>Doğru testi seçmek, uygun örneği göndermek ve sonucu klinik bağlamda güvenli yorumlamak. Bu rehber, teknik SOP’nin veya hasta özelindeki moleküler raporun yerine geçmez.</w:t>
      </w:r>
    </w:p>
    <w:p>
      <w:pPr>
        <w:pStyle w:val="Heading1"/>
      </w:pPr>
      <w:r>
        <w:t>1 | Test kapsamı ve doğru test seçimi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DD2"/>
          <w:left w:val="single" w:sz="6" w:space="0" w:color="B8CDD2"/>
          <w:bottom w:val="single" w:sz="6" w:space="0" w:color="B8CDD2"/>
          <w:right w:val="single" w:sz="6" w:space="0" w:color="B8CDD2"/>
          <w:insideH w:val="single" w:sz="6" w:space="0" w:color="B8CDD2"/>
          <w:insideV w:val="single" w:sz="6" w:space="0" w:color="B8CDD2"/>
        </w:tblBorders>
      </w:tblPr>
      <w:tblGrid>
        <w:gridCol w:w="2300"/>
        <w:gridCol w:w="3660"/>
        <w:gridCol w:w="3400"/>
      </w:tblGrid>
      <w:tr>
        <w:trPr>
          <w:cantSplit/>
          <w:tblHeader w:val="true"/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F6B7A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Test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F6B7A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Raporlanabilen bulgular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F6B7A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Öne çıkan kullanım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2344D"/>
                <w:sz w:val="17"/>
              </w:rPr>
              <w:t>Pan-Kanser DNA • 679 gen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2344D"/>
                <w:sz w:val="17"/>
              </w:rPr>
              <w:t>SNV/indel; uygun hedeflerde kopya sayısı değişiklikleri; seçili yapısal değişiklikler; TMB, MSI ve HRD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2344D"/>
                <w:sz w:val="17"/>
              </w:rPr>
              <w:t>Tedavi hedefi, direnç, prognoz, tümör biyolojisi ve tümör-agnostik biyobelirteçler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shd w:fill="F5F9FA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2344D"/>
                <w:sz w:val="17"/>
              </w:rPr>
              <w:t>RNA Füzyon • 80 gen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shd w:fill="F5F9FA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2344D"/>
                <w:sz w:val="17"/>
              </w:rPr>
              <w:t>RNA düzeyinde füzyon / yeniden düzenlenme transkriptleri ve uygun olduğunda füzyon partneri</w:t>
            </w:r>
          </w:p>
        </w:tc>
        <w:tc>
          <w:tcPr>
            <w:tcW w:type="dxa" w:w="3400"/>
            <w:tcMar>
              <w:top w:w="80" w:type="dxa"/>
              <w:start w:w="120" w:type="dxa"/>
              <w:bottom w:w="80" w:type="dxa"/>
              <w:end w:w="120" w:type="dxa"/>
            </w:tcMar>
            <w:shd w:fill="F5F9FA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2344D"/>
                <w:sz w:val="17"/>
              </w:rPr>
              <w:t>ALK, ROS1, RET, NTRK, FGFR, BRAF, RAF1, MET, EWSR1, NRG1 ve benzeri sürücü/diagnostik füzyonlar</w:t>
            </w:r>
          </w:p>
        </w:tc>
      </w:tr>
    </w:tbl>
    <w:p>
      <w:pPr>
        <w:pStyle w:val="SourceList"/>
      </w:pPr>
      <w:r>
        <w:t xml:space="preserve">Tam ve güncel gen listesi: </w:t>
      </w:r>
      <w:hyperlink r:id="rId11">
        <w:r>
          <w:rPr>
            <w:color w:val="0F6B7A"/>
            <w:u w:val="single"/>
            <w:rFonts w:ascii="Aptos" w:hAnsi="Aptos"/>
            <w:sz w:val="20"/>
          </w:rPr>
          <w:t>metinciris.github.io/sdu_panel</w:t>
        </w:r>
      </w:hyperlink>
    </w:p>
    <w:p>
      <w:pPr>
        <w:pStyle w:val="Heading2"/>
      </w:pPr>
      <w:r>
        <w:t>DNA ve RNA birbirinin yerine geçmez</w:t>
      </w:r>
    </w:p>
    <w:p>
      <w:pPr>
        <w:keepNext w:val="0"/>
        <w:numPr>
          <w:ilvl w:val="0"/>
          <w:numId w:val="10"/>
        </w:numPr>
        <w:spacing w:before="0" w:after="30" w:line="245" w:lineRule="auto"/>
      </w:pPr>
      <w:r>
        <w:rPr>
          <w:rFonts w:ascii="Aptos" w:hAnsi="Aptos"/>
          <w:b w:val="0"/>
          <w:i w:val="0"/>
          <w:color w:val="000000"/>
          <w:sz w:val="18"/>
        </w:rPr>
        <w:t>DNA paneli küçük varyantlar, kopya sayısı değişiklikleri ve genomik imzalar için ana testtir.</w:t>
      </w:r>
    </w:p>
    <w:p>
      <w:pPr>
        <w:keepNext w:val="0"/>
        <w:numPr>
          <w:ilvl w:val="0"/>
          <w:numId w:val="10"/>
        </w:numPr>
        <w:spacing w:before="0" w:after="30" w:line="245" w:lineRule="auto"/>
      </w:pPr>
      <w:r>
        <w:rPr>
          <w:rFonts w:ascii="Aptos" w:hAnsi="Aptos"/>
          <w:b w:val="0"/>
          <w:i w:val="0"/>
          <w:color w:val="000000"/>
          <w:sz w:val="18"/>
        </w:rPr>
        <w:t>RNA paneli ifade edilen füzyon transkriptini doğrudan gösterir; özellikle intronları büyük veya ortakları çok sayıda olan füzyonlarda tamamlayıcı değer taşır.</w:t>
      </w:r>
    </w:p>
    <w:p>
      <w:pPr>
        <w:keepNext w:val="0"/>
        <w:numPr>
          <w:ilvl w:val="0"/>
          <w:numId w:val="10"/>
        </w:numPr>
        <w:spacing w:before="0" w:after="30" w:line="245" w:lineRule="auto"/>
      </w:pPr>
      <w:r>
        <w:rPr>
          <w:rFonts w:ascii="Aptos" w:hAnsi="Aptos"/>
          <w:b w:val="0"/>
          <w:i w:val="0"/>
          <w:color w:val="000000"/>
          <w:sz w:val="18"/>
        </w:rPr>
        <w:t>Aynı gen iki panelde yer alsa bile aranan değişiklik türü farklıdır; sonuçlar ayrı başlıklarla raporlanır.</w:t>
      </w:r>
    </w:p>
    <w:p>
      <w:pPr>
        <w:keepNext w:val="0"/>
        <w:numPr>
          <w:ilvl w:val="0"/>
          <w:numId w:val="10"/>
        </w:numPr>
        <w:spacing w:before="0" w:after="30" w:line="245" w:lineRule="auto"/>
      </w:pPr>
      <w:r>
        <w:rPr>
          <w:rFonts w:ascii="Aptos" w:hAnsi="Aptos"/>
          <w:b w:val="0"/>
          <w:i w:val="0"/>
          <w:color w:val="000000"/>
          <w:sz w:val="18"/>
        </w:rPr>
        <w:t>RNA paneli gen ekspresyon testi, tam transkriptom analizi veya metilasyon testi değildir.</w:t>
      </w:r>
    </w:p>
    <w:p>
      <w:pPr>
        <w:pStyle w:val="Heading2"/>
      </w:pPr>
      <w:r>
        <w:t>Biyobelirteçleri nasıl okuyalım?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DD2"/>
          <w:left w:val="single" w:sz="6" w:space="0" w:color="B8CDD2"/>
          <w:bottom w:val="single" w:sz="6" w:space="0" w:color="B8CDD2"/>
          <w:right w:val="single" w:sz="6" w:space="0" w:color="B8CDD2"/>
          <w:insideH w:val="single" w:sz="6" w:space="0" w:color="B8CDD2"/>
          <w:insideV w:val="single" w:sz="6" w:space="0" w:color="B8CDD2"/>
        </w:tblBorders>
      </w:tblPr>
      <w:tblGrid>
        <w:gridCol w:w="1450"/>
        <w:gridCol w:w="4050"/>
        <w:gridCol w:w="3860"/>
      </w:tblGrid>
      <w:tr>
        <w:trPr>
          <w:cantSplit/>
          <w:tblHeader w:val="true"/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F6B7A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Biyobelirteç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F6B7A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Pratik anlam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F6B7A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Kritik sınırlama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2344D"/>
                <w:sz w:val="17"/>
              </w:rPr>
              <w:t>TMB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2344D"/>
                <w:sz w:val="17"/>
              </w:rPr>
              <w:t>Mutasyon yükünü nicel olarak özetler; bazı tümörlerde immün kontrol noktası inhibitörleri için yardımcı olabilir.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2344D"/>
                <w:sz w:val="17"/>
              </w:rPr>
              <w:t>Platform, hesaplama alanı ve eşik yönteme bağımlıdır; tek başına tedavi kararı değildir.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5F9FA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2344D"/>
                <w:sz w:val="17"/>
              </w:rPr>
              <w:t>MSI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shd w:fill="F5F9FA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2344D"/>
                <w:sz w:val="17"/>
              </w:rPr>
              <w:t>MMR bozukluğu ve immünoterapi uygunluğu açısından tümör-agnostik önem taşıyabilir.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shd w:fill="F5F9FA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2344D"/>
                <w:sz w:val="17"/>
              </w:rPr>
              <w:t>NGS-MSI; MMR İHK veya PCR ile klinik bağlama göre tamamlanabilir.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2344D"/>
                <w:sz w:val="17"/>
              </w:rPr>
              <w:t>HRD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2344D"/>
                <w:sz w:val="17"/>
              </w:rPr>
              <w:t>Homolog rekombinasyon yetersizliğini ve bazı PARP inhibitörü stratejilerini destekleyebilir.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2344D"/>
                <w:sz w:val="17"/>
              </w:rPr>
              <w:t>BRCA1/2 varyantı ile eş anlamlı değildir; tümör tipi, yöntem ve doğrulanmış eşik önemlidir.</w:t>
            </w:r>
          </w:p>
        </w:tc>
      </w:tr>
      <w:tr>
        <w:trPr>
          <w:cantSplit/>
        </w:trPr>
        <w:tc>
          <w:tcPr>
            <w:tcW w:type="dxa" w:w="1450"/>
            <w:tcMar>
              <w:top w:w="80" w:type="dxa"/>
              <w:start w:w="120" w:type="dxa"/>
              <w:bottom w:w="80" w:type="dxa"/>
              <w:end w:w="120" w:type="dxa"/>
            </w:tcMar>
            <w:shd w:fill="F5F9FA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2344D"/>
                <w:sz w:val="17"/>
              </w:rPr>
              <w:t>Füzyon</w:t>
            </w:r>
          </w:p>
        </w:tc>
        <w:tc>
          <w:tcPr>
            <w:tcW w:type="dxa" w:w="4050"/>
            <w:tcMar>
              <w:top w:w="80" w:type="dxa"/>
              <w:start w:w="120" w:type="dxa"/>
              <w:bottom w:w="80" w:type="dxa"/>
              <w:end w:w="120" w:type="dxa"/>
            </w:tcMar>
            <w:shd w:fill="F5F9FA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2344D"/>
                <w:sz w:val="17"/>
              </w:rPr>
              <w:t>Tanısal sınıflama veya hedefe yönelik tedavi için sürücü değişiklik olabilir.</w:t>
            </w:r>
          </w:p>
        </w:tc>
        <w:tc>
          <w:tcPr>
            <w:tcW w:type="dxa" w:w="3860"/>
            <w:tcMar>
              <w:top w:w="80" w:type="dxa"/>
              <w:start w:w="120" w:type="dxa"/>
              <w:bottom w:w="80" w:type="dxa"/>
              <w:end w:w="120" w:type="dxa"/>
            </w:tcMar>
            <w:shd w:fill="F5F9FA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2344D"/>
                <w:sz w:val="17"/>
              </w:rPr>
              <w:t>Negatiflik; düşük RNA kalitesi, düşük ekspresyon veya tasarım dışı ortak nedeniyle füzyonu tümüyle dışlamaz.</w:t>
            </w:r>
          </w:p>
        </w:tc>
      </w:tr>
    </w:tbl>
    <w:p>
      <w:pPr>
        <w:pStyle w:val="Callout"/>
        <w:shd w:fill="FFF8E8"/>
        <w:pBdr>
          <w:left w:val="single" w:sz="22" w:space="7" w:color="B7791F"/>
        </w:pBdr>
      </w:pPr>
      <w:r>
        <w:rPr>
          <w:rFonts w:ascii="Aptos" w:hAnsi="Aptos"/>
          <w:b/>
          <w:i w:val="0"/>
          <w:color w:val="B7791F"/>
          <w:sz w:val="18"/>
        </w:rPr>
        <w:t xml:space="preserve">Yorum ilkesi: </w:t>
      </w:r>
      <w:r>
        <w:rPr>
          <w:rFonts w:ascii="Aptos" w:hAnsi="Aptos"/>
          <w:b w:val="0"/>
          <w:i w:val="0"/>
          <w:color w:val="12344D"/>
          <w:sz w:val="18"/>
        </w:rPr>
        <w:t>Varyantın klinik düzeyi tümör tipi, hastalık evresi, onaylı endikasyon, erişilebilir tedavi ve güncel kanıtla birlikte değerlendirilir. VUS tedavi hedefi kabul edilmez.</w:t>
      </w:r>
    </w:p>
    <w:p>
      <w:r>
        <w:br w:type="page"/>
      </w:r>
    </w:p>
    <w:p>
      <w:pPr>
        <w:pStyle w:val="Heading1"/>
      </w:pPr>
      <w:r>
        <w:t>2 | Örnek gereksinimleri ve gönderim kontrolü</w:t>
      </w:r>
    </w:p>
    <w:p>
      <w:pPr>
        <w:pStyle w:val="Callout"/>
        <w:shd w:fill="E8F2F4"/>
        <w:pBdr>
          <w:left w:val="single" w:sz="22" w:space="7" w:color="0F6B7A"/>
        </w:pBdr>
      </w:pPr>
      <w:r>
        <w:rPr>
          <w:rFonts w:ascii="Aptos" w:hAnsi="Aptos"/>
          <w:b/>
          <w:i w:val="0"/>
          <w:color w:val="0F6B7A"/>
          <w:sz w:val="18"/>
        </w:rPr>
        <w:t xml:space="preserve">Tercih edilen örnek: </w:t>
      </w:r>
      <w:r>
        <w:rPr>
          <w:rFonts w:ascii="Aptos" w:hAnsi="Aptos"/>
          <w:b w:val="0"/>
          <w:i w:val="0"/>
          <w:color w:val="12344D"/>
          <w:sz w:val="18"/>
        </w:rPr>
        <w:t>Patolog tarafından tümör alanı işaretlenmiş FFPE blok. Blok verilemiyorsa 1 H&amp;E lam ile birlikte yeterli sayıda yeni kesilmiş, boyasız, pozitif yüklü lam gönderilmelidir.</w:t>
      </w:r>
    </w:p>
    <w:tbl>
      <w:tblPr>
        <w:tblW w:type="dxa" w:w="9360"/>
        <w:tblLayout w:type="fixed"/>
        <w:tblLook w:firstColumn="1" w:firstRow="1" w:lastColumn="0" w:lastRow="0" w:noHBand="0" w:noVBand="1" w:val="04A0"/>
        <w:jc w:val="left"/>
        <w:tblInd w:w="120" w:type="dxa"/>
        <w:tblBorders>
          <w:top w:val="single" w:sz="6" w:space="0" w:color="B8CDD2"/>
          <w:left w:val="single" w:sz="6" w:space="0" w:color="B8CDD2"/>
          <w:bottom w:val="single" w:sz="6" w:space="0" w:color="B8CDD2"/>
          <w:right w:val="single" w:sz="6" w:space="0" w:color="B8CDD2"/>
          <w:insideH w:val="single" w:sz="6" w:space="0" w:color="B8CDD2"/>
          <w:insideV w:val="single" w:sz="6" w:space="0" w:color="B8CDD2"/>
        </w:tblBorders>
      </w:tblPr>
      <w:tblGrid>
        <w:gridCol w:w="1900"/>
        <w:gridCol w:w="7460"/>
      </w:tblGrid>
      <w:tr>
        <w:trPr>
          <w:cantSplit/>
          <w:tblHeader w:val="true"/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F6B7A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Başlık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0F6B7A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FFFFFF"/>
                <w:sz w:val="17"/>
              </w:rPr>
              <w:t>Kabul hedefi / işlem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2344D"/>
                <w:sz w:val="17"/>
              </w:rPr>
              <w:t>Materyal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2344D"/>
                <w:sz w:val="17"/>
              </w:rPr>
              <w:t>FFPE doku bloğu tercih edilir. Hücre bloğu ve diğer sitolojik preparatlar yalnızca laboratuvarın doğruladığı iş akışında, yeterli tümör ve korunmuş nükleik asitle kabul edilir.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5F9FA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2344D"/>
                <w:sz w:val="17"/>
              </w:rPr>
              <w:t>Kesit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5F9FA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2344D"/>
                <w:sz w:val="17"/>
              </w:rPr>
              <w:t>Blok yoksa pratik başlangıç: 1 H&amp;E + yaklaşık 8–10 adet 4–5 µm boyasız kesit. Küçük tümör alanı veya düşük hücresellikte ek kesit istenebilir; kesin sayı yerel SOP’ye göre belirlenir.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2344D"/>
                <w:sz w:val="17"/>
              </w:rPr>
              <w:t>Tümör oranı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2344D"/>
                <w:sz w:val="17"/>
              </w:rPr>
              <w:t>Canlı tümör hücre oranı tercihen ≥%20. Daha düşük oran, testin doğrulanmış LOD’si ve makro/mikrodiseksiyon olanağına göre koşullu kabul edilir.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5F9FA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2344D"/>
                <w:sz w:val="17"/>
              </w:rPr>
              <w:t>Doku seçimi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5F9FA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2344D"/>
                <w:sz w:val="17"/>
              </w:rPr>
              <w:t>Nekroz, kanama, yoğun inflamasyon, müsin ve normal doku fazlalığından kaçınılır. En yüksek canlı tümör oranına sahip blok seçilir; tedavi sonrası örneklerde rezidü tümör özellikle değerlendirilir.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2344D"/>
                <w:sz w:val="17"/>
              </w:rPr>
              <w:t>Fiksasyon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2344D"/>
                <w:sz w:val="17"/>
              </w:rPr>
              <w:t>Nötral tamponlu formalin tercih edilir. Yetersiz/uzamış fiksasyon ve eski, çok okside bloklar DNA/RNA kalitesini düşürebilir.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shd w:fill="F5F9FA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2344D"/>
                <w:sz w:val="17"/>
              </w:rPr>
              <w:t>Dekalsifikasyon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shd w:fill="F5F9FA"/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2344D"/>
                <w:sz w:val="17"/>
              </w:rPr>
              <w:t>EDTA tercih edilir. Güçlü asitle dekalsifiye kemik örnekleri, özellikle RNA ve uzun DNA parçaları için başarısızlık riski taşır; alternatif blok aranır.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/>
                <w:i w:val="0"/>
                <w:color w:val="12344D"/>
                <w:sz w:val="17"/>
              </w:rPr>
              <w:t>DNA + RNA</w:t>
            </w:r>
          </w:p>
        </w:tc>
        <w:tc>
          <w:tcPr>
            <w:tcW w:type="dxa" w:w="7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keepNext w:val="0"/>
              <w:spacing w:before="0" w:after="0" w:line="240" w:lineRule="auto"/>
            </w:pPr>
            <w:r>
              <w:rPr>
                <w:rFonts w:ascii="Aptos" w:hAnsi="Aptos"/>
                <w:b w:val="0"/>
                <w:i w:val="0"/>
                <w:color w:val="12344D"/>
                <w:sz w:val="17"/>
              </w:rPr>
              <w:t>Mümkünse aynı bloktan veya komşu tümör alanlarından çalışılır. RNA için yeni kesit, kısa hava teması ve RNaz kontaminasyonundan kaçınma önemlidir.</w:t>
            </w:r>
          </w:p>
        </w:tc>
      </w:tr>
    </w:tbl>
    <w:p>
      <w:pPr>
        <w:pStyle w:val="Heading2"/>
      </w:pPr>
      <w:r>
        <w:t>Gönderimden önce 6 kontrol</w:t>
      </w:r>
    </w:p>
    <w:p>
      <w:pPr>
        <w:keepNext w:val="0"/>
        <w:numPr>
          <w:ilvl w:val="0"/>
          <w:numId w:val="11"/>
        </w:numPr>
        <w:spacing w:before="0" w:after="30" w:line="245" w:lineRule="auto"/>
      </w:pPr>
      <w:r>
        <w:rPr>
          <w:rFonts w:ascii="Aptos" w:hAnsi="Aptos"/>
          <w:b w:val="0"/>
          <w:i w:val="0"/>
          <w:color w:val="000000"/>
          <w:sz w:val="18"/>
        </w:rPr>
        <w:t>İstem formunda tanı, primer organ, evre, örnek yeri/tarihi ve önceki tedaviler yazıldı.</w:t>
      </w:r>
    </w:p>
    <w:p>
      <w:pPr>
        <w:keepNext w:val="0"/>
        <w:numPr>
          <w:ilvl w:val="0"/>
          <w:numId w:val="11"/>
        </w:numPr>
        <w:spacing w:before="0" w:after="30" w:line="245" w:lineRule="auto"/>
      </w:pPr>
      <w:r>
        <w:rPr>
          <w:rFonts w:ascii="Aptos" w:hAnsi="Aptos"/>
          <w:b w:val="0"/>
          <w:i w:val="0"/>
          <w:color w:val="000000"/>
          <w:sz w:val="18"/>
        </w:rPr>
        <w:t>Klinik soru belirtildi: hedef tedavi, direnç, primeri bilinmeyen tümör, tanısal füzyon veya tümör-agnostik biyobelirteç.</w:t>
      </w:r>
    </w:p>
    <w:p>
      <w:pPr>
        <w:keepNext w:val="0"/>
        <w:numPr>
          <w:ilvl w:val="0"/>
          <w:numId w:val="11"/>
        </w:numPr>
        <w:spacing w:before="0" w:after="30" w:line="245" w:lineRule="auto"/>
      </w:pPr>
      <w:r>
        <w:rPr>
          <w:rFonts w:ascii="Aptos" w:hAnsi="Aptos"/>
          <w:b w:val="0"/>
          <w:i w:val="0"/>
          <w:color w:val="000000"/>
          <w:sz w:val="18"/>
        </w:rPr>
        <w:t>Patolog en uygun bloğu seçti; H&amp;E üzerinde tümör alanı ve tahmini canlı tümör yüzdesi işaretlendi.</w:t>
      </w:r>
    </w:p>
    <w:p>
      <w:pPr>
        <w:keepNext w:val="0"/>
        <w:numPr>
          <w:ilvl w:val="0"/>
          <w:numId w:val="11"/>
        </w:numPr>
        <w:spacing w:before="0" w:after="30" w:line="245" w:lineRule="auto"/>
      </w:pPr>
      <w:r>
        <w:rPr>
          <w:rFonts w:ascii="Aptos" w:hAnsi="Aptos"/>
          <w:b w:val="0"/>
          <w:i w:val="0"/>
          <w:color w:val="000000"/>
          <w:sz w:val="18"/>
        </w:rPr>
        <w:t>Örnek kimliği; blok, lam, istem ve bilgi sistemi arasında eşleşiyor.</w:t>
      </w:r>
    </w:p>
    <w:p>
      <w:pPr>
        <w:keepNext w:val="0"/>
        <w:numPr>
          <w:ilvl w:val="0"/>
          <w:numId w:val="11"/>
        </w:numPr>
        <w:spacing w:before="0" w:after="30" w:line="245" w:lineRule="auto"/>
      </w:pPr>
      <w:r>
        <w:rPr>
          <w:rFonts w:ascii="Aptos" w:hAnsi="Aptos"/>
          <w:b w:val="0"/>
          <w:i w:val="0"/>
          <w:color w:val="000000"/>
          <w:sz w:val="18"/>
        </w:rPr>
        <w:t>Varsa önceki moleküler test, MMR İHK/MSI, HER2, PD-L1 ve ilgili FISH sonuçları eklendi.</w:t>
      </w:r>
    </w:p>
    <w:p>
      <w:pPr>
        <w:keepNext w:val="0"/>
        <w:numPr>
          <w:ilvl w:val="0"/>
          <w:numId w:val="11"/>
        </w:numPr>
        <w:spacing w:before="0" w:after="30" w:line="245" w:lineRule="auto"/>
      </w:pPr>
      <w:r>
        <w:rPr>
          <w:rFonts w:ascii="Aptos" w:hAnsi="Aptos"/>
          <w:b w:val="0"/>
          <w:i w:val="0"/>
          <w:color w:val="000000"/>
          <w:sz w:val="18"/>
        </w:rPr>
        <w:t>Doku sınırlıysa test önceliği laboratuvarla görüşüldü; gerekli İHK ve moleküler testler için doku korundu.</w:t>
      </w:r>
    </w:p>
    <w:p>
      <w:pPr>
        <w:pStyle w:val="Heading2"/>
      </w:pPr>
      <w:r>
        <w:t>Örnek seçimi: primer mi metastaz mı?</w:t>
      </w:r>
    </w:p>
    <w:p>
      <w:pPr>
        <w:keepNext w:val="0"/>
        <w:numPr>
          <w:ilvl w:val="0"/>
          <w:numId w:val="10"/>
        </w:numPr>
        <w:spacing w:before="0" w:after="30" w:line="245" w:lineRule="auto"/>
      </w:pPr>
      <w:r>
        <w:rPr>
          <w:rFonts w:ascii="Aptos" w:hAnsi="Aptos"/>
          <w:b w:val="0"/>
          <w:i w:val="0"/>
          <w:color w:val="000000"/>
          <w:sz w:val="18"/>
        </w:rPr>
        <w:t>En yeni ve en yüksek canlı tümör oranlı materyal çoğu zaman tercih edilir; ancak hedefe yönelik tedavi sonrası direnç araştırılıyorsa progresyon örneği daha bilgilendirici olabilir.</w:t>
      </w:r>
    </w:p>
    <w:p>
      <w:pPr>
        <w:keepNext w:val="0"/>
        <w:numPr>
          <w:ilvl w:val="0"/>
          <w:numId w:val="10"/>
        </w:numPr>
        <w:spacing w:before="0" w:after="30" w:line="245" w:lineRule="auto"/>
      </w:pPr>
      <w:r>
        <w:rPr>
          <w:rFonts w:ascii="Aptos" w:hAnsi="Aptos"/>
          <w:b w:val="0"/>
          <w:i w:val="0"/>
          <w:color w:val="000000"/>
          <w:sz w:val="18"/>
        </w:rPr>
        <w:t>Primer ve metastaz arasında seçim; tümör içeriği, tedavi zamanı, dekalsifikasyon, nekroz ve klinik soruya göre patolog tarafından yapılır.</w:t>
      </w:r>
    </w:p>
    <w:p>
      <w:pPr>
        <w:keepNext w:val="0"/>
        <w:numPr>
          <w:ilvl w:val="0"/>
          <w:numId w:val="10"/>
        </w:numPr>
        <w:spacing w:before="0" w:after="30" w:line="245" w:lineRule="auto"/>
      </w:pPr>
      <w:r>
        <w:rPr>
          <w:rFonts w:ascii="Aptos" w:hAnsi="Aptos"/>
          <w:b w:val="0"/>
          <w:i w:val="0"/>
          <w:color w:val="000000"/>
          <w:sz w:val="18"/>
        </w:rPr>
        <w:t>Doku yetersizse sıvı biyopsi ancak ayrı ve valide edilmiş bir cfDNA testi varsa düşünülmelidir; bu doku panelinin otomatik alternatifi değildir.</w:t>
      </w:r>
    </w:p>
    <w:p>
      <w:pPr>
        <w:pStyle w:val="Callout"/>
        <w:shd w:fill="FFF1F1"/>
        <w:pBdr>
          <w:left w:val="single" w:sz="22" w:space="7" w:color="A33A3A"/>
        </w:pBdr>
      </w:pPr>
      <w:r>
        <w:rPr>
          <w:rFonts w:ascii="Aptos" w:hAnsi="Aptos"/>
          <w:b/>
          <w:i w:val="0"/>
          <w:color w:val="A33A3A"/>
          <w:sz w:val="18"/>
        </w:rPr>
        <w:t xml:space="preserve">Laboratuvar için: </w:t>
      </w:r>
      <w:r>
        <w:rPr>
          <w:rFonts w:ascii="Aptos" w:hAnsi="Aptos"/>
          <w:b w:val="0"/>
          <w:i w:val="0"/>
          <w:color w:val="12344D"/>
          <w:sz w:val="18"/>
        </w:rPr>
        <w:t>DNA/RNA miktarı, saflığı, kütüphane kalite ölçütleri, minimum okuma derinliği, varyant allel frekansı ve biyobelirteç eşikleri yalnızca güncel validasyon dosyası ve teknik SOP’den alınmalıdır.</w:t>
      </w:r>
    </w:p>
    <w:p>
      <w:r>
        <w:br w:type="page"/>
      </w:r>
    </w:p>
    <w:p>
      <w:pPr>
        <w:pStyle w:val="Heading1"/>
      </w:pPr>
      <w:r>
        <w:t>3 | Sonuçların kullanımı ve sık sorulan sorular</w:t>
      </w:r>
    </w:p>
    <w:p>
      <w:pPr>
        <w:keepNext/>
        <w:spacing w:before="40" w:after="0" w:line="240" w:lineRule="auto"/>
      </w:pPr>
      <w:r>
        <w:rPr>
          <w:rFonts w:ascii="Aptos" w:hAnsi="Aptos"/>
          <w:b/>
          <w:i w:val="0"/>
          <w:color w:val="12344D"/>
          <w:sz w:val="18"/>
        </w:rPr>
        <w:t>DNA negatifse RNA istemek gerekir mi?</w:t>
      </w:r>
    </w:p>
    <w:p>
      <w:pPr>
        <w:keepNext w:val="0"/>
        <w:spacing w:before="0" w:after="40" w:line="240" w:lineRule="auto"/>
      </w:pPr>
      <w:r>
        <w:rPr>
          <w:rFonts w:ascii="Aptos" w:hAnsi="Aptos"/>
          <w:b w:val="0"/>
          <w:i w:val="0"/>
          <w:color w:val="243B47"/>
          <w:sz w:val="17"/>
        </w:rPr>
        <w:t>Tümör tipi füzyonla ilişkiliyse veya hedeflenebilir yeniden düzenlenme olasılığı varsa evet. DNA ile füzyon dışlanamayabilir; RNA tamamlayıcıdır.</w:t>
      </w:r>
    </w:p>
    <w:p>
      <w:pPr>
        <w:keepNext/>
        <w:spacing w:before="40" w:after="0" w:line="240" w:lineRule="auto"/>
      </w:pPr>
      <w:r>
        <w:rPr>
          <w:rFonts w:ascii="Aptos" w:hAnsi="Aptos"/>
          <w:b/>
          <w:i w:val="0"/>
          <w:color w:val="12344D"/>
          <w:sz w:val="18"/>
        </w:rPr>
        <w:t>RNA paneli ne zaman baştan birlikte istenmeli?</w:t>
      </w:r>
    </w:p>
    <w:p>
      <w:pPr>
        <w:keepNext w:val="0"/>
        <w:spacing w:before="0" w:after="40" w:line="240" w:lineRule="auto"/>
      </w:pPr>
      <w:r>
        <w:rPr>
          <w:rFonts w:ascii="Aptos" w:hAnsi="Aptos"/>
          <w:b w:val="0"/>
          <w:i w:val="0"/>
          <w:color w:val="243B47"/>
          <w:sz w:val="17"/>
        </w:rPr>
        <w:t>Akciğer adenokarsinomu, tiroid tümörleri, sarkomlar, seçilmiş pediatrik/SSS tümörleri, primeri bilinmeyen karsinomlar ve füzyon sürücülü olma olasılığı yüksek nadir tümörlerde klinik bağlama göre birlikte istem yararlıdır.</w:t>
      </w:r>
    </w:p>
    <w:p>
      <w:pPr>
        <w:keepNext/>
        <w:spacing w:before="40" w:after="0" w:line="240" w:lineRule="auto"/>
      </w:pPr>
      <w:r>
        <w:rPr>
          <w:rFonts w:ascii="Aptos" w:hAnsi="Aptos"/>
          <w:b/>
          <w:i w:val="0"/>
          <w:color w:val="12344D"/>
          <w:sz w:val="18"/>
        </w:rPr>
        <w:t>Eski blok çalışılır mı?</w:t>
      </w:r>
    </w:p>
    <w:p>
      <w:pPr>
        <w:keepNext w:val="0"/>
        <w:spacing w:before="0" w:after="40" w:line="240" w:lineRule="auto"/>
      </w:pPr>
      <w:r>
        <w:rPr>
          <w:rFonts w:ascii="Aptos" w:hAnsi="Aptos"/>
          <w:b w:val="0"/>
          <w:i w:val="0"/>
          <w:color w:val="243B47"/>
          <w:sz w:val="17"/>
        </w:rPr>
        <w:t>Çalışabilir; fakat yaş tek başına yeterli ölçüt değildir. Fiksasyon, depolama, oksidasyon, doku miktarı ve özellikle RNA kalite kontrolü belirleyicidir. Daha yeni uygun materyal varsa tercih edilir.</w:t>
      </w:r>
    </w:p>
    <w:p>
      <w:pPr>
        <w:keepNext/>
        <w:spacing w:before="40" w:after="0" w:line="240" w:lineRule="auto"/>
      </w:pPr>
      <w:r>
        <w:rPr>
          <w:rFonts w:ascii="Aptos" w:hAnsi="Aptos"/>
          <w:b/>
          <w:i w:val="0"/>
          <w:color w:val="12344D"/>
          <w:sz w:val="18"/>
        </w:rPr>
        <w:t>TMB-yüksek, MSI-yüksek veya HRD-pozitif doğrudan ilaç anlamına gelir mi?</w:t>
      </w:r>
    </w:p>
    <w:p>
      <w:pPr>
        <w:keepNext w:val="0"/>
        <w:spacing w:before="0" w:after="40" w:line="240" w:lineRule="auto"/>
      </w:pPr>
      <w:r>
        <w:rPr>
          <w:rFonts w:ascii="Aptos" w:hAnsi="Aptos"/>
          <w:b w:val="0"/>
          <w:i w:val="0"/>
          <w:color w:val="243B47"/>
          <w:sz w:val="17"/>
        </w:rPr>
        <w:t>Hayır. Tümör tipi, ruhsat/endikasyon, önceki tedaviler, yöntem/eşik ve hasta özellikleri birlikte değerlendirilir. Moleküler tümör konseyi yararlı olabilir.</w:t>
      </w:r>
    </w:p>
    <w:p>
      <w:pPr>
        <w:keepNext/>
        <w:spacing w:before="40" w:after="0" w:line="240" w:lineRule="auto"/>
      </w:pPr>
      <w:r>
        <w:rPr>
          <w:rFonts w:ascii="Aptos" w:hAnsi="Aptos"/>
          <w:b/>
          <w:i w:val="0"/>
          <w:color w:val="12344D"/>
          <w:sz w:val="18"/>
        </w:rPr>
        <w:t>Somatik panel kalıtsal yatkınlığı gösterir mi?</w:t>
      </w:r>
    </w:p>
    <w:p>
      <w:pPr>
        <w:keepNext w:val="0"/>
        <w:spacing w:before="0" w:after="40" w:line="240" w:lineRule="auto"/>
      </w:pPr>
      <w:r>
        <w:rPr>
          <w:rFonts w:ascii="Aptos" w:hAnsi="Aptos"/>
          <w:b w:val="0"/>
          <w:i w:val="0"/>
          <w:color w:val="243B47"/>
          <w:sz w:val="17"/>
        </w:rPr>
        <w:t>Tümörde saptanan BRCA1/2, MMR ve diğer yatkınlık genlerindeki bulgular germline olasılığı doğurabilir; ancak tanı koydurmaz. Genetik danışmanlık ve bağımsız kan/normal doku doğrulaması gerekir.</w:t>
      </w:r>
    </w:p>
    <w:p>
      <w:pPr>
        <w:keepNext/>
        <w:spacing w:before="40" w:after="0" w:line="240" w:lineRule="auto"/>
      </w:pPr>
      <w:r>
        <w:rPr>
          <w:rFonts w:ascii="Aptos" w:hAnsi="Aptos"/>
          <w:b/>
          <w:i w:val="0"/>
          <w:color w:val="12344D"/>
          <w:sz w:val="18"/>
        </w:rPr>
        <w:t>Negatif sonuç kanseri moleküler olarak dışlar mı?</w:t>
      </w:r>
    </w:p>
    <w:p>
      <w:pPr>
        <w:keepNext w:val="0"/>
        <w:spacing w:before="0" w:after="40" w:line="240" w:lineRule="auto"/>
      </w:pPr>
      <w:r>
        <w:rPr>
          <w:rFonts w:ascii="Aptos" w:hAnsi="Aptos"/>
          <w:b w:val="0"/>
          <w:i w:val="0"/>
          <w:color w:val="243B47"/>
          <w:sz w:val="17"/>
        </w:rPr>
        <w:t>Hayır. Panel dışı gen/bölge, düşük allel oranı, heterojenite, düşük tümör oranı, teknik kalite veya RNA ekspresyonu nedeniyle değişiklik saptanmayabilir.</w:t>
      </w:r>
    </w:p>
    <w:p>
      <w:pPr>
        <w:keepNext/>
        <w:spacing w:before="40" w:after="0" w:line="240" w:lineRule="auto"/>
      </w:pPr>
      <w:r>
        <w:rPr>
          <w:rFonts w:ascii="Aptos" w:hAnsi="Aptos"/>
          <w:b/>
          <w:i w:val="0"/>
          <w:color w:val="12344D"/>
          <w:sz w:val="18"/>
        </w:rPr>
        <w:t>İHK/FISH ile NGS uyumsuzsa ne yapılır?</w:t>
      </w:r>
    </w:p>
    <w:p>
      <w:pPr>
        <w:keepNext w:val="0"/>
        <w:spacing w:before="0" w:after="40" w:line="240" w:lineRule="auto"/>
      </w:pPr>
      <w:r>
        <w:rPr>
          <w:rFonts w:ascii="Aptos" w:hAnsi="Aptos"/>
          <w:b w:val="0"/>
          <w:i w:val="0"/>
          <w:color w:val="243B47"/>
          <w:sz w:val="17"/>
        </w:rPr>
        <w:t>Preanalitik kalite, tümör alanı, yöntemlerin hedeflediği değişiklik ve analitik sınırlar gözden geçirilir. Uygun olduğunda ortogonal doğrulama veya alternatif örnek önerilir.</w:t>
      </w:r>
    </w:p>
    <w:p>
      <w:pPr>
        <w:keepNext/>
        <w:spacing w:before="40" w:after="0" w:line="240" w:lineRule="auto"/>
      </w:pPr>
      <w:r>
        <w:rPr>
          <w:rFonts w:ascii="Aptos" w:hAnsi="Aptos"/>
          <w:b/>
          <w:i w:val="0"/>
          <w:color w:val="12344D"/>
          <w:sz w:val="18"/>
        </w:rPr>
        <w:t>VUS raporda ne anlama gelir?</w:t>
      </w:r>
    </w:p>
    <w:p>
      <w:pPr>
        <w:keepNext w:val="0"/>
        <w:spacing w:before="0" w:after="40" w:line="240" w:lineRule="auto"/>
      </w:pPr>
      <w:r>
        <w:rPr>
          <w:rFonts w:ascii="Aptos" w:hAnsi="Aptos"/>
          <w:b w:val="0"/>
          <w:i w:val="0"/>
          <w:color w:val="243B47"/>
          <w:sz w:val="17"/>
        </w:rPr>
        <w:t>Klinik anlamı belirsiz varyanttır; standart olarak tedavi seçtirmez. Yeni kanıtla yeniden sınıflandırılabilir.</w:t>
      </w:r>
    </w:p>
    <w:p>
      <w:pPr>
        <w:keepNext/>
        <w:spacing w:before="40" w:after="0" w:line="240" w:lineRule="auto"/>
      </w:pPr>
      <w:r>
        <w:rPr>
          <w:rFonts w:ascii="Aptos" w:hAnsi="Aptos"/>
          <w:b/>
          <w:i w:val="0"/>
          <w:color w:val="12344D"/>
          <w:sz w:val="18"/>
        </w:rPr>
        <w:t>Rapor neden DNA ve RNA olarak ayrı gelir?</w:t>
      </w:r>
    </w:p>
    <w:p>
      <w:pPr>
        <w:keepNext w:val="0"/>
        <w:spacing w:before="0" w:after="40" w:line="240" w:lineRule="auto"/>
      </w:pPr>
      <w:r>
        <w:rPr>
          <w:rFonts w:ascii="Aptos" w:hAnsi="Aptos"/>
          <w:b w:val="0"/>
          <w:i w:val="0"/>
          <w:color w:val="243B47"/>
          <w:sz w:val="17"/>
        </w:rPr>
        <w:t>İki testin nükleik asidi, laboratuvar süreci, kalite ölçütleri ve raporlanan değişiklik türü farklıdır. Birinin sonucu diğerinin yerine kullanılamaz.</w:t>
      </w:r>
    </w:p>
    <w:p>
      <w:pPr>
        <w:pStyle w:val="Heading2"/>
      </w:pPr>
      <w:r>
        <w:t>Klinisyen için sonuç okuma sırası</w:t>
      </w:r>
    </w:p>
    <w:p>
      <w:pPr>
        <w:keepNext w:val="0"/>
        <w:numPr>
          <w:ilvl w:val="0"/>
          <w:numId w:val="13"/>
        </w:numPr>
        <w:spacing w:before="0" w:after="30" w:line="245" w:lineRule="auto"/>
      </w:pPr>
      <w:r>
        <w:rPr>
          <w:rFonts w:ascii="Aptos" w:hAnsi="Aptos"/>
          <w:b w:val="0"/>
          <w:i w:val="0"/>
          <w:color w:val="000000"/>
          <w:sz w:val="18"/>
        </w:rPr>
        <w:t>Örnek ve kalite yeterli mi; değerlendirilemeyen alan var mı?</w:t>
      </w:r>
    </w:p>
    <w:p>
      <w:pPr>
        <w:keepNext w:val="0"/>
        <w:numPr>
          <w:ilvl w:val="0"/>
          <w:numId w:val="13"/>
        </w:numPr>
        <w:spacing w:before="0" w:after="30" w:line="245" w:lineRule="auto"/>
      </w:pPr>
      <w:r>
        <w:rPr>
          <w:rFonts w:ascii="Aptos" w:hAnsi="Aptos"/>
          <w:b w:val="0"/>
          <w:i w:val="0"/>
          <w:color w:val="000000"/>
          <w:sz w:val="18"/>
        </w:rPr>
        <w:t>Tier/klinik önem düzeyi ve tümör bağlamı nedir?</w:t>
      </w:r>
    </w:p>
    <w:p>
      <w:pPr>
        <w:keepNext w:val="0"/>
        <w:numPr>
          <w:ilvl w:val="0"/>
          <w:numId w:val="13"/>
        </w:numPr>
        <w:spacing w:before="0" w:after="30" w:line="245" w:lineRule="auto"/>
      </w:pPr>
      <w:r>
        <w:rPr>
          <w:rFonts w:ascii="Aptos" w:hAnsi="Aptos"/>
          <w:b w:val="0"/>
          <w:i w:val="0"/>
          <w:color w:val="000000"/>
          <w:sz w:val="18"/>
        </w:rPr>
        <w:t>Onaylı hedef, kılavuz önerisi veya klinik çalışma seçeneği var mı?</w:t>
      </w:r>
    </w:p>
    <w:p>
      <w:pPr>
        <w:keepNext w:val="0"/>
        <w:numPr>
          <w:ilvl w:val="0"/>
          <w:numId w:val="13"/>
        </w:numPr>
        <w:spacing w:before="0" w:after="30" w:line="245" w:lineRule="auto"/>
      </w:pPr>
      <w:r>
        <w:rPr>
          <w:rFonts w:ascii="Aptos" w:hAnsi="Aptos"/>
          <w:b w:val="0"/>
          <w:i w:val="0"/>
          <w:color w:val="000000"/>
          <w:sz w:val="18"/>
        </w:rPr>
        <w:t>TMB/MSI/HRD sonucu yöntem ve eşikle birlikte nasıl raporlandı?</w:t>
      </w:r>
    </w:p>
    <w:p>
      <w:pPr>
        <w:keepNext w:val="0"/>
        <w:numPr>
          <w:ilvl w:val="0"/>
          <w:numId w:val="13"/>
        </w:numPr>
        <w:spacing w:before="0" w:after="30" w:line="245" w:lineRule="auto"/>
      </w:pPr>
      <w:r>
        <w:rPr>
          <w:rFonts w:ascii="Aptos" w:hAnsi="Aptos"/>
          <w:b w:val="0"/>
          <w:i w:val="0"/>
          <w:color w:val="000000"/>
          <w:sz w:val="18"/>
        </w:rPr>
        <w:t>Germline doğrulama, ek İHK/FISH ya da yeniden biyopsi önerilmiş mi?</w:t>
      </w:r>
    </w:p>
    <w:p>
      <w:pPr>
        <w:pStyle w:val="Heading2"/>
      </w:pPr>
      <w:r>
        <w:t>Sınırlar ve raporlama notu</w:t>
      </w:r>
    </w:p>
    <w:p>
      <w:pPr>
        <w:pStyle w:val="Callout"/>
        <w:shd w:fill="FFF8E8"/>
        <w:pBdr>
          <w:left w:val="single" w:sz="22" w:space="7" w:color="B7791F"/>
        </w:pBdr>
      </w:pPr>
      <w:r>
        <w:rPr>
          <w:rFonts w:ascii="Aptos" w:hAnsi="Aptos"/>
          <w:b/>
          <w:i w:val="0"/>
          <w:color w:val="B7791F"/>
          <w:sz w:val="18"/>
        </w:rPr>
        <w:t xml:space="preserve">Unutmayın: </w:t>
      </w:r>
      <w:r>
        <w:rPr>
          <w:rFonts w:ascii="Aptos" w:hAnsi="Aptos"/>
          <w:b w:val="0"/>
          <w:i w:val="0"/>
          <w:color w:val="12344D"/>
          <w:sz w:val="18"/>
        </w:rPr>
        <w:t>Panelde bir genin bulunması, o genin tüm ekzonlarının ve tüm değişiklik tiplerinin aynı duyarlılıkla değerlendirildiği anlamına gelmez. Klinik karar için rapordaki kapsam, kalite ve yöntem bölümü esas alınır.</w:t>
      </w:r>
    </w:p>
    <w:p>
      <w:pPr>
        <w:pStyle w:val="Heading2"/>
      </w:pPr>
      <w:r>
        <w:t>Güncel başvuru kaynakları</w:t>
      </w:r>
    </w:p>
    <w:p>
      <w:pPr>
        <w:pStyle w:val="SourceList"/>
      </w:pPr>
      <w:hyperlink r:id="rId11">
        <w:r>
          <w:rPr>
            <w:color w:val="0F6B7A"/>
            <w:u w:val="single"/>
            <w:rFonts w:ascii="Aptos" w:hAnsi="Aptos"/>
            <w:sz w:val="20"/>
          </w:rPr>
          <w:t>Panel gen kataloğu ve kapsam notları</w:t>
        </w:r>
      </w:hyperlink>
    </w:p>
    <w:p>
      <w:pPr>
        <w:pStyle w:val="SourceList"/>
      </w:pPr>
      <w:hyperlink r:id="rId12">
        <w:r>
          <w:rPr>
            <w:color w:val="0F6B7A"/>
            <w:u w:val="single"/>
            <w:rFonts w:ascii="Aptos" w:hAnsi="Aptos"/>
            <w:sz w:val="20"/>
          </w:rPr>
          <w:t>AMP Practice Guidelines – güncel moleküler patoloji önerileri</w:t>
        </w:r>
      </w:hyperlink>
    </w:p>
    <w:p>
      <w:pPr>
        <w:pStyle w:val="SourceList"/>
      </w:pPr>
      <w:hyperlink r:id="rId12">
        <w:r>
          <w:rPr>
            <w:color w:val="0F6B7A"/>
            <w:u w:val="single"/>
            <w:rFonts w:ascii="Aptos" w:hAnsi="Aptos"/>
            <w:sz w:val="20"/>
          </w:rPr>
          <w:t>AMP/CAP/SITC – TMB validasyonu ve raporlama önerileri (2024)</w:t>
        </w:r>
      </w:hyperlink>
    </w:p>
    <w:p>
      <w:pPr>
        <w:pStyle w:val="SourceList"/>
      </w:pPr>
      <w:hyperlink r:id="rId13">
        <w:r>
          <w:rPr>
            <w:color w:val="0F6B7A"/>
            <w:u w:val="single"/>
            <w:rFonts w:ascii="Aptos" w:hAnsi="Aptos"/>
            <w:sz w:val="20"/>
          </w:rPr>
          <w:t>AMP/ACCC/CAP – HRD saptama önerileri (2025)</w:t>
        </w:r>
      </w:hyperlink>
    </w:p>
    <w:p>
      <w:pPr>
        <w:pStyle w:val="SourceList"/>
      </w:pPr>
      <w:hyperlink r:id="rId14">
        <w:r>
          <w:rPr>
            <w:color w:val="0F6B7A"/>
            <w:u w:val="single"/>
            <w:rFonts w:ascii="Aptos" w:hAnsi="Aptos"/>
            <w:sz w:val="20"/>
          </w:rPr>
          <w:t>ESMO – ileri kanserde tümör NGS kullanımı önerileri (2024)</w:t>
        </w:r>
      </w:hyperlink>
    </w:p>
    <w:p>
      <w:pPr>
        <w:pStyle w:val="SourceList"/>
      </w:pPr>
      <w:hyperlink r:id="rId15">
        <w:r>
          <w:rPr>
            <w:color w:val="0F6B7A"/>
            <w:u w:val="single"/>
            <w:rFonts w:ascii="Aptos" w:hAnsi="Aptos"/>
            <w:sz w:val="20"/>
          </w:rPr>
          <w:t>CAP/IASLC/AMP – akciğer kanserinde moleküler test rehberi</w:t>
        </w:r>
      </w:hyperlink>
    </w:p>
    <w:p>
      <w:pPr>
        <w:pStyle w:val="SourceList"/>
      </w:pPr>
      <w:hyperlink r:id="rId16">
        <w:r>
          <w:rPr>
            <w:color w:val="0F6B7A"/>
            <w:u w:val="single"/>
            <w:rFonts w:ascii="Aptos" w:hAnsi="Aptos"/>
            <w:sz w:val="20"/>
          </w:rPr>
          <w:t>CAP/ASCP/AMP/ASCO – kolorektal kanserde moleküler biyobelirteçler</w:t>
        </w:r>
      </w:hyperlink>
    </w:p>
    <w:p>
      <w:pPr>
        <w:pStyle w:val="SourceList"/>
        <w:jc w:val="right"/>
      </w:pPr>
      <w:r>
        <w:rPr>
          <w:rFonts w:ascii="Aptos" w:hAnsi="Aptos"/>
          <w:b w:val="0"/>
          <w:i/>
          <w:color w:val="5F6B72"/>
          <w:sz w:val="14"/>
        </w:rPr>
        <w:t>Son kaynak kontrolü: 11 Temmuz 2026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792" w:right="1080" w:bottom="792" w:left="1080" w:header="317" w:footer="31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keepNext w:val="0"/>
      <w:spacing w:before="0" w:after="0" w:line="240" w:lineRule="auto"/>
      <w:jc w:val="right"/>
    </w:pPr>
    <w:r>
      <w:rPr>
        <w:rFonts w:ascii="Aptos" w:hAnsi="Aptos"/>
        <w:b w:val="0"/>
        <w:i w:val="0"/>
        <w:color w:val="5F6B72"/>
        <w:sz w:val="15"/>
      </w:rPr>
      <w:t xml:space="preserve">Sürüm 1.0 • Temmuz 2026  |  Sayfa </w:t>
    </w:r>
    <w:r>
      <w:rPr>
        <w:rFonts w:ascii="Aptos" w:hAnsi="Aptos"/>
        <w:b w:val="0"/>
        <w:i w:val="0"/>
        <w:color w:val="5F6B72"/>
        <w:sz w:val="17"/>
      </w:rP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keepNext w:val="0"/>
      <w:spacing w:before="0" w:after="0" w:line="240" w:lineRule="auto"/>
      <w:jc w:val="left"/>
      <w:pBdr>
        <w:bottom w:val="single" w:sz="6" w:space="4" w:color="B8CDD2"/>
      </w:pBdr>
    </w:pPr>
    <w:r>
      <w:rPr>
        <w:rFonts w:ascii="Aptos" w:hAnsi="Aptos"/>
        <w:b/>
        <w:i w:val="0"/>
        <w:color w:val="0F6B7A"/>
        <w:sz w:val="15"/>
      </w:rPr>
      <w:t>SDÜ PATOLOJİ  |  MOLEKÜLER TANI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1">
    <w:abstractNumId w:val="10"/>
  </w:num>
  <w:abstractNum w:abstractNumId="11">
    <w:multiLevelType w:val="singleLevel"/>
    <w:lvl w:ilvl="0">
      <w:start w:val="1"/>
      <w:numFmt w:val="bullet"/>
      <w:lvlText w:val="•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2">
    <w:abstractNumId w:val="11"/>
  </w:num>
  <w:abstractNum w:abstractNumId="12">
    <w:multiLevelType w:val="singleLevel"/>
    <w:lvl w:ilvl="0">
      <w:start w:val="1"/>
      <w:numFmt w:val="decimal"/>
      <w:lvlText w:val="%1."/>
      <w:suff w:val="tab"/>
      <w:pPr>
        <w:tabs>
          <w:tab w:val="num" w:pos="540"/>
        </w:tabs>
        <w:ind w:left="540" w:hanging="270"/>
        <w:spacing w:after="80" w:line="300" w:lineRule="auto"/>
      </w:pPr>
    </w:lvl>
  </w:abstractNum>
  <w:num w:numId="1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F6B7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F6B7A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2344D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allout">
    <w:name w:val="Callout"/>
    <w:pPr>
      <w:spacing w:before="40" w:after="60" w:line="245" w:lineRule="auto"/>
      <w:ind w:left="115" w:right="58"/>
    </w:pPr>
    <w:rPr>
      <w:rFonts w:ascii="Aptos" w:hAnsi="Aptos"/>
      <w:sz w:val="18"/>
    </w:rPr>
  </w:style>
  <w:style w:type="paragraph" w:customStyle="1" w:styleId="SourceList">
    <w:name w:val="SourceList"/>
    <w:pPr>
      <w:spacing w:after="20" w:line="240" w:lineRule="auto"/>
    </w:pPr>
    <w:rPr>
      <w:rFonts w:ascii="Aptos" w:hAnsi="Aptos"/>
      <w:color w:val="5F6B72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https://metinciris.github.io/sdu_panel/" TargetMode="External"/><Relationship Id="rId12" Type="http://schemas.openxmlformats.org/officeDocument/2006/relationships/hyperlink" Target="https://www.amp.org/clinical-practice/practice-guidelines/" TargetMode="External"/><Relationship Id="rId13" Type="http://schemas.openxmlformats.org/officeDocument/2006/relationships/hyperlink" Target="https://www.jmdjournal.org/article/S1525-1578%2825%2900136-9/fulltext" TargetMode="External"/><Relationship Id="rId14" Type="http://schemas.openxmlformats.org/officeDocument/2006/relationships/hyperlink" Target="https://oncologypro.esmo.org/publications/esmo-recommendations-in-precision-medicine/use-of-next-generation-sequencing-ngs-for-patients-with-advanced-cancer-in-2024" TargetMode="External"/><Relationship Id="rId15" Type="http://schemas.openxmlformats.org/officeDocument/2006/relationships/hyperlink" Target="https://www.cap.org/cap-guidelines/molecular-testing-guideline-for-the-selection-of-patients-with-lung-cancer-for-treatment-with-tyrosine/" TargetMode="External"/><Relationship Id="rId16" Type="http://schemas.openxmlformats.org/officeDocument/2006/relationships/hyperlink" Target="https://www.cap.org/cap-guidelines/molecular-biomarkers-for-the-evaluation-of-colorectal-carcinoma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Kapsamlı DNA ve RNA NGS – Laboratuvar ve Klinisyen Başvuru Rehberi</dc:title>
  <dc:subject>SDÜ Patoloji Pan-Kanser DNA 679 gen ve RNA füzyon 80 gen paneli</dc:subject>
  <dc:creator>SDÜ Tıp Fakültesi Patoloji Anabilim Dalı</dc:creator>
  <cp:keywords>NGS, DNA, RNA, füzyon, TMB, MSI, HRD, moleküler patoloji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