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2B4D"/>
          <w:sz w:val="72"/>
        </w:rPr>
        <w:br/>
        <w:br/>
        <w:t>BIST-EMS</w:t>
      </w:r>
    </w:p>
    <w:p>
      <w:pPr>
        <w:jc w:val="center"/>
      </w:pPr>
      <w:r>
        <w:rPr>
          <w:b/>
          <w:color w:val="305F91"/>
          <w:sz w:val="44"/>
        </w:rPr>
        <w:t>Advanced Trading &amp; Execution Platform</w:t>
      </w:r>
    </w:p>
    <w:p>
      <w:pPr>
        <w:jc w:val="center"/>
      </w:pPr>
      <w:r>
        <w:rPr>
          <w:color w:val="232A32"/>
          <w:sz w:val="26"/>
        </w:rPr>
        <w:t>Product Vision, Competitive Benchmark, Order Orchestration, Broker Integration and Technical Architecture</w:t>
      </w:r>
    </w:p>
    <w:p>
      <w:r>
        <w:br/>
      </w:r>
    </w:p>
    <w:tbl>
      <w:tblPr>
        <w:tblW w:type="auto" w:w="0"/>
        <w:jc w:val="center"/>
        <w:tblLook w:firstColumn="1" w:firstRow="1" w:lastColumn="0" w:lastRow="0" w:noHBand="0" w:noVBand="1" w:val="04A0"/>
      </w:tblPr>
      <w:tblGrid>
        <w:gridCol w:w="10080"/>
      </w:tblGrid>
      <w:tr>
        <w:tc>
          <w:tcPr>
            <w:tcW w:type="dxa" w:w="10080"/>
            <w:shd w:fill="EFF4F8"/>
          </w:tcPr>
          <w:p>
            <w:r>
              <w:rPr>
                <w:b/>
                <w:color w:val="172B4D"/>
                <w:sz w:val="21"/>
              </w:rPr>
              <w:t>Working-name note</w:t>
              <w:br/>
            </w:r>
            <w:r>
              <w:rPr>
                <w:color w:val="232A32"/>
                <w:sz w:val="19"/>
              </w:rPr>
              <w:t>"BIST-EMS" is used only as a working product name in this document. Commercial use of the BIST name/mark should be reviewed with legal and trademark counsel before launch.</w:t>
            </w:r>
          </w:p>
        </w:tc>
      </w:tr>
    </w:tbl>
    <w:p/>
    <w:p>
      <w:pPr>
        <w:jc w:val="center"/>
      </w:pPr>
      <w:r>
        <w:drawing>
          <wp:inline xmlns:a="http://schemas.openxmlformats.org/drawingml/2006/main" xmlns:pic="http://schemas.openxmlformats.org/drawingml/2006/picture">
            <wp:extent cx="6309360" cy="4140518"/>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309360" cy="4140518"/>
                    </a:xfrm>
                    <a:prstGeom prst="rect"/>
                  </pic:spPr>
                </pic:pic>
              </a:graphicData>
            </a:graphic>
          </wp:inline>
        </w:drawing>
      </w:r>
    </w:p>
    <w:p>
      <w:pPr>
        <w:jc w:val="center"/>
      </w:pPr>
      <w:r>
        <w:rPr>
          <w:color w:val="6E7882"/>
          <w:sz w:val="20"/>
        </w:rPr>
        <w:t>Prepared for product discovery and architecture discussion</w:t>
        <w:br/>
        <w:t>05 September 2026</w:t>
      </w:r>
    </w:p>
    <w:p>
      <w:r>
        <w:br w:type="page"/>
      </w:r>
    </w:p>
    <w:p>
      <w:pPr>
        <w:pStyle w:val="Heading1"/>
      </w:pPr>
      <w:r>
        <w:t>Contents</w:t>
      </w:r>
    </w:p>
    <w:p>
      <w:pPr>
        <w:pStyle w:val="ListBullet"/>
      </w:pPr>
      <w:r>
        <w:t>1. Executive Summary</w:t>
      </w:r>
    </w:p>
    <w:p>
      <w:pPr>
        <w:pStyle w:val="ListBullet"/>
      </w:pPr>
      <w:r>
        <w:t>2. Problem Definition and Product Thesis</w:t>
      </w:r>
    </w:p>
    <w:p>
      <w:pPr>
        <w:pStyle w:val="ListBullet"/>
      </w:pPr>
      <w:r>
        <w:t>3. Native Exchange Orders vs Synthetic EMS Orders</w:t>
      </w:r>
    </w:p>
    <w:p>
      <w:pPr>
        <w:pStyle w:val="ListBullet"/>
      </w:pPr>
      <w:r>
        <w:t>4. Turkey Market Benchmark</w:t>
      </w:r>
    </w:p>
    <w:p>
      <w:pPr>
        <w:pStyle w:val="ListBullet"/>
      </w:pPr>
      <w:r>
        <w:t>5. International Benchmark and Design Lessons</w:t>
      </w:r>
    </w:p>
    <w:p>
      <w:pPr>
        <w:pStyle w:val="ListBullet"/>
      </w:pPr>
      <w:r>
        <w:t>6. Target Product Capability Map</w:t>
      </w:r>
    </w:p>
    <w:p>
      <w:pPr>
        <w:pStyle w:val="ListBullet"/>
      </w:pPr>
      <w:r>
        <w:t>7. Advanced Order Catalog</w:t>
      </w:r>
    </w:p>
    <w:p>
      <w:pPr>
        <w:pStyle w:val="ListBullet"/>
      </w:pPr>
      <w:r>
        <w:t>8. Order Orchestration Engine</w:t>
      </w:r>
    </w:p>
    <w:p>
      <w:pPr>
        <w:pStyle w:val="ListBullet"/>
      </w:pPr>
      <w:r>
        <w:t>9. Broker Adapter and Integration Architecture</w:t>
      </w:r>
    </w:p>
    <w:p>
      <w:pPr>
        <w:pStyle w:val="ListBullet"/>
      </w:pPr>
      <w:r>
        <w:t>10. Real-Time Data and Event Architecture</w:t>
      </w:r>
    </w:p>
    <w:p>
      <w:pPr>
        <w:pStyle w:val="ListBullet"/>
      </w:pPr>
      <w:r>
        <w:t>11. Trader Experience and Screen Architecture</w:t>
      </w:r>
    </w:p>
    <w:p>
      <w:pPr>
        <w:pStyle w:val="ListBullet"/>
      </w:pPr>
      <w:r>
        <w:t>12. Risk, Compliance, Audit and Controls</w:t>
      </w:r>
    </w:p>
    <w:p>
      <w:pPr>
        <w:pStyle w:val="ListBullet"/>
      </w:pPr>
      <w:r>
        <w:t>13. Reliability, HA, Recovery and Reconciliation</w:t>
      </w:r>
    </w:p>
    <w:p>
      <w:pPr>
        <w:pStyle w:val="ListBullet"/>
      </w:pPr>
      <w:r>
        <w:t>14. Canonical Data Model and API Surface</w:t>
      </w:r>
    </w:p>
    <w:p>
      <w:pPr>
        <w:pStyle w:val="ListBullet"/>
      </w:pPr>
      <w:r>
        <w:t>15. Deployment Architecture and Technology Choices</w:t>
      </w:r>
    </w:p>
    <w:p>
      <w:pPr>
        <w:pStyle w:val="ListBullet"/>
      </w:pPr>
      <w:r>
        <w:t>16. MVP and Phased Roadmap</w:t>
      </w:r>
    </w:p>
    <w:p>
      <w:pPr>
        <w:pStyle w:val="ListBullet"/>
      </w:pPr>
      <w:r>
        <w:t>17. Testing and Certification Strategy</w:t>
      </w:r>
    </w:p>
    <w:p>
      <w:pPr>
        <w:pStyle w:val="ListBullet"/>
      </w:pPr>
      <w:r>
        <w:t>18. Operational KPIs and Product Metrics</w:t>
      </w:r>
    </w:p>
    <w:p>
      <w:pPr>
        <w:pStyle w:val="ListBullet"/>
      </w:pPr>
      <w:r>
        <w:t>19. Key Risks and Mitigations</w:t>
      </w:r>
    </w:p>
    <w:p>
      <w:pPr>
        <w:pStyle w:val="ListBullet"/>
      </w:pPr>
      <w:r>
        <w:t>20. Recommended Delivery Model</w:t>
      </w:r>
    </w:p>
    <w:p>
      <w:pPr>
        <w:pStyle w:val="ListBullet"/>
      </w:pPr>
      <w:r>
        <w:t>21. Sources and Reference Material</w:t>
      </w:r>
    </w:p>
    <w:p>
      <w:r>
        <w:br w:type="page"/>
      </w:r>
    </w:p>
    <w:p>
      <w:pPr>
        <w:pStyle w:val="Heading1"/>
      </w:pPr>
      <w:r>
        <w:t>1. Executive Summary</w:t>
      </w:r>
    </w:p>
    <w:p>
      <w:r>
        <w:rPr>
          <w:i w:val="0"/>
        </w:rPr>
        <w:t>BIST-EMS is a proposed broker-neutral Execution Management System (EMS) and advanced order orchestration layer for Turkish capital markets. The central product idea is deliberately conservative at the infrastructure boundary and aggressive at the user-experience boundary: do not replace the broker's existing OMS/RMS or Borsa Istanbul connectivity; instead, add a modern execution layer in front of it.</w:t>
      </w:r>
    </w:p>
    <w:tbl>
      <w:tblPr>
        <w:tblW w:type="auto" w:w="0"/>
        <w:jc w:val="center"/>
        <w:tblLook w:firstColumn="1" w:firstRow="1" w:lastColumn="0" w:lastRow="0" w:noHBand="0" w:noVBand="1" w:val="04A0"/>
      </w:tblPr>
      <w:tblGrid>
        <w:gridCol w:w="10080"/>
      </w:tblGrid>
      <w:tr>
        <w:tc>
          <w:tcPr>
            <w:tcW w:type="dxa" w:w="10080"/>
            <w:shd w:fill="EFF4F8"/>
          </w:tcPr>
          <w:p>
            <w:r>
              <w:rPr>
                <w:b/>
                <w:color w:val="172B4D"/>
                <w:sz w:val="21"/>
              </w:rPr>
              <w:t>Core architectural principle</w:t>
              <w:br/>
            </w:r>
            <w:r>
              <w:rPr>
                <w:color w:val="232A32"/>
                <w:sz w:val="19"/>
              </w:rPr>
              <w:t>Preserve the existing order-routing chain. The product sits between the trader UI and the broker OMS/API, converts high-level trading intentions into controlled native child orders, and maintains the synthetic order state server-side.</w:t>
            </w:r>
          </w:p>
        </w:tc>
      </w:tr>
    </w:tbl>
    <w:p/>
    <w:p>
      <w:r>
        <w:rPr>
          <w:i w:val="0"/>
        </w:rPr>
        <w:t>The opportunity exists because many local trading experiences remain fragmented across charting, market depth, order entry, portfolio monitoring, special-order screens and algorithmic modules. Osmanli Aktif Trader, MatriksIQ and iDeal demonstrate that Turkish investors already value advanced orders and automation, while ATP/Tradesoft demonstrates that institutional broker infrastructure is mature and deeply embedded. BIST-EMS should therefore compete as a white-label front-office execution layer rather than as another broker core.</w:t>
      </w:r>
    </w:p>
    <w:p>
      <w:r>
        <w:rPr>
          <w:i w:val="0"/>
        </w:rPr>
        <w:t>The most important differentiator is not a longer list of order buttons. It is a resilient order orchestration engine that can safely manage partial fills, linked exits, protective stops, time/volume slicing, cancellations, retries, reconciliation and broker-specific protocol differences without depending on the browser remaining open.</w:t>
      </w:r>
    </w:p>
    <w:tbl>
      <w:tblPr>
        <w:tblStyle w:val="TableGrid"/>
        <w:tblW w:type="auto" w:w="0"/>
        <w:jc w:val="center"/>
        <w:tblLook w:firstColumn="1" w:firstRow="1" w:lastColumn="0" w:lastRow="0" w:noHBand="0" w:noVBand="1" w:val="04A0"/>
      </w:tblPr>
      <w:tblGrid>
        <w:gridCol w:w="5040"/>
        <w:gridCol w:w="5040"/>
      </w:tblGrid>
      <w:tr>
        <w:tc>
          <w:tcPr>
            <w:tcW w:type="dxa" w:w="2088"/>
            <w:vAlign w:val="center"/>
            <w:shd w:fill="17304D"/>
          </w:tcPr>
          <w:p>
            <w:r/>
            <w:r>
              <w:rPr>
                <w:rFonts w:ascii="Liberation Sans" w:hAnsi="Liberation Sans"/>
                <w:b/>
                <w:color w:val="FFFFFF"/>
                <w:sz w:val="16"/>
              </w:rPr>
              <w:t>Dimension</w:t>
            </w:r>
          </w:p>
        </w:tc>
        <w:tc>
          <w:tcPr>
            <w:tcW w:type="dxa" w:w="7560"/>
            <w:vAlign w:val="center"/>
            <w:shd w:fill="17304D"/>
          </w:tcPr>
          <w:p>
            <w:r/>
            <w:r>
              <w:rPr>
                <w:rFonts w:ascii="Liberation Sans" w:hAnsi="Liberation Sans"/>
                <w:b/>
                <w:color w:val="FFFFFF"/>
                <w:sz w:val="16"/>
              </w:rPr>
              <w:t>Target position</w:t>
            </w:r>
          </w:p>
        </w:tc>
      </w:tr>
      <w:tr>
        <w:tc>
          <w:tcPr>
            <w:tcW w:type="dxa" w:w="2088"/>
            <w:vAlign w:val="center"/>
          </w:tcPr>
          <w:p>
            <w:r/>
            <w:r>
              <w:rPr>
                <w:rFonts w:ascii="Liberation Sans" w:hAnsi="Liberation Sans"/>
                <w:b w:val="0"/>
                <w:color w:val="232A32"/>
                <w:sz w:val="16"/>
              </w:rPr>
              <w:t>Product category</w:t>
            </w:r>
          </w:p>
        </w:tc>
        <w:tc>
          <w:tcPr>
            <w:tcW w:type="dxa" w:w="7560"/>
            <w:vAlign w:val="center"/>
          </w:tcPr>
          <w:p>
            <w:r/>
            <w:r>
              <w:rPr>
                <w:rFonts w:ascii="Liberation Sans" w:hAnsi="Liberation Sans"/>
                <w:b w:val="0"/>
                <w:color w:val="232A32"/>
                <w:sz w:val="16"/>
              </w:rPr>
              <w:t>White-label EMS / advanced trading terminal / synthetic order engine</w:t>
            </w:r>
          </w:p>
        </w:tc>
      </w:tr>
      <w:tr>
        <w:tc>
          <w:tcPr>
            <w:tcW w:type="dxa" w:w="2088"/>
            <w:vAlign w:val="center"/>
            <w:shd w:fill="F5F7F9"/>
          </w:tcPr>
          <w:p>
            <w:r/>
            <w:r>
              <w:rPr>
                <w:rFonts w:ascii="Liberation Sans" w:hAnsi="Liberation Sans"/>
                <w:b w:val="0"/>
                <w:color w:val="232A32"/>
                <w:sz w:val="16"/>
              </w:rPr>
              <w:t>Primary buyer</w:t>
            </w:r>
          </w:p>
        </w:tc>
        <w:tc>
          <w:tcPr>
            <w:tcW w:type="dxa" w:w="7560"/>
            <w:vAlign w:val="center"/>
            <w:shd w:fill="F5F7F9"/>
          </w:tcPr>
          <w:p>
            <w:r/>
            <w:r>
              <w:rPr>
                <w:rFonts w:ascii="Liberation Sans" w:hAnsi="Liberation Sans"/>
                <w:b w:val="0"/>
                <w:color w:val="232A32"/>
                <w:sz w:val="16"/>
              </w:rPr>
              <w:t>Brokerage firms, banks with brokerage channels, professional trading desks</w:t>
            </w:r>
          </w:p>
        </w:tc>
      </w:tr>
      <w:tr>
        <w:tc>
          <w:tcPr>
            <w:tcW w:type="dxa" w:w="2088"/>
            <w:vAlign w:val="center"/>
          </w:tcPr>
          <w:p>
            <w:r/>
            <w:r>
              <w:rPr>
                <w:rFonts w:ascii="Liberation Sans" w:hAnsi="Liberation Sans"/>
                <w:b w:val="0"/>
                <w:color w:val="232A32"/>
                <w:sz w:val="16"/>
              </w:rPr>
              <w:t>Primary users</w:t>
            </w:r>
          </w:p>
        </w:tc>
        <w:tc>
          <w:tcPr>
            <w:tcW w:type="dxa" w:w="7560"/>
            <w:vAlign w:val="center"/>
          </w:tcPr>
          <w:p>
            <w:r/>
            <w:r>
              <w:rPr>
                <w:rFonts w:ascii="Liberation Sans" w:hAnsi="Liberation Sans"/>
                <w:b w:val="0"/>
                <w:color w:val="232A32"/>
                <w:sz w:val="16"/>
              </w:rPr>
              <w:t>Active retail traders, high-frequency discretionary users, dealers, relationship desks, professional clients</w:t>
            </w:r>
          </w:p>
        </w:tc>
      </w:tr>
      <w:tr>
        <w:tc>
          <w:tcPr>
            <w:tcW w:type="dxa" w:w="2088"/>
            <w:vAlign w:val="center"/>
            <w:shd w:fill="F5F7F9"/>
          </w:tcPr>
          <w:p>
            <w:r/>
            <w:r>
              <w:rPr>
                <w:rFonts w:ascii="Liberation Sans" w:hAnsi="Liberation Sans"/>
                <w:b w:val="0"/>
                <w:color w:val="232A32"/>
                <w:sz w:val="16"/>
              </w:rPr>
              <w:t>Integration posture</w:t>
            </w:r>
          </w:p>
        </w:tc>
        <w:tc>
          <w:tcPr>
            <w:tcW w:type="dxa" w:w="7560"/>
            <w:vAlign w:val="center"/>
            <w:shd w:fill="F5F7F9"/>
          </w:tcPr>
          <w:p>
            <w:r/>
            <w:r>
              <w:rPr>
                <w:rFonts w:ascii="Liberation Sans" w:hAnsi="Liberation Sans"/>
                <w:b w:val="0"/>
                <w:color w:val="232A32"/>
                <w:sz w:val="16"/>
              </w:rPr>
              <w:t>Non-invasive: existing OMS/RMS/BIST connectivity remains system of record for exchange-native orders</w:t>
            </w:r>
          </w:p>
        </w:tc>
      </w:tr>
      <w:tr>
        <w:tc>
          <w:tcPr>
            <w:tcW w:type="dxa" w:w="2088"/>
            <w:vAlign w:val="center"/>
          </w:tcPr>
          <w:p>
            <w:r/>
            <w:r>
              <w:rPr>
                <w:rFonts w:ascii="Liberation Sans" w:hAnsi="Liberation Sans"/>
                <w:b w:val="0"/>
                <w:color w:val="232A32"/>
                <w:sz w:val="16"/>
              </w:rPr>
              <w:t>Differentiation</w:t>
            </w:r>
          </w:p>
        </w:tc>
        <w:tc>
          <w:tcPr>
            <w:tcW w:type="dxa" w:w="7560"/>
            <w:vAlign w:val="center"/>
          </w:tcPr>
          <w:p>
            <w:r/>
            <w:r>
              <w:rPr>
                <w:rFonts w:ascii="Liberation Sans" w:hAnsi="Liberation Sans"/>
                <w:b w:val="0"/>
                <w:color w:val="232A32"/>
                <w:sz w:val="16"/>
              </w:rPr>
              <w:t>Modern trader UX + server-side synthetic orders + broker-neutral adapter model + risk/audit controls</w:t>
            </w:r>
          </w:p>
        </w:tc>
      </w:tr>
      <w:tr>
        <w:tc>
          <w:tcPr>
            <w:tcW w:type="dxa" w:w="2088"/>
            <w:vAlign w:val="center"/>
            <w:shd w:fill="F5F7F9"/>
          </w:tcPr>
          <w:p>
            <w:r/>
            <w:r>
              <w:rPr>
                <w:rFonts w:ascii="Liberation Sans" w:hAnsi="Liberation Sans"/>
                <w:b w:val="0"/>
                <w:color w:val="232A32"/>
                <w:sz w:val="16"/>
              </w:rPr>
              <w:t>Initial markets</w:t>
            </w:r>
          </w:p>
        </w:tc>
        <w:tc>
          <w:tcPr>
            <w:tcW w:type="dxa" w:w="7560"/>
            <w:vAlign w:val="center"/>
            <w:shd w:fill="F5F7F9"/>
          </w:tcPr>
          <w:p>
            <w:r/>
            <w:r>
              <w:rPr>
                <w:rFonts w:ascii="Liberation Sans" w:hAnsi="Liberation Sans"/>
                <w:b w:val="0"/>
                <w:color w:val="232A32"/>
                <w:sz w:val="16"/>
              </w:rPr>
              <w:t>BIST Pay Market and VIOP; architecture extensible to warrants, options and other venues</w:t>
            </w:r>
          </w:p>
        </w:tc>
      </w:tr>
      <w:tr>
        <w:tc>
          <w:tcPr>
            <w:tcW w:type="dxa" w:w="2088"/>
            <w:vAlign w:val="center"/>
          </w:tcPr>
          <w:p>
            <w:r/>
            <w:r>
              <w:rPr>
                <w:rFonts w:ascii="Liberation Sans" w:hAnsi="Liberation Sans"/>
                <w:b w:val="0"/>
                <w:color w:val="232A32"/>
                <w:sz w:val="16"/>
              </w:rPr>
              <w:t>Commercial model</w:t>
            </w:r>
          </w:p>
        </w:tc>
        <w:tc>
          <w:tcPr>
            <w:tcW w:type="dxa" w:w="7560"/>
            <w:vAlign w:val="center"/>
          </w:tcPr>
          <w:p>
            <w:r/>
            <w:r>
              <w:rPr>
                <w:rFonts w:ascii="Liberation Sans" w:hAnsi="Liberation Sans"/>
                <w:b w:val="0"/>
                <w:color w:val="232A32"/>
                <w:sz w:val="16"/>
              </w:rPr>
              <w:t>White-label license + institution adapter/integration + support/SLA + premium algorithm modules</w:t>
            </w:r>
          </w:p>
        </w:tc>
      </w:tr>
    </w:tbl>
    <w:p/>
    <w:p>
      <w:pPr>
        <w:pStyle w:val="ListBullet"/>
      </w:pPr>
      <w:r>
        <w:t>MVP priority: fast order entry, DOM/ladder, order blotter, cancel/replace, OCO, bracket, chain, trailing stop, conditional orders, basket and server-side persistence.</w:t>
      </w:r>
    </w:p>
    <w:p>
      <w:pPr>
        <w:pStyle w:val="ListBullet"/>
      </w:pPr>
      <w:r>
        <w:t>Phase 2 priority: TWAP, VWAP, POV, iceberg/slicing, scale-in/scale-out, pair/basket strategies, order templates and advanced risk rules.</w:t>
      </w:r>
    </w:p>
    <w:p>
      <w:pPr>
        <w:pStyle w:val="ListBullet"/>
      </w:pPr>
      <w:r>
        <w:t>Phase 3 priority: multi-broker/multi-account orchestration, smart routing where legally and technically applicable, institutional analytics, TCA and programmable execution.</w:t>
      </w:r>
    </w:p>
    <w:p>
      <w:pPr>
        <w:pStyle w:val="Heading1"/>
      </w:pPr>
      <w:r>
        <w:t>2. Problem Definition and Product Thesis</w:t>
      </w:r>
    </w:p>
    <w:p>
      <w:pPr>
        <w:pStyle w:val="Heading2"/>
      </w:pPr>
      <w:r>
        <w:t>2.1 Customer problem</w:t>
      </w:r>
    </w:p>
    <w:p>
      <w:r>
        <w:rPr>
          <w:i w:val="0"/>
        </w:rPr>
        <w:t>The customer complaint can be translated into four product problems: order-entry screens are operational rather than trader-centric; advanced order logic is scattered into separate menus; interaction cost is too high for active trading; and capabilities vary significantly by institution because every broker exposes different APIs, OMS features and special-order implementations.</w:t>
      </w:r>
    </w:p>
    <w:p>
      <w:r>
        <w:rPr>
          <w:i w:val="0"/>
        </w:rPr>
        <w:t>A trader should not need to mentally translate a strategy into several disconnected tickets. The product should allow the trader to express intent - for example, "buy 10,000 lots, take half profit at +3%, the rest at +5%, move the stop to break-even after TP1, and never expose more sell quantity than the actual filled position" - and the EMS should safely orchestrate the required child orders.</w:t>
      </w:r>
    </w:p>
    <w:p>
      <w:pPr>
        <w:pStyle w:val="Heading2"/>
      </w:pPr>
      <w:r>
        <w:t>2.2 Product thesis</w:t>
      </w:r>
    </w:p>
    <w:p>
      <w:r>
        <w:rPr>
          <w:i w:val="0"/>
        </w:rPr>
        <w:t>The product should separate trading intent from venue execution. The UI and synthetic-order engine work with a canonical model; the adapter layer translates that model to each institution. This prevents advanced-order logic from being reimplemented for every broker and creates a reusable product core.</w:t>
      </w:r>
    </w:p>
    <w:tbl>
      <w:tblPr>
        <w:tblW w:type="auto" w:w="0"/>
        <w:jc w:val="center"/>
        <w:tblLook w:firstColumn="1" w:firstRow="1" w:lastColumn="0" w:lastRow="0" w:noHBand="0" w:noVBand="1" w:val="04A0"/>
      </w:tblPr>
      <w:tblGrid>
        <w:gridCol w:w="10080"/>
      </w:tblGrid>
      <w:tr>
        <w:tc>
          <w:tcPr>
            <w:tcW w:type="dxa" w:w="10080"/>
            <w:shd w:fill="EFF4F8"/>
          </w:tcPr>
          <w:p>
            <w:r>
              <w:rPr>
                <w:b/>
                <w:color w:val="172B4D"/>
                <w:sz w:val="21"/>
              </w:rPr>
              <w:t>What BIST-EMS should not become</w:t>
              <w:br/>
            </w:r>
            <w:r>
              <w:rPr>
                <w:color w:val="232A32"/>
                <w:sz w:val="19"/>
              </w:rPr>
              <w:t>It should not be a charting terminal with a few macros added on top, and it should not attempt to replace a broker OMS in the first release. Replacing settlement, accounting, customer master, collateral and complete regulatory back-office workflows would multiply scope and risk without improving the core execution proposition.</w:t>
            </w:r>
          </w:p>
        </w:tc>
      </w:tr>
    </w:tbl>
    <w:p/>
    <w:p>
      <w:pPr>
        <w:pStyle w:val="Heading1"/>
      </w:pPr>
      <w:r>
        <w:t>3. Native Exchange Orders vs Synthetic EMS Orders</w:t>
      </w:r>
    </w:p>
    <w:p>
      <w:r>
        <w:rPr>
          <w:i w:val="0"/>
        </w:rPr>
        <w:t>Borsa Istanbul Pay Market supports exchange-native order types and conditions such as limit, market, market-to-limit, imbalance, partially displayed/iceberg, quotation, midpoint, weighted-average-price and short-sale orders, subject to instrument/session rules. These are managed by the exchange matching system once accepted.</w:t>
      </w:r>
    </w:p>
    <w:p>
      <w:r>
        <w:rPr>
          <w:i w:val="0"/>
        </w:rPr>
        <w:t>An EMS synthetic order is different. It is a parent instruction managed outside the exchange. The EMS observes market data and execution events, then submits, modifies or cancels native child orders according to a state machine. This is the same architectural pattern used globally by professional execution platforms: the synthetic parent is managed by an algo/order server while child orders are sent to the venue.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944"/>
            <w:vAlign w:val="center"/>
            <w:shd w:fill="17304D"/>
          </w:tcPr>
          <w:p>
            <w:r/>
            <w:r>
              <w:rPr>
                <w:rFonts w:ascii="Liberation Sans" w:hAnsi="Liberation Sans"/>
                <w:b/>
                <w:color w:val="FFFFFF"/>
                <w:sz w:val="16"/>
              </w:rPr>
              <w:t>Layer</w:t>
            </w:r>
          </w:p>
        </w:tc>
        <w:tc>
          <w:tcPr>
            <w:tcW w:type="dxa" w:w="2880"/>
            <w:vAlign w:val="center"/>
            <w:shd w:fill="17304D"/>
          </w:tcPr>
          <w:p>
            <w:r/>
            <w:r>
              <w:rPr>
                <w:rFonts w:ascii="Liberation Sans" w:hAnsi="Liberation Sans"/>
                <w:b/>
                <w:color w:val="FFFFFF"/>
                <w:sz w:val="16"/>
              </w:rPr>
              <w:t>Examples</w:t>
            </w:r>
          </w:p>
        </w:tc>
        <w:tc>
          <w:tcPr>
            <w:tcW w:type="dxa" w:w="2376"/>
            <w:vAlign w:val="center"/>
            <w:shd w:fill="17304D"/>
          </w:tcPr>
          <w:p>
            <w:r/>
            <w:r>
              <w:rPr>
                <w:rFonts w:ascii="Liberation Sans" w:hAnsi="Liberation Sans"/>
                <w:b/>
                <w:color w:val="FFFFFF"/>
                <w:sz w:val="16"/>
              </w:rPr>
              <w:t>Who owns the state?</w:t>
            </w:r>
          </w:p>
        </w:tc>
        <w:tc>
          <w:tcPr>
            <w:tcW w:type="dxa" w:w="3240"/>
            <w:vAlign w:val="center"/>
            <w:shd w:fill="17304D"/>
          </w:tcPr>
          <w:p>
            <w:r/>
            <w:r>
              <w:rPr>
                <w:rFonts w:ascii="Liberation Sans" w:hAnsi="Liberation Sans"/>
                <w:b/>
                <w:color w:val="FFFFFF"/>
                <w:sz w:val="16"/>
              </w:rPr>
              <w:t>Failure implication</w:t>
            </w:r>
          </w:p>
        </w:tc>
      </w:tr>
      <w:tr>
        <w:tc>
          <w:tcPr>
            <w:tcW w:type="dxa" w:w="1944"/>
            <w:vAlign w:val="center"/>
          </w:tcPr>
          <w:p>
            <w:r/>
            <w:r>
              <w:rPr>
                <w:rFonts w:ascii="Liberation Sans" w:hAnsi="Liberation Sans"/>
                <w:b w:val="0"/>
                <w:color w:val="232A32"/>
                <w:sz w:val="16"/>
              </w:rPr>
              <w:t>Exchange-native</w:t>
            </w:r>
          </w:p>
        </w:tc>
        <w:tc>
          <w:tcPr>
            <w:tcW w:type="dxa" w:w="2880"/>
            <w:vAlign w:val="center"/>
          </w:tcPr>
          <w:p>
            <w:r/>
            <w:r>
              <w:rPr>
                <w:rFonts w:ascii="Liberation Sans" w:hAnsi="Liberation Sans"/>
                <w:b w:val="0"/>
                <w:color w:val="232A32"/>
                <w:sz w:val="16"/>
              </w:rPr>
              <w:t>Limit, market, market-to-limit, exchange-supported iceberg/conditions</w:t>
            </w:r>
          </w:p>
        </w:tc>
        <w:tc>
          <w:tcPr>
            <w:tcW w:type="dxa" w:w="2376"/>
            <w:vAlign w:val="center"/>
          </w:tcPr>
          <w:p>
            <w:r/>
            <w:r>
              <w:rPr>
                <w:rFonts w:ascii="Liberation Sans" w:hAnsi="Liberation Sans"/>
                <w:b w:val="0"/>
                <w:color w:val="232A32"/>
                <w:sz w:val="16"/>
              </w:rPr>
              <w:t>BIST/BISTECH after acceptance</w:t>
            </w:r>
          </w:p>
        </w:tc>
        <w:tc>
          <w:tcPr>
            <w:tcW w:type="dxa" w:w="3240"/>
            <w:vAlign w:val="center"/>
          </w:tcPr>
          <w:p>
            <w:r/>
            <w:r>
              <w:rPr>
                <w:rFonts w:ascii="Liberation Sans" w:hAnsi="Liberation Sans"/>
                <w:b w:val="0"/>
                <w:color w:val="232A32"/>
                <w:sz w:val="16"/>
              </w:rPr>
              <w:t>Exchange continues to manage accepted order even if client UI disconnects</w:t>
            </w:r>
          </w:p>
        </w:tc>
      </w:tr>
      <w:tr>
        <w:tc>
          <w:tcPr>
            <w:tcW w:type="dxa" w:w="1944"/>
            <w:vAlign w:val="center"/>
            <w:shd w:fill="F5F7F9"/>
          </w:tcPr>
          <w:p>
            <w:r/>
            <w:r>
              <w:rPr>
                <w:rFonts w:ascii="Liberation Sans" w:hAnsi="Liberation Sans"/>
                <w:b w:val="0"/>
                <w:color w:val="232A32"/>
                <w:sz w:val="16"/>
              </w:rPr>
              <w:t>Broker-native special order</w:t>
            </w:r>
          </w:p>
        </w:tc>
        <w:tc>
          <w:tcPr>
            <w:tcW w:type="dxa" w:w="2880"/>
            <w:vAlign w:val="center"/>
            <w:shd w:fill="F5F7F9"/>
          </w:tcPr>
          <w:p>
            <w:r/>
            <w:r>
              <w:rPr>
                <w:rFonts w:ascii="Liberation Sans" w:hAnsi="Liberation Sans"/>
                <w:b w:val="0"/>
                <w:color w:val="232A32"/>
                <w:sz w:val="16"/>
              </w:rPr>
              <w:t>Broker-specific conditional, chain or stop implementation</w:t>
            </w:r>
          </w:p>
        </w:tc>
        <w:tc>
          <w:tcPr>
            <w:tcW w:type="dxa" w:w="2376"/>
            <w:vAlign w:val="center"/>
            <w:shd w:fill="F5F7F9"/>
          </w:tcPr>
          <w:p>
            <w:r/>
            <w:r>
              <w:rPr>
                <w:rFonts w:ascii="Liberation Sans" w:hAnsi="Liberation Sans"/>
                <w:b w:val="0"/>
                <w:color w:val="232A32"/>
                <w:sz w:val="16"/>
              </w:rPr>
              <w:t>Broker special-order service / OMS</w:t>
            </w:r>
          </w:p>
        </w:tc>
        <w:tc>
          <w:tcPr>
            <w:tcW w:type="dxa" w:w="3240"/>
            <w:vAlign w:val="center"/>
            <w:shd w:fill="F5F7F9"/>
          </w:tcPr>
          <w:p>
            <w:r/>
            <w:r>
              <w:rPr>
                <w:rFonts w:ascii="Liberation Sans" w:hAnsi="Liberation Sans"/>
                <w:b w:val="0"/>
                <w:color w:val="232A32"/>
                <w:sz w:val="16"/>
              </w:rPr>
              <w:t>Behavior depends on broker implementation and SLA</w:t>
            </w:r>
          </w:p>
        </w:tc>
      </w:tr>
      <w:tr>
        <w:tc>
          <w:tcPr>
            <w:tcW w:type="dxa" w:w="1944"/>
            <w:vAlign w:val="center"/>
          </w:tcPr>
          <w:p>
            <w:r/>
            <w:r>
              <w:rPr>
                <w:rFonts w:ascii="Liberation Sans" w:hAnsi="Liberation Sans"/>
                <w:b w:val="0"/>
                <w:color w:val="232A32"/>
                <w:sz w:val="16"/>
              </w:rPr>
              <w:t>BIST-EMS synthetic</w:t>
            </w:r>
          </w:p>
        </w:tc>
        <w:tc>
          <w:tcPr>
            <w:tcW w:type="dxa" w:w="2880"/>
            <w:vAlign w:val="center"/>
          </w:tcPr>
          <w:p>
            <w:r/>
            <w:r>
              <w:rPr>
                <w:rFonts w:ascii="Liberation Sans" w:hAnsi="Liberation Sans"/>
                <w:b w:val="0"/>
                <w:color w:val="232A32"/>
                <w:sz w:val="16"/>
              </w:rPr>
              <w:t>OCO, OTOCO, bracket, trailing, TWAP/VWAP/POV, basket, scale-out</w:t>
            </w:r>
          </w:p>
        </w:tc>
        <w:tc>
          <w:tcPr>
            <w:tcW w:type="dxa" w:w="2376"/>
            <w:vAlign w:val="center"/>
          </w:tcPr>
          <w:p>
            <w:r/>
            <w:r>
              <w:rPr>
                <w:rFonts w:ascii="Liberation Sans" w:hAnsi="Liberation Sans"/>
                <w:b w:val="0"/>
                <w:color w:val="232A32"/>
                <w:sz w:val="16"/>
              </w:rPr>
              <w:t>BIST-EMS orchestrator</w:t>
            </w:r>
          </w:p>
        </w:tc>
        <w:tc>
          <w:tcPr>
            <w:tcW w:type="dxa" w:w="3240"/>
            <w:vAlign w:val="center"/>
          </w:tcPr>
          <w:p>
            <w:r/>
            <w:r>
              <w:rPr>
                <w:rFonts w:ascii="Liberation Sans" w:hAnsi="Liberation Sans"/>
                <w:b w:val="0"/>
                <w:color w:val="232A32"/>
                <w:sz w:val="16"/>
              </w:rPr>
              <w:t>Must survive UI disconnects and reconcile continuously with broker state</w:t>
            </w:r>
          </w:p>
        </w:tc>
      </w:tr>
    </w:tbl>
    <w:p/>
    <w:p>
      <w:r>
        <w:rPr>
          <w:i w:val="0"/>
        </w:rPr>
        <w:t>This distinction drives the entire architecture: synthetic logic must not live only in the browser. Browser-side logic is acceptable for previews and validation, but the authoritative state machine must run in a server process with durable state and idempotent command handling.</w:t>
      </w:r>
    </w:p>
    <w:p>
      <w:pPr>
        <w:jc w:val="center"/>
      </w:pPr>
      <w:r>
        <w:drawing>
          <wp:inline xmlns:a="http://schemas.openxmlformats.org/drawingml/2006/main" xmlns:pic="http://schemas.openxmlformats.org/drawingml/2006/picture">
            <wp:extent cx="6309360" cy="3549015"/>
            <wp:docPr id="2" name="Picture 2"/>
            <wp:cNvGraphicFramePr>
              <a:graphicFrameLocks noChangeAspect="1"/>
            </wp:cNvGraphicFramePr>
            <a:graphic>
              <a:graphicData uri="http://schemas.openxmlformats.org/drawingml/2006/picture">
                <pic:pic>
                  <pic:nvPicPr>
                    <pic:cNvPr id="0" name="order_tree.png"/>
                    <pic:cNvPicPr/>
                  </pic:nvPicPr>
                  <pic:blipFill>
                    <a:blip r:embed="rId12"/>
                    <a:stretch>
                      <a:fillRect/>
                    </a:stretch>
                  </pic:blipFill>
                  <pic:spPr>
                    <a:xfrm>
                      <a:off x="0" y="0"/>
                      <a:ext cx="6309360" cy="3549015"/>
                    </a:xfrm>
                    <a:prstGeom prst="rect"/>
                  </pic:spPr>
                </pic:pic>
              </a:graphicData>
            </a:graphic>
          </wp:inline>
        </w:drawing>
      </w:r>
    </w:p>
    <w:p>
      <w:pPr>
        <w:pStyle w:val="SmallNote"/>
        <w:jc w:val="center"/>
      </w:pPr>
      <w:r>
        <w:t>Figure 1 - Example of a server-side bracket order tree with partial-fill-aware child quantities.</w:t>
      </w:r>
    </w:p>
    <w:p>
      <w:pPr>
        <w:pStyle w:val="Heading1"/>
      </w:pPr>
      <w:r>
        <w:t>4. Turkey Market Benchmark</w:t>
      </w:r>
    </w:p>
    <w:p>
      <w:pPr>
        <w:pStyle w:val="Heading2"/>
      </w:pPr>
      <w:r>
        <w:t>4.1 Osmanli Yatirim - Aktif Trader</w:t>
      </w:r>
    </w:p>
    <w:p>
      <w:r>
        <w:rPr>
          <w:i w:val="0"/>
        </w:rPr>
        <w:t>Osmanli Aktif Trader is one of the most relevant local benchmarks because it combines portfolio, analytics, order follow-up, special orders and a Kokpit trading screen. Public product material lists take-profit/stop-loss, trailing stop, timed orders, sliced orders, conditional orders, one-cancels-other, chain orders, conditional cancellation, chain-linked cancellation and futures strategy orders. The Kokpit experience includes one-click order entry, automatic quantity, drag-and-drop price updates, cancel/modify from the same screen and market-depth interaction when the user has a depth package.</w:t>
      </w:r>
    </w:p>
    <w:p>
      <w:r>
        <w:rPr>
          <w:i w:val="0"/>
        </w:rPr>
        <w:t>The product lesson is that Turkish users already understand and use synthetic order concepts. BIST-EMS should not merely reproduce these features; it should make them composable, more visual, safer under partial fills, available through a consistent builder, and portable across institutions.</w:t>
      </w:r>
    </w:p>
    <w:p>
      <w:pPr>
        <w:pStyle w:val="Heading2"/>
      </w:pPr>
      <w:r>
        <w:t>4.2 MatriksIQ</w:t>
      </w:r>
    </w:p>
    <w:p>
      <w:r>
        <w:rPr>
          <w:i w:val="0"/>
        </w:rPr>
        <w:t>MatriksIQ is a stronger benchmark for algorithmic extensibility. Its public documentation emphasizes multi-symbol and multi-timeframe algorithms, C# development, backtesting/optimization and order functions that can be used to build TWAP, basket, staged orders, take-profit, bulk orders, strategy orders and pair orders. This demonstrates demand for programmable execution beyond basic special orders.</w:t>
      </w:r>
    </w:p>
    <w:p>
      <w:pPr>
        <w:pStyle w:val="Heading2"/>
      </w:pPr>
      <w:r>
        <w:t>4.3 iDeal Data</w:t>
      </w:r>
    </w:p>
    <w:p>
      <w:r>
        <w:rPr>
          <w:i w:val="0"/>
        </w:rPr>
        <w:t>iDeal provides broker-account and portfolio integration, algorithmic trading infrastructure, fast order windows, strategy examples and automatic take-profit/stop functionality. The strategic lesson is not that its feature set is weak; rather, BIST-EMS should differentiate by making execution workflows first-class, visual and institution-grade instead of treating execution as one module inside a broader data terminal.</w:t>
      </w:r>
    </w:p>
    <w:p>
      <w:pPr>
        <w:pStyle w:val="Heading2"/>
      </w:pPr>
      <w:r>
        <w:t>4.4 ATP / Tradesoft</w:t>
      </w:r>
    </w:p>
    <w:p>
      <w:r>
        <w:rPr>
          <w:i w:val="0"/>
        </w:rPr>
        <w:t>ATP Tradesoft is a key benchmark for the institutional side. GTP for Brokerage is positioned as an end-to-end brokerage platform spanning operations, order and risk management, customer and account workflows. Ata Holding publicly describes Tradesoft as managing a large share of the systems handling Borsa Istanbul transaction volume. For BIST-EMS this is not a UI competitor so much as a likely integration environment and architectural constraint: the product must coexist with entrenched OMS/back-office platforms.</w:t>
      </w:r>
    </w:p>
    <w:tbl>
      <w:tblPr>
        <w:tblStyle w:val="TableGrid"/>
        <w:tblW w:type="auto" w:w="0"/>
        <w:jc w:val="center"/>
        <w:tblLook w:firstColumn="1" w:firstRow="1" w:lastColumn="0" w:lastRow="0" w:noHBand="0" w:noVBand="1" w:val="04A0"/>
      </w:tblPr>
      <w:tblGrid>
        <w:gridCol w:w="3360"/>
        <w:gridCol w:w="3360"/>
        <w:gridCol w:w="3360"/>
      </w:tblGrid>
      <w:tr>
        <w:tc>
          <w:tcPr>
            <w:tcW w:type="dxa" w:w="1944"/>
            <w:vAlign w:val="center"/>
            <w:shd w:fill="17304D"/>
          </w:tcPr>
          <w:p>
            <w:r/>
            <w:r>
              <w:rPr>
                <w:rFonts w:ascii="Liberation Sans" w:hAnsi="Liberation Sans"/>
                <w:b/>
                <w:color w:val="FFFFFF"/>
                <w:sz w:val="16"/>
              </w:rPr>
              <w:t>Benchmark</w:t>
            </w:r>
          </w:p>
        </w:tc>
        <w:tc>
          <w:tcPr>
            <w:tcW w:type="dxa" w:w="3816"/>
            <w:vAlign w:val="center"/>
            <w:shd w:fill="17304D"/>
          </w:tcPr>
          <w:p>
            <w:r/>
            <w:r>
              <w:rPr>
                <w:rFonts w:ascii="Liberation Sans" w:hAnsi="Liberation Sans"/>
                <w:b/>
                <w:color w:val="FFFFFF"/>
                <w:sz w:val="16"/>
              </w:rPr>
              <w:t>Strong areas to learn from</w:t>
            </w:r>
          </w:p>
        </w:tc>
        <w:tc>
          <w:tcPr>
            <w:tcW w:type="dxa" w:w="4320"/>
            <w:vAlign w:val="center"/>
            <w:shd w:fill="17304D"/>
          </w:tcPr>
          <w:p>
            <w:r/>
            <w:r>
              <w:rPr>
                <w:rFonts w:ascii="Liberation Sans" w:hAnsi="Liberation Sans"/>
                <w:b/>
                <w:color w:val="FFFFFF"/>
                <w:sz w:val="16"/>
              </w:rPr>
              <w:t>Opportunity for BIST-EMS</w:t>
            </w:r>
          </w:p>
        </w:tc>
      </w:tr>
      <w:tr>
        <w:tc>
          <w:tcPr>
            <w:tcW w:type="dxa" w:w="1944"/>
            <w:vAlign w:val="center"/>
          </w:tcPr>
          <w:p>
            <w:r/>
            <w:r>
              <w:rPr>
                <w:rFonts w:ascii="Liberation Sans" w:hAnsi="Liberation Sans"/>
                <w:b w:val="0"/>
                <w:color w:val="232A32"/>
                <w:sz w:val="16"/>
              </w:rPr>
              <w:t>Osmanli Aktif Trader</w:t>
            </w:r>
          </w:p>
        </w:tc>
        <w:tc>
          <w:tcPr>
            <w:tcW w:type="dxa" w:w="3816"/>
            <w:vAlign w:val="center"/>
          </w:tcPr>
          <w:p>
            <w:r/>
            <w:r>
              <w:rPr>
                <w:rFonts w:ascii="Liberation Sans" w:hAnsi="Liberation Sans"/>
                <w:b w:val="0"/>
                <w:color w:val="232A32"/>
                <w:sz w:val="16"/>
              </w:rPr>
              <w:t>Special orders, Kokpit, one-click/drag-drop trading</w:t>
            </w:r>
          </w:p>
        </w:tc>
        <w:tc>
          <w:tcPr>
            <w:tcW w:type="dxa" w:w="4320"/>
            <w:vAlign w:val="center"/>
          </w:tcPr>
          <w:p>
            <w:r/>
            <w:r>
              <w:rPr>
                <w:rFonts w:ascii="Liberation Sans" w:hAnsi="Liberation Sans"/>
                <w:b w:val="0"/>
                <w:color w:val="232A32"/>
                <w:sz w:val="16"/>
              </w:rPr>
              <w:t>Unified visual strategy builder, partial-fill-safe orchestration, white-label portability</w:t>
            </w:r>
          </w:p>
        </w:tc>
      </w:tr>
      <w:tr>
        <w:tc>
          <w:tcPr>
            <w:tcW w:type="dxa" w:w="1944"/>
            <w:vAlign w:val="center"/>
            <w:shd w:fill="F5F7F9"/>
          </w:tcPr>
          <w:p>
            <w:r/>
            <w:r>
              <w:rPr>
                <w:rFonts w:ascii="Liberation Sans" w:hAnsi="Liberation Sans"/>
                <w:b w:val="0"/>
                <w:color w:val="232A32"/>
                <w:sz w:val="16"/>
              </w:rPr>
              <w:t>MatriksIQ</w:t>
            </w:r>
          </w:p>
        </w:tc>
        <w:tc>
          <w:tcPr>
            <w:tcW w:type="dxa" w:w="3816"/>
            <w:vAlign w:val="center"/>
            <w:shd w:fill="F5F7F9"/>
          </w:tcPr>
          <w:p>
            <w:r/>
            <w:r>
              <w:rPr>
                <w:rFonts w:ascii="Liberation Sans" w:hAnsi="Liberation Sans"/>
                <w:b w:val="0"/>
                <w:color w:val="232A32"/>
                <w:sz w:val="16"/>
              </w:rPr>
              <w:t>Algo construction, TWAP, baskets, pair/staged orders, backtest</w:t>
            </w:r>
          </w:p>
        </w:tc>
        <w:tc>
          <w:tcPr>
            <w:tcW w:type="dxa" w:w="4320"/>
            <w:vAlign w:val="center"/>
            <w:shd w:fill="F5F7F9"/>
          </w:tcPr>
          <w:p>
            <w:r/>
            <w:r>
              <w:rPr>
                <w:rFonts w:ascii="Liberation Sans" w:hAnsi="Liberation Sans"/>
                <w:b w:val="0"/>
                <w:color w:val="232A32"/>
                <w:sz w:val="16"/>
              </w:rPr>
              <w:t>Simpler no-code execution templates plus institutional controls</w:t>
            </w:r>
          </w:p>
        </w:tc>
      </w:tr>
      <w:tr>
        <w:tc>
          <w:tcPr>
            <w:tcW w:type="dxa" w:w="1944"/>
            <w:vAlign w:val="center"/>
          </w:tcPr>
          <w:p>
            <w:r/>
            <w:r>
              <w:rPr>
                <w:rFonts w:ascii="Liberation Sans" w:hAnsi="Liberation Sans"/>
                <w:b w:val="0"/>
                <w:color w:val="232A32"/>
                <w:sz w:val="16"/>
              </w:rPr>
              <w:t>iDeal</w:t>
            </w:r>
          </w:p>
        </w:tc>
        <w:tc>
          <w:tcPr>
            <w:tcW w:type="dxa" w:w="3816"/>
            <w:vAlign w:val="center"/>
          </w:tcPr>
          <w:p>
            <w:r/>
            <w:r>
              <w:rPr>
                <w:rFonts w:ascii="Liberation Sans" w:hAnsi="Liberation Sans"/>
                <w:b w:val="0"/>
                <w:color w:val="232A32"/>
                <w:sz w:val="16"/>
              </w:rPr>
              <w:t>Multi-broker account access, fast tickets, algo/strategy tooling</w:t>
            </w:r>
          </w:p>
        </w:tc>
        <w:tc>
          <w:tcPr>
            <w:tcW w:type="dxa" w:w="4320"/>
            <w:vAlign w:val="center"/>
          </w:tcPr>
          <w:p>
            <w:r/>
            <w:r>
              <w:rPr>
                <w:rFonts w:ascii="Liberation Sans" w:hAnsi="Liberation Sans"/>
                <w:b w:val="0"/>
                <w:color w:val="232A32"/>
                <w:sz w:val="16"/>
              </w:rPr>
              <w:t>Execution-first UX, deeper synthetic order lifecycle and state visibility</w:t>
            </w:r>
          </w:p>
        </w:tc>
      </w:tr>
      <w:tr>
        <w:tc>
          <w:tcPr>
            <w:tcW w:type="dxa" w:w="1944"/>
            <w:vAlign w:val="center"/>
            <w:shd w:fill="F5F7F9"/>
          </w:tcPr>
          <w:p>
            <w:r/>
            <w:r>
              <w:rPr>
                <w:rFonts w:ascii="Liberation Sans" w:hAnsi="Liberation Sans"/>
                <w:b w:val="0"/>
                <w:color w:val="232A32"/>
                <w:sz w:val="16"/>
              </w:rPr>
              <w:t>ATP / Tradesoft</w:t>
            </w:r>
          </w:p>
        </w:tc>
        <w:tc>
          <w:tcPr>
            <w:tcW w:type="dxa" w:w="3816"/>
            <w:vAlign w:val="center"/>
            <w:shd w:fill="F5F7F9"/>
          </w:tcPr>
          <w:p>
            <w:r/>
            <w:r>
              <w:rPr>
                <w:rFonts w:ascii="Liberation Sans" w:hAnsi="Liberation Sans"/>
                <w:b w:val="0"/>
                <w:color w:val="232A32"/>
                <w:sz w:val="16"/>
              </w:rPr>
              <w:t>Broker core, order/risk/operations, institutional deployment</w:t>
            </w:r>
          </w:p>
        </w:tc>
        <w:tc>
          <w:tcPr>
            <w:tcW w:type="dxa" w:w="4320"/>
            <w:vAlign w:val="center"/>
            <w:shd w:fill="F5F7F9"/>
          </w:tcPr>
          <w:p>
            <w:r/>
            <w:r>
              <w:rPr>
                <w:rFonts w:ascii="Liberation Sans" w:hAnsi="Liberation Sans"/>
                <w:b w:val="0"/>
                <w:color w:val="232A32"/>
                <w:sz w:val="16"/>
              </w:rPr>
              <w:t>Adapter into existing core rather than attempting immediate replacement</w:t>
            </w:r>
          </w:p>
        </w:tc>
      </w:tr>
    </w:tbl>
    <w:p/>
    <w:p>
      <w:pPr>
        <w:pStyle w:val="Heading1"/>
      </w:pPr>
      <w:r>
        <w:t>5. International Benchmark and Design Lessons</w:t>
      </w:r>
    </w:p>
    <w:p>
      <w:r>
        <w:rPr>
          <w:i w:val="0"/>
        </w:rPr>
        <w:t>Trading Technologies (TT) is particularly instructive because it explicitly distinguishes synthetic TT Order Types from exchange-native orders. TT documents synthetic parent orders that manage native child orders and supports patterns such as Bracket, OCO, Iceberg, If-Touched, Retry, time-sliced and volume-based orders. Its bracket behavior also addresses partial fills: child OCO quantities are created or adjusted in response to the actual filled quantity.</w:t>
      </w:r>
    </w:p>
    <w:p>
      <w:r>
        <w:rPr>
          <w:i w:val="0"/>
        </w:rPr>
        <w:t>Interactive Brokers provides another reference for breadth: OCA groups, trailing orders and algorithmic strategies including TWAP and best-efforts VWAP. The lesson is that professional traders expect execution logic to be treated as a product family, not a single "advanced order" menu.</w:t>
      </w:r>
    </w:p>
    <w:p>
      <w:r>
        <w:rPr>
          <w:i w:val="0"/>
        </w:rPr>
        <w:t>TradingView Broker API is a useful UI/integration reference. Its trading library expects the broker implementation to store and return order state and implements place, modify and cancel operations through a broker adapter. This reinforces the separation between the trading UI and the authoritative broker/EMS backend.</w:t>
      </w:r>
    </w:p>
    <w:tbl>
      <w:tblPr>
        <w:tblW w:type="auto" w:w="0"/>
        <w:jc w:val="center"/>
        <w:tblLook w:firstColumn="1" w:firstRow="1" w:lastColumn="0" w:lastRow="0" w:noHBand="0" w:noVBand="1" w:val="04A0"/>
      </w:tblPr>
      <w:tblGrid>
        <w:gridCol w:w="10080"/>
      </w:tblGrid>
      <w:tr>
        <w:tc>
          <w:tcPr>
            <w:tcW w:type="dxa" w:w="10080"/>
            <w:shd w:fill="EFF4F8"/>
          </w:tcPr>
          <w:p>
            <w:r>
              <w:rPr>
                <w:b/>
                <w:color w:val="172B4D"/>
                <w:sz w:val="21"/>
              </w:rPr>
              <w:t>Design principle derived from global platforms</w:t>
              <w:br/>
            </w:r>
            <w:r>
              <w:rPr>
                <w:color w:val="232A32"/>
                <w:sz w:val="19"/>
              </w:rPr>
              <w:t>Use a canonical order object and a synthetic parent/child lifecycle. Make strategy behavior explicit, visible and auditable. Avoid hidden client-side magic.</w:t>
            </w:r>
          </w:p>
        </w:tc>
      </w:tr>
    </w:tbl>
    <w:p/>
    <w:p>
      <w:pPr>
        <w:pStyle w:val="Heading1"/>
      </w:pPr>
      <w:r>
        <w:t>6. Target Product Capability Map</w:t>
      </w:r>
    </w:p>
    <w:tbl>
      <w:tblPr>
        <w:tblStyle w:val="TableGrid"/>
        <w:tblW w:type="auto" w:w="0"/>
        <w:jc w:val="center"/>
        <w:tblLook w:firstColumn="1" w:firstRow="1" w:lastColumn="0" w:lastRow="0" w:noHBand="0" w:noVBand="1" w:val="04A0"/>
      </w:tblPr>
      <w:tblGrid>
        <w:gridCol w:w="3360"/>
        <w:gridCol w:w="3360"/>
        <w:gridCol w:w="3360"/>
      </w:tblGrid>
      <w:tr>
        <w:tc>
          <w:tcPr>
            <w:tcW w:type="dxa" w:w="1944"/>
            <w:vAlign w:val="center"/>
            <w:shd w:fill="17304D"/>
          </w:tcPr>
          <w:p>
            <w:r/>
            <w:r>
              <w:rPr>
                <w:rFonts w:ascii="Liberation Sans" w:hAnsi="Liberation Sans"/>
                <w:b/>
                <w:color w:val="FFFFFF"/>
                <w:sz w:val="16"/>
              </w:rPr>
              <w:t>Module</w:t>
            </w:r>
          </w:p>
        </w:tc>
        <w:tc>
          <w:tcPr>
            <w:tcW w:type="dxa" w:w="7056"/>
            <w:vAlign w:val="center"/>
            <w:shd w:fill="17304D"/>
          </w:tcPr>
          <w:p>
            <w:r/>
            <w:r>
              <w:rPr>
                <w:rFonts w:ascii="Liberation Sans" w:hAnsi="Liberation Sans"/>
                <w:b/>
                <w:color w:val="FFFFFF"/>
                <w:sz w:val="16"/>
              </w:rPr>
              <w:t>Capabilities</w:t>
            </w:r>
          </w:p>
        </w:tc>
        <w:tc>
          <w:tcPr>
            <w:tcW w:type="dxa" w:w="1440"/>
            <w:vAlign w:val="center"/>
            <w:shd w:fill="17304D"/>
          </w:tcPr>
          <w:p>
            <w:r/>
            <w:r>
              <w:rPr>
                <w:rFonts w:ascii="Liberation Sans" w:hAnsi="Liberation Sans"/>
                <w:b/>
                <w:color w:val="FFFFFF"/>
                <w:sz w:val="16"/>
              </w:rPr>
              <w:t>Target</w:t>
            </w:r>
          </w:p>
        </w:tc>
      </w:tr>
      <w:tr>
        <w:tc>
          <w:tcPr>
            <w:tcW w:type="dxa" w:w="1944"/>
            <w:vAlign w:val="center"/>
          </w:tcPr>
          <w:p>
            <w:r/>
            <w:r>
              <w:rPr>
                <w:rFonts w:ascii="Liberation Sans" w:hAnsi="Liberation Sans"/>
                <w:b w:val="0"/>
                <w:color w:val="232A32"/>
                <w:sz w:val="16"/>
              </w:rPr>
              <w:t>Trading Workspace</w:t>
            </w:r>
          </w:p>
        </w:tc>
        <w:tc>
          <w:tcPr>
            <w:tcW w:type="dxa" w:w="7056"/>
            <w:vAlign w:val="center"/>
          </w:tcPr>
          <w:p>
            <w:r/>
            <w:r>
              <w:rPr>
                <w:rFonts w:ascii="Liberation Sans" w:hAnsi="Liberation Sans"/>
                <w:b w:val="0"/>
                <w:color w:val="232A32"/>
                <w:sz w:val="16"/>
              </w:rPr>
              <w:t>Watchlists; chart trading; order ticket; positions; P&amp;L; alerts; multi-layout workspaces</w:t>
            </w:r>
          </w:p>
        </w:tc>
        <w:tc>
          <w:tcPr>
            <w:tcW w:type="dxa" w:w="1440"/>
            <w:vAlign w:val="center"/>
          </w:tcPr>
          <w:p>
            <w:r/>
            <w:r>
              <w:rPr>
                <w:rFonts w:ascii="Liberation Sans" w:hAnsi="Liberation Sans"/>
                <w:b w:val="0"/>
                <w:color w:val="232A32"/>
                <w:sz w:val="16"/>
              </w:rPr>
              <w:t>MVP</w:t>
            </w:r>
          </w:p>
        </w:tc>
      </w:tr>
      <w:tr>
        <w:tc>
          <w:tcPr>
            <w:tcW w:type="dxa" w:w="1944"/>
            <w:vAlign w:val="center"/>
            <w:shd w:fill="F5F7F9"/>
          </w:tcPr>
          <w:p>
            <w:r/>
            <w:r>
              <w:rPr>
                <w:rFonts w:ascii="Liberation Sans" w:hAnsi="Liberation Sans"/>
                <w:b w:val="0"/>
                <w:color w:val="232A32"/>
                <w:sz w:val="16"/>
              </w:rPr>
              <w:t>DOM / Ladder</w:t>
            </w:r>
          </w:p>
        </w:tc>
        <w:tc>
          <w:tcPr>
            <w:tcW w:type="dxa" w:w="7056"/>
            <w:vAlign w:val="center"/>
            <w:shd w:fill="F5F7F9"/>
          </w:tcPr>
          <w:p>
            <w:r/>
            <w:r>
              <w:rPr>
                <w:rFonts w:ascii="Liberation Sans" w:hAnsi="Liberation Sans"/>
                <w:b w:val="0"/>
                <w:color w:val="232A32"/>
                <w:sz w:val="16"/>
              </w:rPr>
              <w:t>Depth view; one-click buy/sell; drag-to-modify; cancel-all; flatten; preset quantity</w:t>
            </w:r>
          </w:p>
        </w:tc>
        <w:tc>
          <w:tcPr>
            <w:tcW w:type="dxa" w:w="1440"/>
            <w:vAlign w:val="center"/>
            <w:shd w:fill="F5F7F9"/>
          </w:tcPr>
          <w:p>
            <w:r/>
            <w:r>
              <w:rPr>
                <w:rFonts w:ascii="Liberation Sans" w:hAnsi="Liberation Sans"/>
                <w:b w:val="0"/>
                <w:color w:val="232A32"/>
                <w:sz w:val="16"/>
              </w:rPr>
              <w:t>MVP</w:t>
            </w:r>
          </w:p>
        </w:tc>
      </w:tr>
      <w:tr>
        <w:tc>
          <w:tcPr>
            <w:tcW w:type="dxa" w:w="1944"/>
            <w:vAlign w:val="center"/>
          </w:tcPr>
          <w:p>
            <w:r/>
            <w:r>
              <w:rPr>
                <w:rFonts w:ascii="Liberation Sans" w:hAnsi="Liberation Sans"/>
                <w:b w:val="0"/>
                <w:color w:val="232A32"/>
                <w:sz w:val="16"/>
              </w:rPr>
              <w:t>Order Blotter</w:t>
            </w:r>
          </w:p>
        </w:tc>
        <w:tc>
          <w:tcPr>
            <w:tcW w:type="dxa" w:w="7056"/>
            <w:vAlign w:val="center"/>
          </w:tcPr>
          <w:p>
            <w:r/>
            <w:r>
              <w:rPr>
                <w:rFonts w:ascii="Liberation Sans" w:hAnsi="Liberation Sans"/>
                <w:b w:val="0"/>
                <w:color w:val="232A32"/>
                <w:sz w:val="16"/>
              </w:rPr>
              <w:t>Working/filled/cancelled/rejected; parent-child tree; execution details; quick modify</w:t>
            </w:r>
          </w:p>
        </w:tc>
        <w:tc>
          <w:tcPr>
            <w:tcW w:type="dxa" w:w="1440"/>
            <w:vAlign w:val="center"/>
          </w:tcPr>
          <w:p>
            <w:r/>
            <w:r>
              <w:rPr>
                <w:rFonts w:ascii="Liberation Sans" w:hAnsi="Liberation Sans"/>
                <w:b w:val="0"/>
                <w:color w:val="232A32"/>
                <w:sz w:val="16"/>
              </w:rPr>
              <w:t>MVP</w:t>
            </w:r>
          </w:p>
        </w:tc>
      </w:tr>
      <w:tr>
        <w:tc>
          <w:tcPr>
            <w:tcW w:type="dxa" w:w="1944"/>
            <w:vAlign w:val="center"/>
            <w:shd w:fill="F5F7F9"/>
          </w:tcPr>
          <w:p>
            <w:r/>
            <w:r>
              <w:rPr>
                <w:rFonts w:ascii="Liberation Sans" w:hAnsi="Liberation Sans"/>
                <w:b w:val="0"/>
                <w:color w:val="232A32"/>
                <w:sz w:val="16"/>
              </w:rPr>
              <w:t>Synthetic Order Builder</w:t>
            </w:r>
          </w:p>
        </w:tc>
        <w:tc>
          <w:tcPr>
            <w:tcW w:type="dxa" w:w="7056"/>
            <w:vAlign w:val="center"/>
            <w:shd w:fill="F5F7F9"/>
          </w:tcPr>
          <w:p>
            <w:r/>
            <w:r>
              <w:rPr>
                <w:rFonts w:ascii="Liberation Sans" w:hAnsi="Liberation Sans"/>
                <w:b w:val="0"/>
                <w:color w:val="232A32"/>
                <w:sz w:val="16"/>
              </w:rPr>
              <w:t>OCO; OTO; OTOCO; bracket; chain; condition; trailing; multi-target exits</w:t>
            </w:r>
          </w:p>
        </w:tc>
        <w:tc>
          <w:tcPr>
            <w:tcW w:type="dxa" w:w="1440"/>
            <w:vAlign w:val="center"/>
            <w:shd w:fill="F5F7F9"/>
          </w:tcPr>
          <w:p>
            <w:r/>
            <w:r>
              <w:rPr>
                <w:rFonts w:ascii="Liberation Sans" w:hAnsi="Liberation Sans"/>
                <w:b w:val="0"/>
                <w:color w:val="232A32"/>
                <w:sz w:val="16"/>
              </w:rPr>
              <w:t>MVP</w:t>
            </w:r>
          </w:p>
        </w:tc>
      </w:tr>
      <w:tr>
        <w:tc>
          <w:tcPr>
            <w:tcW w:type="dxa" w:w="1944"/>
            <w:vAlign w:val="center"/>
          </w:tcPr>
          <w:p>
            <w:r/>
            <w:r>
              <w:rPr>
                <w:rFonts w:ascii="Liberation Sans" w:hAnsi="Liberation Sans"/>
                <w:b w:val="0"/>
                <w:color w:val="232A32"/>
                <w:sz w:val="16"/>
              </w:rPr>
              <w:t>Execution Algos</w:t>
            </w:r>
          </w:p>
        </w:tc>
        <w:tc>
          <w:tcPr>
            <w:tcW w:type="dxa" w:w="7056"/>
            <w:vAlign w:val="center"/>
          </w:tcPr>
          <w:p>
            <w:r/>
            <w:r>
              <w:rPr>
                <w:rFonts w:ascii="Liberation Sans" w:hAnsi="Liberation Sans"/>
                <w:b w:val="0"/>
                <w:color w:val="232A32"/>
                <w:sz w:val="16"/>
              </w:rPr>
              <w:t>TWAP; VWAP; POV; time-slice; volume-slice; iceberg; participation caps</w:t>
            </w:r>
          </w:p>
        </w:tc>
        <w:tc>
          <w:tcPr>
            <w:tcW w:type="dxa" w:w="1440"/>
            <w:vAlign w:val="center"/>
          </w:tcPr>
          <w:p>
            <w:r/>
            <w:r>
              <w:rPr>
                <w:rFonts w:ascii="Liberation Sans" w:hAnsi="Liberation Sans"/>
                <w:b w:val="0"/>
                <w:color w:val="232A32"/>
                <w:sz w:val="16"/>
              </w:rPr>
              <w:t>Phase 2</w:t>
            </w:r>
          </w:p>
        </w:tc>
      </w:tr>
      <w:tr>
        <w:tc>
          <w:tcPr>
            <w:tcW w:type="dxa" w:w="1944"/>
            <w:vAlign w:val="center"/>
            <w:shd w:fill="F5F7F9"/>
          </w:tcPr>
          <w:p>
            <w:r/>
            <w:r>
              <w:rPr>
                <w:rFonts w:ascii="Liberation Sans" w:hAnsi="Liberation Sans"/>
                <w:b w:val="0"/>
                <w:color w:val="232A32"/>
                <w:sz w:val="16"/>
              </w:rPr>
              <w:t>Portfolio Actions</w:t>
            </w:r>
          </w:p>
        </w:tc>
        <w:tc>
          <w:tcPr>
            <w:tcW w:type="dxa" w:w="7056"/>
            <w:vAlign w:val="center"/>
            <w:shd w:fill="F5F7F9"/>
          </w:tcPr>
          <w:p>
            <w:r/>
            <w:r>
              <w:rPr>
                <w:rFonts w:ascii="Liberation Sans" w:hAnsi="Liberation Sans"/>
                <w:b w:val="0"/>
                <w:color w:val="232A32"/>
                <w:sz w:val="16"/>
              </w:rPr>
              <w:t>Basket; rebalance; multi-symbol order; percentage-based sizing; scale-in/out</w:t>
            </w:r>
          </w:p>
        </w:tc>
        <w:tc>
          <w:tcPr>
            <w:tcW w:type="dxa" w:w="1440"/>
            <w:vAlign w:val="center"/>
            <w:shd w:fill="F5F7F9"/>
          </w:tcPr>
          <w:p>
            <w:r/>
            <w:r>
              <w:rPr>
                <w:rFonts w:ascii="Liberation Sans" w:hAnsi="Liberation Sans"/>
                <w:b w:val="0"/>
                <w:color w:val="232A32"/>
                <w:sz w:val="16"/>
              </w:rPr>
              <w:t>Phase 2</w:t>
            </w:r>
          </w:p>
        </w:tc>
      </w:tr>
      <w:tr>
        <w:tc>
          <w:tcPr>
            <w:tcW w:type="dxa" w:w="1944"/>
            <w:vAlign w:val="center"/>
          </w:tcPr>
          <w:p>
            <w:r/>
            <w:r>
              <w:rPr>
                <w:rFonts w:ascii="Liberation Sans" w:hAnsi="Liberation Sans"/>
                <w:b w:val="0"/>
                <w:color w:val="232A32"/>
                <w:sz w:val="16"/>
              </w:rPr>
              <w:t>Risk &amp; Controls</w:t>
            </w:r>
          </w:p>
        </w:tc>
        <w:tc>
          <w:tcPr>
            <w:tcW w:type="dxa" w:w="7056"/>
            <w:vAlign w:val="center"/>
          </w:tcPr>
          <w:p>
            <w:r/>
            <w:r>
              <w:rPr>
                <w:rFonts w:ascii="Liberation Sans" w:hAnsi="Liberation Sans"/>
                <w:b w:val="0"/>
                <w:color w:val="232A32"/>
                <w:sz w:val="16"/>
              </w:rPr>
              <w:t>Buying power; inventory; max order value; daily loss; symbol limits; fat-finger; permissions</w:t>
            </w:r>
          </w:p>
        </w:tc>
        <w:tc>
          <w:tcPr>
            <w:tcW w:type="dxa" w:w="1440"/>
            <w:vAlign w:val="center"/>
          </w:tcPr>
          <w:p>
            <w:r/>
            <w:r>
              <w:rPr>
                <w:rFonts w:ascii="Liberation Sans" w:hAnsi="Liberation Sans"/>
                <w:b w:val="0"/>
                <w:color w:val="232A32"/>
                <w:sz w:val="16"/>
              </w:rPr>
              <w:t>MVP</w:t>
            </w:r>
          </w:p>
        </w:tc>
      </w:tr>
      <w:tr>
        <w:tc>
          <w:tcPr>
            <w:tcW w:type="dxa" w:w="1944"/>
            <w:vAlign w:val="center"/>
            <w:shd w:fill="F5F7F9"/>
          </w:tcPr>
          <w:p>
            <w:r/>
            <w:r>
              <w:rPr>
                <w:rFonts w:ascii="Liberation Sans" w:hAnsi="Liberation Sans"/>
                <w:b w:val="0"/>
                <w:color w:val="232A32"/>
                <w:sz w:val="16"/>
              </w:rPr>
              <w:t>Institution Admin</w:t>
            </w:r>
          </w:p>
        </w:tc>
        <w:tc>
          <w:tcPr>
            <w:tcW w:type="dxa" w:w="7056"/>
            <w:vAlign w:val="center"/>
            <w:shd w:fill="F5F7F9"/>
          </w:tcPr>
          <w:p>
            <w:r/>
            <w:r>
              <w:rPr>
                <w:rFonts w:ascii="Liberation Sans" w:hAnsi="Liberation Sans"/>
                <w:b w:val="0"/>
                <w:color w:val="232A32"/>
                <w:sz w:val="16"/>
              </w:rPr>
              <w:t>User/role; desk; account entitlements; feature flags; limits; audit</w:t>
            </w:r>
          </w:p>
        </w:tc>
        <w:tc>
          <w:tcPr>
            <w:tcW w:type="dxa" w:w="1440"/>
            <w:vAlign w:val="center"/>
            <w:shd w:fill="F5F7F9"/>
          </w:tcPr>
          <w:p>
            <w:r/>
            <w:r>
              <w:rPr>
                <w:rFonts w:ascii="Liberation Sans" w:hAnsi="Liberation Sans"/>
                <w:b w:val="0"/>
                <w:color w:val="232A32"/>
                <w:sz w:val="16"/>
              </w:rPr>
              <w:t>MVP</w:t>
            </w:r>
          </w:p>
        </w:tc>
      </w:tr>
      <w:tr>
        <w:tc>
          <w:tcPr>
            <w:tcW w:type="dxa" w:w="1944"/>
            <w:vAlign w:val="center"/>
          </w:tcPr>
          <w:p>
            <w:r/>
            <w:r>
              <w:rPr>
                <w:rFonts w:ascii="Liberation Sans" w:hAnsi="Liberation Sans"/>
                <w:b w:val="0"/>
                <w:color w:val="232A32"/>
                <w:sz w:val="16"/>
              </w:rPr>
              <w:t>Broker Integration</w:t>
            </w:r>
          </w:p>
        </w:tc>
        <w:tc>
          <w:tcPr>
            <w:tcW w:type="dxa" w:w="7056"/>
            <w:vAlign w:val="center"/>
          </w:tcPr>
          <w:p>
            <w:r/>
            <w:r>
              <w:rPr>
                <w:rFonts w:ascii="Liberation Sans" w:hAnsi="Liberation Sans"/>
                <w:b w:val="0"/>
                <w:color w:val="232A32"/>
                <w:sz w:val="16"/>
              </w:rPr>
              <w:t>FIX/REST/WebSocket/proprietary adapters; capability negotiation; reconciliation</w:t>
            </w:r>
          </w:p>
        </w:tc>
        <w:tc>
          <w:tcPr>
            <w:tcW w:type="dxa" w:w="1440"/>
            <w:vAlign w:val="center"/>
          </w:tcPr>
          <w:p>
            <w:r/>
            <w:r>
              <w:rPr>
                <w:rFonts w:ascii="Liberation Sans" w:hAnsi="Liberation Sans"/>
                <w:b w:val="0"/>
                <w:color w:val="232A32"/>
                <w:sz w:val="16"/>
              </w:rPr>
              <w:t>MVP</w:t>
            </w:r>
          </w:p>
        </w:tc>
      </w:tr>
      <w:tr>
        <w:tc>
          <w:tcPr>
            <w:tcW w:type="dxa" w:w="1944"/>
            <w:vAlign w:val="center"/>
            <w:shd w:fill="F5F7F9"/>
          </w:tcPr>
          <w:p>
            <w:r/>
            <w:r>
              <w:rPr>
                <w:rFonts w:ascii="Liberation Sans" w:hAnsi="Liberation Sans"/>
                <w:b w:val="0"/>
                <w:color w:val="232A32"/>
                <w:sz w:val="16"/>
              </w:rPr>
              <w:t>Analytics</w:t>
            </w:r>
          </w:p>
        </w:tc>
        <w:tc>
          <w:tcPr>
            <w:tcW w:type="dxa" w:w="7056"/>
            <w:vAlign w:val="center"/>
            <w:shd w:fill="F5F7F9"/>
          </w:tcPr>
          <w:p>
            <w:r/>
            <w:r>
              <w:rPr>
                <w:rFonts w:ascii="Liberation Sans" w:hAnsi="Liberation Sans"/>
                <w:b w:val="0"/>
                <w:color w:val="232A32"/>
                <w:sz w:val="16"/>
              </w:rPr>
              <w:t>Slippage; implementation shortfall; fill ratio; reject reasons; execution quality</w:t>
            </w:r>
          </w:p>
        </w:tc>
        <w:tc>
          <w:tcPr>
            <w:tcW w:type="dxa" w:w="1440"/>
            <w:vAlign w:val="center"/>
            <w:shd w:fill="F5F7F9"/>
          </w:tcPr>
          <w:p>
            <w:r/>
            <w:r>
              <w:rPr>
                <w:rFonts w:ascii="Liberation Sans" w:hAnsi="Liberation Sans"/>
                <w:b w:val="0"/>
                <w:color w:val="232A32"/>
                <w:sz w:val="16"/>
              </w:rPr>
              <w:t>Phase 2/3</w:t>
            </w:r>
          </w:p>
        </w:tc>
      </w:tr>
      <w:tr>
        <w:tc>
          <w:tcPr>
            <w:tcW w:type="dxa" w:w="1944"/>
            <w:vAlign w:val="center"/>
          </w:tcPr>
          <w:p>
            <w:r/>
            <w:r>
              <w:rPr>
                <w:rFonts w:ascii="Liberation Sans" w:hAnsi="Liberation Sans"/>
                <w:b w:val="0"/>
                <w:color w:val="232A32"/>
                <w:sz w:val="16"/>
              </w:rPr>
              <w:t>Programmability</w:t>
            </w:r>
          </w:p>
        </w:tc>
        <w:tc>
          <w:tcPr>
            <w:tcW w:type="dxa" w:w="7056"/>
            <w:vAlign w:val="center"/>
          </w:tcPr>
          <w:p>
            <w:r/>
            <w:r>
              <w:rPr>
                <w:rFonts w:ascii="Liberation Sans" w:hAnsi="Liberation Sans"/>
                <w:b w:val="0"/>
                <w:color w:val="232A32"/>
                <w:sz w:val="16"/>
              </w:rPr>
              <w:t>Templates; rule builder; SDK/API; optional strategy sandbox</w:t>
            </w:r>
          </w:p>
        </w:tc>
        <w:tc>
          <w:tcPr>
            <w:tcW w:type="dxa" w:w="1440"/>
            <w:vAlign w:val="center"/>
          </w:tcPr>
          <w:p>
            <w:r/>
            <w:r>
              <w:rPr>
                <w:rFonts w:ascii="Liberation Sans" w:hAnsi="Liberation Sans"/>
                <w:b w:val="0"/>
                <w:color w:val="232A32"/>
                <w:sz w:val="16"/>
              </w:rPr>
              <w:t>Phase 3</w:t>
            </w:r>
          </w:p>
        </w:tc>
      </w:tr>
    </w:tbl>
    <w:p/>
    <w:p>
      <w:pPr>
        <w:pStyle w:val="Heading1"/>
      </w:pPr>
      <w:r>
        <w:t>7. Advanced Order Catalog</w:t>
      </w:r>
    </w:p>
    <w:p>
      <w:r>
        <w:rPr>
          <w:i w:val="0"/>
        </w:rPr>
        <w:t>The order catalog should be modeled as composable execution primitives. Some order names overlap across vendors; the product should define exact semantics, trigger source, partial-fill behavior, child quantity policy, time-in-force and cancellation rules so the same template behaves consistently across institutions.</w:t>
      </w:r>
    </w:p>
    <w:tbl>
      <w:tblPr>
        <w:tblStyle w:val="TableGrid"/>
        <w:tblW w:type="auto" w:w="0"/>
        <w:jc w:val="center"/>
        <w:tblLook w:firstColumn="1" w:firstRow="1" w:lastColumn="0" w:lastRow="0" w:noHBand="0" w:noVBand="1" w:val="04A0"/>
      </w:tblPr>
      <w:tblGrid>
        <w:gridCol w:w="3360"/>
        <w:gridCol w:w="3360"/>
        <w:gridCol w:w="3360"/>
      </w:tblGrid>
      <w:tr>
        <w:tc>
          <w:tcPr>
            <w:tcW w:type="dxa" w:w="1944"/>
            <w:vAlign w:val="center"/>
            <w:shd w:fill="17304D"/>
          </w:tcPr>
          <w:p>
            <w:r/>
            <w:r>
              <w:rPr>
                <w:rFonts w:ascii="Liberation Sans" w:hAnsi="Liberation Sans"/>
                <w:b/>
                <w:color w:val="FFFFFF"/>
                <w:sz w:val="15"/>
              </w:rPr>
              <w:t>Order / Algo</w:t>
            </w:r>
          </w:p>
        </w:tc>
        <w:tc>
          <w:tcPr>
            <w:tcW w:type="dxa" w:w="5472"/>
            <w:vAlign w:val="center"/>
            <w:shd w:fill="17304D"/>
          </w:tcPr>
          <w:p>
            <w:r/>
            <w:r>
              <w:rPr>
                <w:rFonts w:ascii="Liberation Sans" w:hAnsi="Liberation Sans"/>
                <w:b/>
                <w:color w:val="FFFFFF"/>
                <w:sz w:val="15"/>
              </w:rPr>
              <w:t>Required semantics</w:t>
            </w:r>
          </w:p>
        </w:tc>
        <w:tc>
          <w:tcPr>
            <w:tcW w:type="dxa" w:w="3024"/>
            <w:vAlign w:val="center"/>
            <w:shd w:fill="17304D"/>
          </w:tcPr>
          <w:p>
            <w:r/>
            <w:r>
              <w:rPr>
                <w:rFonts w:ascii="Liberation Sans" w:hAnsi="Liberation Sans"/>
                <w:b/>
                <w:color w:val="FFFFFF"/>
                <w:sz w:val="15"/>
              </w:rPr>
              <w:t>Typical use</w:t>
            </w:r>
          </w:p>
        </w:tc>
      </w:tr>
      <w:tr>
        <w:tc>
          <w:tcPr>
            <w:tcW w:type="dxa" w:w="1944"/>
            <w:vAlign w:val="center"/>
          </w:tcPr>
          <w:p>
            <w:r/>
            <w:r>
              <w:rPr>
                <w:rFonts w:ascii="Liberation Sans" w:hAnsi="Liberation Sans"/>
                <w:b w:val="0"/>
                <w:color w:val="232A32"/>
                <w:sz w:val="15"/>
              </w:rPr>
              <w:t>OCO</w:t>
            </w:r>
          </w:p>
        </w:tc>
        <w:tc>
          <w:tcPr>
            <w:tcW w:type="dxa" w:w="5472"/>
            <w:vAlign w:val="center"/>
          </w:tcPr>
          <w:p>
            <w:r/>
            <w:r>
              <w:rPr>
                <w:rFonts w:ascii="Liberation Sans" w:hAnsi="Liberation Sans"/>
                <w:b w:val="0"/>
                <w:color w:val="232A32"/>
                <w:sz w:val="15"/>
              </w:rPr>
              <w:t>Two or more exits are linked; fill in one reduces/cancels the others</w:t>
            </w:r>
          </w:p>
        </w:tc>
        <w:tc>
          <w:tcPr>
            <w:tcW w:type="dxa" w:w="3024"/>
            <w:vAlign w:val="center"/>
          </w:tcPr>
          <w:p>
            <w:r/>
            <w:r>
              <w:rPr>
                <w:rFonts w:ascii="Liberation Sans" w:hAnsi="Liberation Sans"/>
                <w:b w:val="0"/>
                <w:color w:val="232A32"/>
                <w:sz w:val="15"/>
              </w:rPr>
              <w:t>Protective exits; competing entry levels</w:t>
            </w:r>
          </w:p>
        </w:tc>
      </w:tr>
      <w:tr>
        <w:tc>
          <w:tcPr>
            <w:tcW w:type="dxa" w:w="1944"/>
            <w:vAlign w:val="center"/>
            <w:shd w:fill="F5F7F9"/>
          </w:tcPr>
          <w:p>
            <w:r/>
            <w:r>
              <w:rPr>
                <w:rFonts w:ascii="Liberation Sans" w:hAnsi="Liberation Sans"/>
                <w:b w:val="0"/>
                <w:color w:val="232A32"/>
                <w:sz w:val="15"/>
              </w:rPr>
              <w:t>OTO</w:t>
            </w:r>
          </w:p>
        </w:tc>
        <w:tc>
          <w:tcPr>
            <w:tcW w:type="dxa" w:w="5472"/>
            <w:vAlign w:val="center"/>
            <w:shd w:fill="F5F7F9"/>
          </w:tcPr>
          <w:p>
            <w:r/>
            <w:r>
              <w:rPr>
                <w:rFonts w:ascii="Liberation Sans" w:hAnsi="Liberation Sans"/>
                <w:b w:val="0"/>
                <w:color w:val="232A32"/>
                <w:sz w:val="15"/>
              </w:rPr>
              <w:t>A child order activates after a parent reaches a defined state</w:t>
            </w:r>
          </w:p>
        </w:tc>
        <w:tc>
          <w:tcPr>
            <w:tcW w:type="dxa" w:w="3024"/>
            <w:vAlign w:val="center"/>
            <w:shd w:fill="F5F7F9"/>
          </w:tcPr>
          <w:p>
            <w:r/>
            <w:r>
              <w:rPr>
                <w:rFonts w:ascii="Liberation Sans" w:hAnsi="Liberation Sans"/>
                <w:b w:val="0"/>
                <w:color w:val="232A32"/>
                <w:sz w:val="15"/>
              </w:rPr>
              <w:t>Entry then exit/hedge</w:t>
            </w:r>
          </w:p>
        </w:tc>
      </w:tr>
      <w:tr>
        <w:tc>
          <w:tcPr>
            <w:tcW w:type="dxa" w:w="1944"/>
            <w:vAlign w:val="center"/>
          </w:tcPr>
          <w:p>
            <w:r/>
            <w:r>
              <w:rPr>
                <w:rFonts w:ascii="Liberation Sans" w:hAnsi="Liberation Sans"/>
                <w:b w:val="0"/>
                <w:color w:val="232A32"/>
                <w:sz w:val="15"/>
              </w:rPr>
              <w:t>OTOCO / Bracket</w:t>
            </w:r>
          </w:p>
        </w:tc>
        <w:tc>
          <w:tcPr>
            <w:tcW w:type="dxa" w:w="5472"/>
            <w:vAlign w:val="center"/>
          </w:tcPr>
          <w:p>
            <w:r/>
            <w:r>
              <w:rPr>
                <w:rFonts w:ascii="Liberation Sans" w:hAnsi="Liberation Sans"/>
                <w:b w:val="0"/>
                <w:color w:val="232A32"/>
                <w:sz w:val="15"/>
              </w:rPr>
              <w:t>Entry activates profit target + protective stop as OCO</w:t>
            </w:r>
          </w:p>
        </w:tc>
        <w:tc>
          <w:tcPr>
            <w:tcW w:type="dxa" w:w="3024"/>
            <w:vAlign w:val="center"/>
          </w:tcPr>
          <w:p>
            <w:r/>
            <w:r>
              <w:rPr>
                <w:rFonts w:ascii="Liberation Sans" w:hAnsi="Liberation Sans"/>
                <w:b w:val="0"/>
                <w:color w:val="232A32"/>
                <w:sz w:val="15"/>
              </w:rPr>
              <w:t>Standard protected trade</w:t>
            </w:r>
          </w:p>
        </w:tc>
      </w:tr>
      <w:tr>
        <w:tc>
          <w:tcPr>
            <w:tcW w:type="dxa" w:w="1944"/>
            <w:vAlign w:val="center"/>
            <w:shd w:fill="F5F7F9"/>
          </w:tcPr>
          <w:p>
            <w:r/>
            <w:r>
              <w:rPr>
                <w:rFonts w:ascii="Liberation Sans" w:hAnsi="Liberation Sans"/>
                <w:b w:val="0"/>
                <w:color w:val="232A32"/>
                <w:sz w:val="15"/>
              </w:rPr>
              <w:t>Chain</w:t>
            </w:r>
          </w:p>
        </w:tc>
        <w:tc>
          <w:tcPr>
            <w:tcW w:type="dxa" w:w="5472"/>
            <w:vAlign w:val="center"/>
            <w:shd w:fill="F5F7F9"/>
          </w:tcPr>
          <w:p>
            <w:r/>
            <w:r>
              <w:rPr>
                <w:rFonts w:ascii="Liberation Sans" w:hAnsi="Liberation Sans"/>
                <w:b w:val="0"/>
                <w:color w:val="232A32"/>
                <w:sz w:val="15"/>
              </w:rPr>
              <w:t>N-level directed dependency graph between orders</w:t>
            </w:r>
          </w:p>
        </w:tc>
        <w:tc>
          <w:tcPr>
            <w:tcW w:type="dxa" w:w="3024"/>
            <w:vAlign w:val="center"/>
            <w:shd w:fill="F5F7F9"/>
          </w:tcPr>
          <w:p>
            <w:r/>
            <w:r>
              <w:rPr>
                <w:rFonts w:ascii="Liberation Sans" w:hAnsi="Liberation Sans"/>
                <w:b w:val="0"/>
                <w:color w:val="232A32"/>
                <w:sz w:val="15"/>
              </w:rPr>
              <w:t>Sequential strategy execution</w:t>
            </w:r>
          </w:p>
        </w:tc>
      </w:tr>
      <w:tr>
        <w:tc>
          <w:tcPr>
            <w:tcW w:type="dxa" w:w="1944"/>
            <w:vAlign w:val="center"/>
          </w:tcPr>
          <w:p>
            <w:r/>
            <w:r>
              <w:rPr>
                <w:rFonts w:ascii="Liberation Sans" w:hAnsi="Liberation Sans"/>
                <w:b w:val="0"/>
                <w:color w:val="232A32"/>
                <w:sz w:val="15"/>
              </w:rPr>
              <w:t>Trailing Stop</w:t>
            </w:r>
          </w:p>
        </w:tc>
        <w:tc>
          <w:tcPr>
            <w:tcW w:type="dxa" w:w="5472"/>
            <w:vAlign w:val="center"/>
          </w:tcPr>
          <w:p>
            <w:r/>
            <w:r>
              <w:rPr>
                <w:rFonts w:ascii="Liberation Sans" w:hAnsi="Liberation Sans"/>
                <w:b w:val="0"/>
                <w:color w:val="232A32"/>
                <w:sz w:val="15"/>
              </w:rPr>
              <w:t>Stop trigger follows favorable price movement by ticks/%/ATR</w:t>
            </w:r>
          </w:p>
        </w:tc>
        <w:tc>
          <w:tcPr>
            <w:tcW w:type="dxa" w:w="3024"/>
            <w:vAlign w:val="center"/>
          </w:tcPr>
          <w:p>
            <w:r/>
            <w:r>
              <w:rPr>
                <w:rFonts w:ascii="Liberation Sans" w:hAnsi="Liberation Sans"/>
                <w:b w:val="0"/>
                <w:color w:val="232A32"/>
                <w:sz w:val="15"/>
              </w:rPr>
              <w:t>Dynamic protection</w:t>
            </w:r>
          </w:p>
        </w:tc>
      </w:tr>
      <w:tr>
        <w:tc>
          <w:tcPr>
            <w:tcW w:type="dxa" w:w="1944"/>
            <w:vAlign w:val="center"/>
            <w:shd w:fill="F5F7F9"/>
          </w:tcPr>
          <w:p>
            <w:r/>
            <w:r>
              <w:rPr>
                <w:rFonts w:ascii="Liberation Sans" w:hAnsi="Liberation Sans"/>
                <w:b w:val="0"/>
                <w:color w:val="232A32"/>
                <w:sz w:val="15"/>
              </w:rPr>
              <w:t>Break-even Stop</w:t>
            </w:r>
          </w:p>
        </w:tc>
        <w:tc>
          <w:tcPr>
            <w:tcW w:type="dxa" w:w="5472"/>
            <w:vAlign w:val="center"/>
            <w:shd w:fill="F5F7F9"/>
          </w:tcPr>
          <w:p>
            <w:r/>
            <w:r>
              <w:rPr>
                <w:rFonts w:ascii="Liberation Sans" w:hAnsi="Liberation Sans"/>
                <w:b w:val="0"/>
                <w:color w:val="232A32"/>
                <w:sz w:val="15"/>
              </w:rPr>
              <w:t>After threshold/TP1, stop moves to entry or entry+offset</w:t>
            </w:r>
          </w:p>
        </w:tc>
        <w:tc>
          <w:tcPr>
            <w:tcW w:type="dxa" w:w="3024"/>
            <w:vAlign w:val="center"/>
            <w:shd w:fill="F5F7F9"/>
          </w:tcPr>
          <w:p>
            <w:r/>
            <w:r>
              <w:rPr>
                <w:rFonts w:ascii="Liberation Sans" w:hAnsi="Liberation Sans"/>
                <w:b w:val="0"/>
                <w:color w:val="232A32"/>
                <w:sz w:val="15"/>
              </w:rPr>
              <w:t>Locking risk after initial profit</w:t>
            </w:r>
          </w:p>
        </w:tc>
      </w:tr>
      <w:tr>
        <w:tc>
          <w:tcPr>
            <w:tcW w:type="dxa" w:w="1944"/>
            <w:vAlign w:val="center"/>
          </w:tcPr>
          <w:p>
            <w:r/>
            <w:r>
              <w:rPr>
                <w:rFonts w:ascii="Liberation Sans" w:hAnsi="Liberation Sans"/>
                <w:b w:val="0"/>
                <w:color w:val="232A32"/>
                <w:sz w:val="15"/>
              </w:rPr>
              <w:t>Multi-target Exit</w:t>
            </w:r>
          </w:p>
        </w:tc>
        <w:tc>
          <w:tcPr>
            <w:tcW w:type="dxa" w:w="5472"/>
            <w:vAlign w:val="center"/>
          </w:tcPr>
          <w:p>
            <w:r/>
            <w:r>
              <w:rPr>
                <w:rFonts w:ascii="Liberation Sans" w:hAnsi="Liberation Sans"/>
                <w:b w:val="0"/>
                <w:color w:val="232A32"/>
                <w:sz w:val="15"/>
              </w:rPr>
              <w:t>Several TP levels with quantities/percentages and one coordinated stop</w:t>
            </w:r>
          </w:p>
        </w:tc>
        <w:tc>
          <w:tcPr>
            <w:tcW w:type="dxa" w:w="3024"/>
            <w:vAlign w:val="center"/>
          </w:tcPr>
          <w:p>
            <w:r/>
            <w:r>
              <w:rPr>
                <w:rFonts w:ascii="Liberation Sans" w:hAnsi="Liberation Sans"/>
                <w:b w:val="0"/>
                <w:color w:val="232A32"/>
                <w:sz w:val="15"/>
              </w:rPr>
              <w:t>Scale-out management</w:t>
            </w:r>
          </w:p>
        </w:tc>
      </w:tr>
      <w:tr>
        <w:tc>
          <w:tcPr>
            <w:tcW w:type="dxa" w:w="1944"/>
            <w:vAlign w:val="center"/>
            <w:shd w:fill="F5F7F9"/>
          </w:tcPr>
          <w:p>
            <w:r/>
            <w:r>
              <w:rPr>
                <w:rFonts w:ascii="Liberation Sans" w:hAnsi="Liberation Sans"/>
                <w:b w:val="0"/>
                <w:color w:val="232A32"/>
                <w:sz w:val="15"/>
              </w:rPr>
              <w:t>Scale-in</w:t>
            </w:r>
          </w:p>
        </w:tc>
        <w:tc>
          <w:tcPr>
            <w:tcW w:type="dxa" w:w="5472"/>
            <w:vAlign w:val="center"/>
            <w:shd w:fill="F5F7F9"/>
          </w:tcPr>
          <w:p>
            <w:r/>
            <w:r>
              <w:rPr>
                <w:rFonts w:ascii="Liberation Sans" w:hAnsi="Liberation Sans"/>
                <w:b w:val="0"/>
                <w:color w:val="232A32"/>
                <w:sz w:val="15"/>
              </w:rPr>
              <w:t>Add quantity at price/condition levels under a max exposure rule</w:t>
            </w:r>
          </w:p>
        </w:tc>
        <w:tc>
          <w:tcPr>
            <w:tcW w:type="dxa" w:w="3024"/>
            <w:vAlign w:val="center"/>
            <w:shd w:fill="F5F7F9"/>
          </w:tcPr>
          <w:p>
            <w:r/>
            <w:r>
              <w:rPr>
                <w:rFonts w:ascii="Liberation Sans" w:hAnsi="Liberation Sans"/>
                <w:b w:val="0"/>
                <w:color w:val="232A32"/>
                <w:sz w:val="15"/>
              </w:rPr>
              <w:t>Planned accumulation</w:t>
            </w:r>
          </w:p>
        </w:tc>
      </w:tr>
      <w:tr>
        <w:tc>
          <w:tcPr>
            <w:tcW w:type="dxa" w:w="1944"/>
            <w:vAlign w:val="center"/>
          </w:tcPr>
          <w:p>
            <w:r/>
            <w:r>
              <w:rPr>
                <w:rFonts w:ascii="Liberation Sans" w:hAnsi="Liberation Sans"/>
                <w:b w:val="0"/>
                <w:color w:val="232A32"/>
                <w:sz w:val="15"/>
              </w:rPr>
              <w:t>TWAP</w:t>
            </w:r>
          </w:p>
        </w:tc>
        <w:tc>
          <w:tcPr>
            <w:tcW w:type="dxa" w:w="5472"/>
            <w:vAlign w:val="center"/>
          </w:tcPr>
          <w:p>
            <w:r/>
            <w:r>
              <w:rPr>
                <w:rFonts w:ascii="Liberation Sans" w:hAnsi="Liberation Sans"/>
                <w:b w:val="0"/>
                <w:color w:val="232A32"/>
                <w:sz w:val="15"/>
              </w:rPr>
              <w:t>Slice quantity over time with schedule/randomization constraints</w:t>
            </w:r>
          </w:p>
        </w:tc>
        <w:tc>
          <w:tcPr>
            <w:tcW w:type="dxa" w:w="3024"/>
            <w:vAlign w:val="center"/>
          </w:tcPr>
          <w:p>
            <w:r/>
            <w:r>
              <w:rPr>
                <w:rFonts w:ascii="Liberation Sans" w:hAnsi="Liberation Sans"/>
                <w:b w:val="0"/>
                <w:color w:val="232A32"/>
                <w:sz w:val="15"/>
              </w:rPr>
              <w:t>Reduce timing impact</w:t>
            </w:r>
          </w:p>
        </w:tc>
      </w:tr>
      <w:tr>
        <w:tc>
          <w:tcPr>
            <w:tcW w:type="dxa" w:w="1944"/>
            <w:vAlign w:val="center"/>
            <w:shd w:fill="F5F7F9"/>
          </w:tcPr>
          <w:p>
            <w:r/>
            <w:r>
              <w:rPr>
                <w:rFonts w:ascii="Liberation Sans" w:hAnsi="Liberation Sans"/>
                <w:b w:val="0"/>
                <w:color w:val="232A32"/>
                <w:sz w:val="15"/>
              </w:rPr>
              <w:t>VWAP</w:t>
            </w:r>
          </w:p>
        </w:tc>
        <w:tc>
          <w:tcPr>
            <w:tcW w:type="dxa" w:w="5472"/>
            <w:vAlign w:val="center"/>
            <w:shd w:fill="F5F7F9"/>
          </w:tcPr>
          <w:p>
            <w:r/>
            <w:r>
              <w:rPr>
                <w:rFonts w:ascii="Liberation Sans" w:hAnsi="Liberation Sans"/>
                <w:b w:val="0"/>
                <w:color w:val="232A32"/>
                <w:sz w:val="15"/>
              </w:rPr>
              <w:t>Target market volume-weighted benchmark using historical/live volume profile</w:t>
            </w:r>
          </w:p>
        </w:tc>
        <w:tc>
          <w:tcPr>
            <w:tcW w:type="dxa" w:w="3024"/>
            <w:vAlign w:val="center"/>
            <w:shd w:fill="F5F7F9"/>
          </w:tcPr>
          <w:p>
            <w:r/>
            <w:r>
              <w:rPr>
                <w:rFonts w:ascii="Liberation Sans" w:hAnsi="Liberation Sans"/>
                <w:b w:val="0"/>
                <w:color w:val="232A32"/>
                <w:sz w:val="15"/>
              </w:rPr>
              <w:t>Benchmark execution</w:t>
            </w:r>
          </w:p>
        </w:tc>
      </w:tr>
      <w:tr>
        <w:tc>
          <w:tcPr>
            <w:tcW w:type="dxa" w:w="1944"/>
            <w:vAlign w:val="center"/>
          </w:tcPr>
          <w:p>
            <w:r/>
            <w:r>
              <w:rPr>
                <w:rFonts w:ascii="Liberation Sans" w:hAnsi="Liberation Sans"/>
                <w:b w:val="0"/>
                <w:color w:val="232A32"/>
                <w:sz w:val="15"/>
              </w:rPr>
              <w:t>POV</w:t>
            </w:r>
          </w:p>
        </w:tc>
        <w:tc>
          <w:tcPr>
            <w:tcW w:type="dxa" w:w="5472"/>
            <w:vAlign w:val="center"/>
          </w:tcPr>
          <w:p>
            <w:r/>
            <w:r>
              <w:rPr>
                <w:rFonts w:ascii="Liberation Sans" w:hAnsi="Liberation Sans"/>
                <w:b w:val="0"/>
                <w:color w:val="232A32"/>
                <w:sz w:val="15"/>
              </w:rPr>
              <w:t>Trade as a bounded percentage of observed market volume</w:t>
            </w:r>
          </w:p>
        </w:tc>
        <w:tc>
          <w:tcPr>
            <w:tcW w:type="dxa" w:w="3024"/>
            <w:vAlign w:val="center"/>
          </w:tcPr>
          <w:p>
            <w:r/>
            <w:r>
              <w:rPr>
                <w:rFonts w:ascii="Liberation Sans" w:hAnsi="Liberation Sans"/>
                <w:b w:val="0"/>
                <w:color w:val="232A32"/>
                <w:sz w:val="15"/>
              </w:rPr>
              <w:t>Participation control</w:t>
            </w:r>
          </w:p>
        </w:tc>
      </w:tr>
      <w:tr>
        <w:tc>
          <w:tcPr>
            <w:tcW w:type="dxa" w:w="1944"/>
            <w:vAlign w:val="center"/>
            <w:shd w:fill="F5F7F9"/>
          </w:tcPr>
          <w:p>
            <w:r/>
            <w:r>
              <w:rPr>
                <w:rFonts w:ascii="Liberation Sans" w:hAnsi="Liberation Sans"/>
                <w:b w:val="0"/>
                <w:color w:val="232A32"/>
                <w:sz w:val="15"/>
              </w:rPr>
              <w:t>Iceberg / Slice</w:t>
            </w:r>
          </w:p>
        </w:tc>
        <w:tc>
          <w:tcPr>
            <w:tcW w:type="dxa" w:w="5472"/>
            <w:vAlign w:val="center"/>
            <w:shd w:fill="F5F7F9"/>
          </w:tcPr>
          <w:p>
            <w:r/>
            <w:r>
              <w:rPr>
                <w:rFonts w:ascii="Liberation Sans" w:hAnsi="Liberation Sans"/>
                <w:b w:val="0"/>
                <w:color w:val="232A32"/>
                <w:sz w:val="15"/>
              </w:rPr>
              <w:t>Expose only part of total quantity; replenish children</w:t>
            </w:r>
          </w:p>
        </w:tc>
        <w:tc>
          <w:tcPr>
            <w:tcW w:type="dxa" w:w="3024"/>
            <w:vAlign w:val="center"/>
            <w:shd w:fill="F5F7F9"/>
          </w:tcPr>
          <w:p>
            <w:r/>
            <w:r>
              <w:rPr>
                <w:rFonts w:ascii="Liberation Sans" w:hAnsi="Liberation Sans"/>
                <w:b w:val="0"/>
                <w:color w:val="232A32"/>
                <w:sz w:val="15"/>
              </w:rPr>
              <w:t>Reduce displayed size</w:t>
            </w:r>
          </w:p>
        </w:tc>
      </w:tr>
      <w:tr>
        <w:tc>
          <w:tcPr>
            <w:tcW w:type="dxa" w:w="1944"/>
            <w:vAlign w:val="center"/>
          </w:tcPr>
          <w:p>
            <w:r/>
            <w:r>
              <w:rPr>
                <w:rFonts w:ascii="Liberation Sans" w:hAnsi="Liberation Sans"/>
                <w:b w:val="0"/>
                <w:color w:val="232A32"/>
                <w:sz w:val="15"/>
              </w:rPr>
              <w:t>Basket</w:t>
            </w:r>
          </w:p>
        </w:tc>
        <w:tc>
          <w:tcPr>
            <w:tcW w:type="dxa" w:w="5472"/>
            <w:vAlign w:val="center"/>
          </w:tcPr>
          <w:p>
            <w:r/>
            <w:r>
              <w:rPr>
                <w:rFonts w:ascii="Liberation Sans" w:hAnsi="Liberation Sans"/>
                <w:b w:val="0"/>
                <w:color w:val="232A32"/>
                <w:sz w:val="15"/>
              </w:rPr>
              <w:t>Submit coordinated multi-symbol orders with group progress/risk</w:t>
            </w:r>
          </w:p>
        </w:tc>
        <w:tc>
          <w:tcPr>
            <w:tcW w:type="dxa" w:w="3024"/>
            <w:vAlign w:val="center"/>
          </w:tcPr>
          <w:p>
            <w:r/>
            <w:r>
              <w:rPr>
                <w:rFonts w:ascii="Liberation Sans" w:hAnsi="Liberation Sans"/>
                <w:b w:val="0"/>
                <w:color w:val="232A32"/>
                <w:sz w:val="15"/>
              </w:rPr>
              <w:t>Portfolio action</w:t>
            </w:r>
          </w:p>
        </w:tc>
      </w:tr>
      <w:tr>
        <w:tc>
          <w:tcPr>
            <w:tcW w:type="dxa" w:w="1944"/>
            <w:vAlign w:val="center"/>
            <w:shd w:fill="F5F7F9"/>
          </w:tcPr>
          <w:p>
            <w:r/>
            <w:r>
              <w:rPr>
                <w:rFonts w:ascii="Liberation Sans" w:hAnsi="Liberation Sans"/>
                <w:b w:val="0"/>
                <w:color w:val="232A32"/>
                <w:sz w:val="15"/>
              </w:rPr>
              <w:t>Pair / Spread</w:t>
            </w:r>
          </w:p>
        </w:tc>
        <w:tc>
          <w:tcPr>
            <w:tcW w:type="dxa" w:w="5472"/>
            <w:vAlign w:val="center"/>
            <w:shd w:fill="F5F7F9"/>
          </w:tcPr>
          <w:p>
            <w:r/>
            <w:r>
              <w:rPr>
                <w:rFonts w:ascii="Liberation Sans" w:hAnsi="Liberation Sans"/>
                <w:b w:val="0"/>
                <w:color w:val="232A32"/>
                <w:sz w:val="15"/>
              </w:rPr>
              <w:t>Coordinate two legs using ratio, trigger and legging policy</w:t>
            </w:r>
          </w:p>
        </w:tc>
        <w:tc>
          <w:tcPr>
            <w:tcW w:type="dxa" w:w="3024"/>
            <w:vAlign w:val="center"/>
            <w:shd w:fill="F5F7F9"/>
          </w:tcPr>
          <w:p>
            <w:r/>
            <w:r>
              <w:rPr>
                <w:rFonts w:ascii="Liberation Sans" w:hAnsi="Liberation Sans"/>
                <w:b w:val="0"/>
                <w:color w:val="232A32"/>
                <w:sz w:val="15"/>
              </w:rPr>
              <w:t>Relative-value execution</w:t>
            </w:r>
          </w:p>
        </w:tc>
      </w:tr>
      <w:tr>
        <w:tc>
          <w:tcPr>
            <w:tcW w:type="dxa" w:w="1944"/>
            <w:vAlign w:val="center"/>
          </w:tcPr>
          <w:p>
            <w:r/>
            <w:r>
              <w:rPr>
                <w:rFonts w:ascii="Liberation Sans" w:hAnsi="Liberation Sans"/>
                <w:b w:val="0"/>
                <w:color w:val="232A32"/>
                <w:sz w:val="15"/>
              </w:rPr>
              <w:t>Conditional</w:t>
            </w:r>
          </w:p>
        </w:tc>
        <w:tc>
          <w:tcPr>
            <w:tcW w:type="dxa" w:w="5472"/>
            <w:vAlign w:val="center"/>
          </w:tcPr>
          <w:p>
            <w:r/>
            <w:r>
              <w:rPr>
                <w:rFonts w:ascii="Liberation Sans" w:hAnsi="Liberation Sans"/>
                <w:b w:val="0"/>
                <w:color w:val="232A32"/>
                <w:sz w:val="15"/>
              </w:rPr>
              <w:t>Trigger from price, bid/ask, LTP, percentage, time, position or external rule</w:t>
            </w:r>
          </w:p>
        </w:tc>
        <w:tc>
          <w:tcPr>
            <w:tcW w:type="dxa" w:w="3024"/>
            <w:vAlign w:val="center"/>
          </w:tcPr>
          <w:p>
            <w:r/>
            <w:r>
              <w:rPr>
                <w:rFonts w:ascii="Liberation Sans" w:hAnsi="Liberation Sans"/>
                <w:b w:val="0"/>
                <w:color w:val="232A32"/>
                <w:sz w:val="15"/>
              </w:rPr>
              <w:t>General automation</w:t>
            </w:r>
          </w:p>
        </w:tc>
      </w:tr>
      <w:tr>
        <w:tc>
          <w:tcPr>
            <w:tcW w:type="dxa" w:w="1944"/>
            <w:vAlign w:val="center"/>
            <w:shd w:fill="F5F7F9"/>
          </w:tcPr>
          <w:p>
            <w:r/>
            <w:r>
              <w:rPr>
                <w:rFonts w:ascii="Liberation Sans" w:hAnsi="Liberation Sans"/>
                <w:b w:val="0"/>
                <w:color w:val="232A32"/>
                <w:sz w:val="15"/>
              </w:rPr>
              <w:t>Timed / GTD</w:t>
            </w:r>
          </w:p>
        </w:tc>
        <w:tc>
          <w:tcPr>
            <w:tcW w:type="dxa" w:w="5472"/>
            <w:vAlign w:val="center"/>
            <w:shd w:fill="F5F7F9"/>
          </w:tcPr>
          <w:p>
            <w:r/>
            <w:r>
              <w:rPr>
                <w:rFonts w:ascii="Liberation Sans" w:hAnsi="Liberation Sans"/>
                <w:b w:val="0"/>
                <w:color w:val="232A32"/>
                <w:sz w:val="15"/>
              </w:rPr>
              <w:t>Activate/expire at a specific time/date, with optional session restart</w:t>
            </w:r>
          </w:p>
        </w:tc>
        <w:tc>
          <w:tcPr>
            <w:tcW w:type="dxa" w:w="3024"/>
            <w:vAlign w:val="center"/>
            <w:shd w:fill="F5F7F9"/>
          </w:tcPr>
          <w:p>
            <w:r/>
            <w:r>
              <w:rPr>
                <w:rFonts w:ascii="Liberation Sans" w:hAnsi="Liberation Sans"/>
                <w:b w:val="0"/>
                <w:color w:val="232A32"/>
                <w:sz w:val="15"/>
              </w:rPr>
              <w:t>Scheduled execution</w:t>
            </w:r>
          </w:p>
        </w:tc>
      </w:tr>
      <w:tr>
        <w:tc>
          <w:tcPr>
            <w:tcW w:type="dxa" w:w="1944"/>
            <w:vAlign w:val="center"/>
          </w:tcPr>
          <w:p>
            <w:r/>
            <w:r>
              <w:rPr>
                <w:rFonts w:ascii="Liberation Sans" w:hAnsi="Liberation Sans"/>
                <w:b w:val="0"/>
                <w:color w:val="232A32"/>
                <w:sz w:val="15"/>
              </w:rPr>
              <w:t>Cancel-on-condition</w:t>
            </w:r>
          </w:p>
        </w:tc>
        <w:tc>
          <w:tcPr>
            <w:tcW w:type="dxa" w:w="5472"/>
            <w:vAlign w:val="center"/>
          </w:tcPr>
          <w:p>
            <w:r/>
            <w:r>
              <w:rPr>
                <w:rFonts w:ascii="Liberation Sans" w:hAnsi="Liberation Sans"/>
                <w:b w:val="0"/>
                <w:color w:val="232A32"/>
                <w:sz w:val="15"/>
              </w:rPr>
              <w:t>Cancel working orders when a condition or linked event occurs</w:t>
            </w:r>
          </w:p>
        </w:tc>
        <w:tc>
          <w:tcPr>
            <w:tcW w:type="dxa" w:w="3024"/>
            <w:vAlign w:val="center"/>
          </w:tcPr>
          <w:p>
            <w:r/>
            <w:r>
              <w:rPr>
                <w:rFonts w:ascii="Liberation Sans" w:hAnsi="Liberation Sans"/>
                <w:b w:val="0"/>
                <w:color w:val="232A32"/>
                <w:sz w:val="15"/>
              </w:rPr>
              <w:t>Risk cleanup</w:t>
            </w:r>
          </w:p>
        </w:tc>
      </w:tr>
      <w:tr>
        <w:tc>
          <w:tcPr>
            <w:tcW w:type="dxa" w:w="1944"/>
            <w:vAlign w:val="center"/>
            <w:shd w:fill="F5F7F9"/>
          </w:tcPr>
          <w:p>
            <w:r/>
            <w:r>
              <w:rPr>
                <w:rFonts w:ascii="Liberation Sans" w:hAnsi="Liberation Sans"/>
                <w:b w:val="0"/>
                <w:color w:val="232A32"/>
                <w:sz w:val="15"/>
              </w:rPr>
              <w:t>Retry / Reprice</w:t>
            </w:r>
          </w:p>
        </w:tc>
        <w:tc>
          <w:tcPr>
            <w:tcW w:type="dxa" w:w="5472"/>
            <w:vAlign w:val="center"/>
            <w:shd w:fill="F5F7F9"/>
          </w:tcPr>
          <w:p>
            <w:r/>
            <w:r>
              <w:rPr>
                <w:rFonts w:ascii="Liberation Sans" w:hAnsi="Liberation Sans"/>
                <w:b w:val="0"/>
                <w:color w:val="232A32"/>
                <w:sz w:val="15"/>
              </w:rPr>
              <w:t>Retry rejected/transient orders or reprice under bounded policy</w:t>
            </w:r>
          </w:p>
        </w:tc>
        <w:tc>
          <w:tcPr>
            <w:tcW w:type="dxa" w:w="3024"/>
            <w:vAlign w:val="center"/>
            <w:shd w:fill="F5F7F9"/>
          </w:tcPr>
          <w:p>
            <w:r/>
            <w:r>
              <w:rPr>
                <w:rFonts w:ascii="Liberation Sans" w:hAnsi="Liberation Sans"/>
                <w:b w:val="0"/>
                <w:color w:val="232A32"/>
                <w:sz w:val="15"/>
              </w:rPr>
              <w:t>Operational resilience</w:t>
            </w:r>
          </w:p>
        </w:tc>
      </w:tr>
    </w:tbl>
    <w:p/>
    <w:p>
      <w:r>
        <w:rPr>
          <w:i w:val="0"/>
        </w:rPr>
        <w:t>Every advanced order definition must include a broker capability fallback policy. Example: if the broker supports native iceberg, BIST-EMS may route the native type; otherwise the synthetic engine can slice visible child quantity itself, subject to latency, market rules and institutional approval. The UI must reveal whether an instruction is exchange-native, broker-native or EMS-synthetic.</w:t>
      </w:r>
    </w:p>
    <w:p>
      <w:pPr>
        <w:pStyle w:val="Heading1"/>
      </w:pPr>
      <w:r>
        <w:t>8. Order Orchestration Engine</w:t>
      </w:r>
    </w:p>
    <w:p>
      <w:pPr>
        <w:pStyle w:val="Heading2"/>
      </w:pPr>
      <w:r>
        <w:t>8.1 State machine</w:t>
      </w:r>
    </w:p>
    <w:p>
      <w:r>
        <w:rPr>
          <w:i w:val="0"/>
        </w:rPr>
        <w:t>The orchestration engine is the core intellectual property. Each synthetic parent order is a durable workflow whose state is derived from commands and broker/exchange events. A minimal lifecycle can include CREATED, VALIDATED, ARMED, WORKING, PARTIALLY_FILLED, FILLED, CANCEL_PENDING, CANCELLED, REJECTED, EXPIRED, SUSPENDED and ERROR/RECOVERY states. Child orders have their own lifecycle, and parent state is computed from the strategy policy plus child states.</w:t>
      </w:r>
    </w:p>
    <w:p>
      <w:pPr>
        <w:pStyle w:val="Heading2"/>
      </w:pPr>
      <w:r>
        <w:t>8.2 Partial-fill correctness</w:t>
      </w:r>
    </w:p>
    <w:p>
      <w:r>
        <w:rPr>
          <w:i w:val="0"/>
        </w:rPr>
        <w:t>Partial fills are the most common source of dangerous bugs in advanced order systems. Protection quantity must be based on real filled position, not requested parent quantity. If a 1,000-lot entry fills only 300 lots, a protective 1,000-lot sell may create an unintended short position if permitted. Therefore the orchestrator must continuously maintain invariant checks such as total active exit quantity &lt;= protectable position + explicitly approved short capacity.</w:t>
      </w:r>
    </w:p>
    <w:p>
      <w:pPr>
        <w:pStyle w:val="ListBullet"/>
      </w:pPr>
      <w:r>
        <w:t>For each fill event, atomically update execution quantity, position projection, child target quantities and risk reservations.</w:t>
      </w:r>
    </w:p>
    <w:p>
      <w:pPr>
        <w:pStyle w:val="ListBullet"/>
      </w:pPr>
      <w:r>
        <w:t>When one OCO leg partially fills, reduce sibling quantities according to policy before or concurrently with subsequent child action.</w:t>
      </w:r>
    </w:p>
    <w:p>
      <w:pPr>
        <w:pStyle w:val="ListBullet"/>
      </w:pPr>
      <w:r>
        <w:t>Use monotonic sequence numbers/event versions to ignore duplicates and detect gaps.</w:t>
      </w:r>
    </w:p>
    <w:p>
      <w:pPr>
        <w:pStyle w:val="ListBullet"/>
      </w:pPr>
      <w:r>
        <w:t>All external commands must be idempotent. A client retry must not duplicate the order.</w:t>
      </w:r>
    </w:p>
    <w:p>
      <w:pPr>
        <w:pStyle w:val="ListBullet"/>
      </w:pPr>
      <w:r>
        <w:t>Every automatic action must record reason, triggering event, rule version and resulting broker command.</w:t>
      </w:r>
    </w:p>
    <w:p>
      <w:pPr>
        <w:pStyle w:val="Heading2"/>
      </w:pPr>
      <w:r>
        <w:t>8.3 Strategy definition model</w:t>
      </w:r>
    </w:p>
    <w:p>
      <w:r>
        <w:rPr>
          <w:i w:val="0"/>
        </w:rPr>
        <w:t>Strategies should be stored as versioned definitions rather than hard-coded UI behavior. A definition contains trigger conditions, actions, dependencies, quantity formulas, price formulas, time policy, risk policy and failure policy. This makes templates portable across web/mobile and enables auditability.</w:t>
      </w:r>
    </w:p>
    <w:tbl>
      <w:tblPr>
        <w:tblW w:type="auto" w:w="0"/>
        <w:jc w:val="center"/>
        <w:tblLook w:firstColumn="1" w:firstRow="1" w:lastColumn="0" w:lastRow="0" w:noHBand="0" w:noVBand="1" w:val="04A0"/>
      </w:tblPr>
      <w:tblGrid>
        <w:gridCol w:w="10080"/>
      </w:tblGrid>
      <w:tr>
        <w:tc>
          <w:tcPr>
            <w:tcW w:type="dxa" w:w="10080"/>
            <w:shd w:fill="EFF4F8"/>
          </w:tcPr>
          <w:p>
            <w:r>
              <w:rPr>
                <w:b/>
                <w:color w:val="172B4D"/>
                <w:sz w:val="21"/>
              </w:rPr>
              <w:t>Example invariant</w:t>
              <w:br/>
            </w:r>
            <w:r>
              <w:rPr>
                <w:color w:val="232A32"/>
                <w:sz w:val="19"/>
              </w:rPr>
              <w:t>If a parent entry has FilledQty=620 and TP1 has already sold 200, the maximum aggregate protective sell quantity should normally be 420 unless the account explicitly authorizes net short exposure. The rule must be recalculated from authoritative executions, not UI assumptions.</w:t>
            </w:r>
          </w:p>
        </w:tc>
      </w:tr>
    </w:tbl>
    <w:p/>
    <w:p>
      <w:pPr>
        <w:pStyle w:val="Heading1"/>
      </w:pPr>
      <w:r>
        <w:t>9. Broker Adapter and Integration Architecture</w:t>
      </w:r>
    </w:p>
    <w:p>
      <w:pPr>
        <w:jc w:val="center"/>
      </w:pPr>
      <w:r>
        <w:drawing>
          <wp:inline xmlns:a="http://schemas.openxmlformats.org/drawingml/2006/main" xmlns:pic="http://schemas.openxmlformats.org/drawingml/2006/picture">
            <wp:extent cx="6309360" cy="3351848"/>
            <wp:docPr id="3" name="Picture 3"/>
            <wp:cNvGraphicFramePr>
              <a:graphicFrameLocks noChangeAspect="1"/>
            </wp:cNvGraphicFramePr>
            <a:graphic>
              <a:graphicData uri="http://schemas.openxmlformats.org/drawingml/2006/picture">
                <pic:pic>
                  <pic:nvPicPr>
                    <pic:cNvPr id="0" name="adapter.png"/>
                    <pic:cNvPicPr/>
                  </pic:nvPicPr>
                  <pic:blipFill>
                    <a:blip r:embed="rId13"/>
                    <a:stretch>
                      <a:fillRect/>
                    </a:stretch>
                  </pic:blipFill>
                  <pic:spPr>
                    <a:xfrm>
                      <a:off x="0" y="0"/>
                      <a:ext cx="6309360" cy="3351848"/>
                    </a:xfrm>
                    <a:prstGeom prst="rect"/>
                  </pic:spPr>
                </pic:pic>
              </a:graphicData>
            </a:graphic>
          </wp:inline>
        </w:drawing>
      </w:r>
    </w:p>
    <w:p>
      <w:pPr>
        <w:pStyle w:val="SmallNote"/>
        <w:jc w:val="center"/>
      </w:pPr>
      <w:r>
        <w:t>Figure 2 - Canonical model isolates the execution engine from institution-specific protocols.</w:t>
      </w:r>
    </w:p>
    <w:p>
      <w:r>
        <w:rPr>
          <w:i w:val="0"/>
        </w:rPr>
        <w:t>The adapter boundary is what turns a single custom project into a repeatable product. The EMS core should consume a capability contract such as placeOrder, modifyOrder, cancelOrder, queryOrders, queryExecutions, queryPositions, queryBalances and subscribeToEvents. Each institution adapter maps these operations to FIX, REST, WebSocket or a proprietary OMS protocol.</w:t>
      </w:r>
    </w:p>
    <w:tbl>
      <w:tblPr>
        <w:tblStyle w:val="TableGrid"/>
        <w:tblW w:type="auto" w:w="0"/>
        <w:jc w:val="center"/>
        <w:tblLook w:firstColumn="1" w:firstRow="1" w:lastColumn="0" w:lastRow="0" w:noHBand="0" w:noVBand="1" w:val="04A0"/>
      </w:tblPr>
      <w:tblGrid>
        <w:gridCol w:w="5040"/>
        <w:gridCol w:w="5040"/>
      </w:tblGrid>
      <w:tr>
        <w:tc>
          <w:tcPr>
            <w:tcW w:type="dxa" w:w="2448"/>
            <w:vAlign w:val="center"/>
            <w:shd w:fill="17304D"/>
          </w:tcPr>
          <w:p>
            <w:r/>
            <w:r>
              <w:rPr>
                <w:rFonts w:ascii="Liberation Sans" w:hAnsi="Liberation Sans"/>
                <w:b/>
                <w:color w:val="FFFFFF"/>
                <w:sz w:val="16"/>
              </w:rPr>
              <w:t>Adapter concern</w:t>
            </w:r>
          </w:p>
        </w:tc>
        <w:tc>
          <w:tcPr>
            <w:tcW w:type="dxa" w:w="7776"/>
            <w:vAlign w:val="center"/>
            <w:shd w:fill="17304D"/>
          </w:tcPr>
          <w:p>
            <w:r/>
            <w:r>
              <w:rPr>
                <w:rFonts w:ascii="Liberation Sans" w:hAnsi="Liberation Sans"/>
                <w:b/>
                <w:color w:val="FFFFFF"/>
                <w:sz w:val="16"/>
              </w:rPr>
              <w:t>Requirement</w:t>
            </w:r>
          </w:p>
        </w:tc>
      </w:tr>
      <w:tr>
        <w:tc>
          <w:tcPr>
            <w:tcW w:type="dxa" w:w="2448"/>
            <w:vAlign w:val="center"/>
          </w:tcPr>
          <w:p>
            <w:r/>
            <w:r>
              <w:rPr>
                <w:rFonts w:ascii="Liberation Sans" w:hAnsi="Liberation Sans"/>
                <w:b w:val="0"/>
                <w:color w:val="232A32"/>
                <w:sz w:val="16"/>
              </w:rPr>
              <w:t>Capabilities</w:t>
            </w:r>
          </w:p>
        </w:tc>
        <w:tc>
          <w:tcPr>
            <w:tcW w:type="dxa" w:w="7776"/>
            <w:vAlign w:val="center"/>
          </w:tcPr>
          <w:p>
            <w:r/>
            <w:r>
              <w:rPr>
                <w:rFonts w:ascii="Liberation Sans" w:hAnsi="Liberation Sans"/>
                <w:b w:val="0"/>
                <w:color w:val="232A32"/>
                <w:sz w:val="16"/>
              </w:rPr>
              <w:t>Which order types/TIFs/markets/actions the broker supports; native vs synthetic eligibility</w:t>
            </w:r>
          </w:p>
        </w:tc>
      </w:tr>
      <w:tr>
        <w:tc>
          <w:tcPr>
            <w:tcW w:type="dxa" w:w="2448"/>
            <w:vAlign w:val="center"/>
            <w:shd w:fill="F5F7F9"/>
          </w:tcPr>
          <w:p>
            <w:r/>
            <w:r>
              <w:rPr>
                <w:rFonts w:ascii="Liberation Sans" w:hAnsi="Liberation Sans"/>
                <w:b w:val="0"/>
                <w:color w:val="232A32"/>
                <w:sz w:val="16"/>
              </w:rPr>
              <w:t>Instrument mapping</w:t>
            </w:r>
          </w:p>
        </w:tc>
        <w:tc>
          <w:tcPr>
            <w:tcW w:type="dxa" w:w="7776"/>
            <w:vAlign w:val="center"/>
            <w:shd w:fill="F5F7F9"/>
          </w:tcPr>
          <w:p>
            <w:r/>
            <w:r>
              <w:rPr>
                <w:rFonts w:ascii="Liberation Sans" w:hAnsi="Liberation Sans"/>
                <w:b w:val="0"/>
                <w:color w:val="232A32"/>
                <w:sz w:val="16"/>
              </w:rPr>
              <w:t>BIST symbol, broker security ID, market/board/session metadata, tick size and quantity units</w:t>
            </w:r>
          </w:p>
        </w:tc>
      </w:tr>
      <w:tr>
        <w:tc>
          <w:tcPr>
            <w:tcW w:type="dxa" w:w="2448"/>
            <w:vAlign w:val="center"/>
          </w:tcPr>
          <w:p>
            <w:r/>
            <w:r>
              <w:rPr>
                <w:rFonts w:ascii="Liberation Sans" w:hAnsi="Liberation Sans"/>
                <w:b w:val="0"/>
                <w:color w:val="232A32"/>
                <w:sz w:val="16"/>
              </w:rPr>
              <w:t>Order mapping</w:t>
            </w:r>
          </w:p>
        </w:tc>
        <w:tc>
          <w:tcPr>
            <w:tcW w:type="dxa" w:w="7776"/>
            <w:vAlign w:val="center"/>
          </w:tcPr>
          <w:p>
            <w:r/>
            <w:r>
              <w:rPr>
                <w:rFonts w:ascii="Liberation Sans" w:hAnsi="Liberation Sans"/>
                <w:b w:val="0"/>
                <w:color w:val="232A32"/>
                <w:sz w:val="16"/>
              </w:rPr>
              <w:t>Canonical side/type/price/qty/TIF/clientOrderId -&gt; broker fields</w:t>
            </w:r>
          </w:p>
        </w:tc>
      </w:tr>
      <w:tr>
        <w:tc>
          <w:tcPr>
            <w:tcW w:type="dxa" w:w="2448"/>
            <w:vAlign w:val="center"/>
            <w:shd w:fill="F5F7F9"/>
          </w:tcPr>
          <w:p>
            <w:r/>
            <w:r>
              <w:rPr>
                <w:rFonts w:ascii="Liberation Sans" w:hAnsi="Liberation Sans"/>
                <w:b w:val="0"/>
                <w:color w:val="232A32"/>
                <w:sz w:val="16"/>
              </w:rPr>
              <w:t>Execution mapping</w:t>
            </w:r>
          </w:p>
        </w:tc>
        <w:tc>
          <w:tcPr>
            <w:tcW w:type="dxa" w:w="7776"/>
            <w:vAlign w:val="center"/>
            <w:shd w:fill="F5F7F9"/>
          </w:tcPr>
          <w:p>
            <w:r/>
            <w:r>
              <w:rPr>
                <w:rFonts w:ascii="Liberation Sans" w:hAnsi="Liberation Sans"/>
                <w:b w:val="0"/>
                <w:color w:val="232A32"/>
                <w:sz w:val="16"/>
              </w:rPr>
              <w:t>Broker status/fill/reject events -&gt; canonical lifecycle</w:t>
            </w:r>
          </w:p>
        </w:tc>
      </w:tr>
      <w:tr>
        <w:tc>
          <w:tcPr>
            <w:tcW w:type="dxa" w:w="2448"/>
            <w:vAlign w:val="center"/>
          </w:tcPr>
          <w:p>
            <w:r/>
            <w:r>
              <w:rPr>
                <w:rFonts w:ascii="Liberation Sans" w:hAnsi="Liberation Sans"/>
                <w:b w:val="0"/>
                <w:color w:val="232A32"/>
                <w:sz w:val="16"/>
              </w:rPr>
              <w:t>Error normalization</w:t>
            </w:r>
          </w:p>
        </w:tc>
        <w:tc>
          <w:tcPr>
            <w:tcW w:type="dxa" w:w="7776"/>
            <w:vAlign w:val="center"/>
          </w:tcPr>
          <w:p>
            <w:r/>
            <w:r>
              <w:rPr>
                <w:rFonts w:ascii="Liberation Sans" w:hAnsi="Liberation Sans"/>
                <w:b w:val="0"/>
                <w:color w:val="232A32"/>
                <w:sz w:val="16"/>
              </w:rPr>
              <w:t>Map broker-specific codes to stable reject categories and actionable UI messages</w:t>
            </w:r>
          </w:p>
        </w:tc>
      </w:tr>
      <w:tr>
        <w:tc>
          <w:tcPr>
            <w:tcW w:type="dxa" w:w="2448"/>
            <w:vAlign w:val="center"/>
            <w:shd w:fill="F5F7F9"/>
          </w:tcPr>
          <w:p>
            <w:r/>
            <w:r>
              <w:rPr>
                <w:rFonts w:ascii="Liberation Sans" w:hAnsi="Liberation Sans"/>
                <w:b w:val="0"/>
                <w:color w:val="232A32"/>
                <w:sz w:val="16"/>
              </w:rPr>
              <w:t>Session management</w:t>
            </w:r>
          </w:p>
        </w:tc>
        <w:tc>
          <w:tcPr>
            <w:tcW w:type="dxa" w:w="7776"/>
            <w:vAlign w:val="center"/>
            <w:shd w:fill="F5F7F9"/>
          </w:tcPr>
          <w:p>
            <w:r/>
            <w:r>
              <w:rPr>
                <w:rFonts w:ascii="Liberation Sans" w:hAnsi="Liberation Sans"/>
                <w:b w:val="0"/>
                <w:color w:val="232A32"/>
                <w:sz w:val="16"/>
              </w:rPr>
              <w:t>Logon, heartbeat, reconnect, sequence recovery, throttling and maintenance windows</w:t>
            </w:r>
          </w:p>
        </w:tc>
      </w:tr>
      <w:tr>
        <w:tc>
          <w:tcPr>
            <w:tcW w:type="dxa" w:w="2448"/>
            <w:vAlign w:val="center"/>
          </w:tcPr>
          <w:p>
            <w:r/>
            <w:r>
              <w:rPr>
                <w:rFonts w:ascii="Liberation Sans" w:hAnsi="Liberation Sans"/>
                <w:b w:val="0"/>
                <w:color w:val="232A32"/>
                <w:sz w:val="16"/>
              </w:rPr>
              <w:t>Reconciliation</w:t>
            </w:r>
          </w:p>
        </w:tc>
        <w:tc>
          <w:tcPr>
            <w:tcW w:type="dxa" w:w="7776"/>
            <w:vAlign w:val="center"/>
          </w:tcPr>
          <w:p>
            <w:r/>
            <w:r>
              <w:rPr>
                <w:rFonts w:ascii="Liberation Sans" w:hAnsi="Liberation Sans"/>
                <w:b w:val="0"/>
                <w:color w:val="232A32"/>
                <w:sz w:val="16"/>
              </w:rPr>
              <w:t>Periodic/triggered compare of EMS working state vs broker authoritative state</w:t>
            </w:r>
          </w:p>
        </w:tc>
      </w:tr>
      <w:tr>
        <w:tc>
          <w:tcPr>
            <w:tcW w:type="dxa" w:w="2448"/>
            <w:vAlign w:val="center"/>
            <w:shd w:fill="F5F7F9"/>
          </w:tcPr>
          <w:p>
            <w:r/>
            <w:r>
              <w:rPr>
                <w:rFonts w:ascii="Liberation Sans" w:hAnsi="Liberation Sans"/>
                <w:b w:val="0"/>
                <w:color w:val="232A32"/>
                <w:sz w:val="16"/>
              </w:rPr>
              <w:t>Entitlements</w:t>
            </w:r>
          </w:p>
        </w:tc>
        <w:tc>
          <w:tcPr>
            <w:tcW w:type="dxa" w:w="7776"/>
            <w:vAlign w:val="center"/>
            <w:shd w:fill="F5F7F9"/>
          </w:tcPr>
          <w:p>
            <w:r/>
            <w:r>
              <w:rPr>
                <w:rFonts w:ascii="Liberation Sans" w:hAnsi="Liberation Sans"/>
                <w:b w:val="0"/>
                <w:color w:val="232A32"/>
                <w:sz w:val="16"/>
              </w:rPr>
              <w:t>Account, market, feature and user permissions from the institution</w:t>
            </w:r>
          </w:p>
        </w:tc>
      </w:tr>
    </w:tbl>
    <w:p/>
    <w:p>
      <w:r>
        <w:rPr>
          <w:i w:val="0"/>
        </w:rPr>
        <w:t>For FIX integrations, the system should preserve client order identifiers, broker order identifiers, execution identifiers and sequence metadata. For REST/WebSocket integrations, equivalent correlation and replay semantics must be implemented. The exact protocol is institution-specific; the EMS should not assume all brokers expose the same modification semantics.</w:t>
      </w:r>
    </w:p>
    <w:p>
      <w:pPr>
        <w:pStyle w:val="Heading1"/>
      </w:pPr>
      <w:r>
        <w:t>10. Real-Time Data and Event Architecture</w:t>
      </w:r>
    </w:p>
    <w:p>
      <w:r>
        <w:rPr>
          <w:i w:val="0"/>
        </w:rPr>
        <w:t>Advanced execution requires two distinct real-time streams: market data and order/execution events. They must be treated differently. Market data may tolerate controlled sampling for UI rendering, but order/execution events require durable ordering, replay and gap detection.</w:t>
      </w:r>
    </w:p>
    <w:p>
      <w:pPr>
        <w:pStyle w:val="ListBullet"/>
      </w:pPr>
      <w:r>
        <w:t>Market data path: vendor/feed handler -&gt; normalization -&gt; in-memory distribution -&gt; WebSocket to clients; optional conflation for UI while retaining raw ticks where licensed/required.</w:t>
      </w:r>
    </w:p>
    <w:p>
      <w:pPr>
        <w:pStyle w:val="ListBullet"/>
      </w:pPr>
      <w:r>
        <w:t>Trading path: API command -&gt; validation -&gt; risk -&gt; orchestration -&gt; broker adapter -&gt; broker ack/fill -&gt; durable event stream -&gt; state store -&gt; client update.</w:t>
      </w:r>
    </w:p>
    <w:p>
      <w:pPr>
        <w:pStyle w:val="ListBullet"/>
      </w:pPr>
      <w:r>
        <w:t>Do not use the browser as a source of truth for order state. The browser subscribes to authoritative state snapshots plus deltas.</w:t>
      </w:r>
    </w:p>
    <w:p>
      <w:pPr>
        <w:pStyle w:val="ListBullet"/>
      </w:pPr>
      <w:r>
        <w:t>Use separate back-pressure strategies for market data and trading events. Never drop trading events to protect UI throughput.</w:t>
      </w:r>
    </w:p>
    <w:p>
      <w:pPr>
        <w:pStyle w:val="Heading1"/>
      </w:pPr>
      <w:r>
        <w:t>11. Trader Experience and Screen Architecture</w:t>
      </w:r>
    </w:p>
    <w:p>
      <w:r>
        <w:rPr>
          <w:i w:val="0"/>
        </w:rPr>
        <w:t>The trader UI should optimize decision-to-order latency and error prevention. The ideal workspace is not a sequence of modal forms; it is a persistent multi-panel desktop with keyboard shortcuts, context-sensitive order entry and immediate visibility of risk and parent-child relationships.</w:t>
      </w:r>
    </w:p>
    <w:tbl>
      <w:tblPr>
        <w:tblStyle w:val="TableGrid"/>
        <w:tblW w:type="auto" w:w="0"/>
        <w:jc w:val="center"/>
        <w:tblLook w:firstColumn="1" w:firstRow="1" w:lastColumn="0" w:lastRow="0" w:noHBand="0" w:noVBand="1" w:val="04A0"/>
      </w:tblPr>
      <w:tblGrid>
        <w:gridCol w:w="5040"/>
        <w:gridCol w:w="5040"/>
      </w:tblGrid>
      <w:tr>
        <w:tc>
          <w:tcPr>
            <w:tcW w:type="dxa" w:w="2232"/>
            <w:vAlign w:val="center"/>
            <w:shd w:fill="17304D"/>
          </w:tcPr>
          <w:p>
            <w:r/>
            <w:r>
              <w:rPr>
                <w:rFonts w:ascii="Liberation Sans" w:hAnsi="Liberation Sans"/>
                <w:b/>
                <w:color w:val="FFFFFF"/>
                <w:sz w:val="16"/>
              </w:rPr>
              <w:t>Screen</w:t>
            </w:r>
          </w:p>
        </w:tc>
        <w:tc>
          <w:tcPr>
            <w:tcW w:type="dxa" w:w="7992"/>
            <w:vAlign w:val="center"/>
            <w:shd w:fill="17304D"/>
          </w:tcPr>
          <w:p>
            <w:r/>
            <w:r>
              <w:rPr>
                <w:rFonts w:ascii="Liberation Sans" w:hAnsi="Liberation Sans"/>
                <w:b/>
                <w:color w:val="FFFFFF"/>
                <w:sz w:val="16"/>
              </w:rPr>
              <w:t>Key behaviors</w:t>
            </w:r>
          </w:p>
        </w:tc>
      </w:tr>
      <w:tr>
        <w:tc>
          <w:tcPr>
            <w:tcW w:type="dxa" w:w="2232"/>
            <w:vAlign w:val="center"/>
          </w:tcPr>
          <w:p>
            <w:r/>
            <w:r>
              <w:rPr>
                <w:rFonts w:ascii="Liberation Sans" w:hAnsi="Liberation Sans"/>
                <w:b w:val="0"/>
                <w:color w:val="232A32"/>
                <w:sz w:val="16"/>
              </w:rPr>
              <w:t>Main Workspace</w:t>
            </w:r>
          </w:p>
        </w:tc>
        <w:tc>
          <w:tcPr>
            <w:tcW w:type="dxa" w:w="7992"/>
            <w:vAlign w:val="center"/>
          </w:tcPr>
          <w:p>
            <w:r/>
            <w:r>
              <w:rPr>
                <w:rFonts w:ascii="Liberation Sans" w:hAnsi="Liberation Sans"/>
                <w:b w:val="0"/>
                <w:color w:val="232A32"/>
                <w:sz w:val="16"/>
              </w:rPr>
              <w:t>Watchlist + chart + DOM + order ticket + positions + orders in one layout; detachable/resizable panels</w:t>
            </w:r>
          </w:p>
        </w:tc>
      </w:tr>
      <w:tr>
        <w:tc>
          <w:tcPr>
            <w:tcW w:type="dxa" w:w="2232"/>
            <w:vAlign w:val="center"/>
            <w:shd w:fill="F5F7F9"/>
          </w:tcPr>
          <w:p>
            <w:r/>
            <w:r>
              <w:rPr>
                <w:rFonts w:ascii="Liberation Sans" w:hAnsi="Liberation Sans"/>
                <w:b w:val="0"/>
                <w:color w:val="232A32"/>
                <w:sz w:val="16"/>
              </w:rPr>
              <w:t>DOM / Ladder</w:t>
            </w:r>
          </w:p>
        </w:tc>
        <w:tc>
          <w:tcPr>
            <w:tcW w:type="dxa" w:w="7992"/>
            <w:vAlign w:val="center"/>
            <w:shd w:fill="F5F7F9"/>
          </w:tcPr>
          <w:p>
            <w:r/>
            <w:r>
              <w:rPr>
                <w:rFonts w:ascii="Liberation Sans" w:hAnsi="Liberation Sans"/>
                <w:b w:val="0"/>
                <w:color w:val="232A32"/>
                <w:sz w:val="16"/>
              </w:rPr>
              <w:t>Click price to place; drag working order to modify; cancel at level; cancel-all; quantity presets; position/P&amp;L overlay</w:t>
            </w:r>
          </w:p>
        </w:tc>
      </w:tr>
      <w:tr>
        <w:tc>
          <w:tcPr>
            <w:tcW w:type="dxa" w:w="2232"/>
            <w:vAlign w:val="center"/>
          </w:tcPr>
          <w:p>
            <w:r/>
            <w:r>
              <w:rPr>
                <w:rFonts w:ascii="Liberation Sans" w:hAnsi="Liberation Sans"/>
                <w:b w:val="0"/>
                <w:color w:val="232A32"/>
                <w:sz w:val="16"/>
              </w:rPr>
              <w:t>Chart Trading</w:t>
            </w:r>
          </w:p>
        </w:tc>
        <w:tc>
          <w:tcPr>
            <w:tcW w:type="dxa" w:w="7992"/>
            <w:vAlign w:val="center"/>
          </w:tcPr>
          <w:p>
            <w:r/>
            <w:r>
              <w:rPr>
                <w:rFonts w:ascii="Liberation Sans" w:hAnsi="Liberation Sans"/>
                <w:b w:val="0"/>
                <w:color w:val="232A32"/>
                <w:sz w:val="16"/>
              </w:rPr>
              <w:t>Click/drag entry, stop and targets directly on chart; parent-child lines; preview risk/reward</w:t>
            </w:r>
          </w:p>
        </w:tc>
      </w:tr>
      <w:tr>
        <w:tc>
          <w:tcPr>
            <w:tcW w:type="dxa" w:w="2232"/>
            <w:vAlign w:val="center"/>
            <w:shd w:fill="F5F7F9"/>
          </w:tcPr>
          <w:p>
            <w:r/>
            <w:r>
              <w:rPr>
                <w:rFonts w:ascii="Liberation Sans" w:hAnsi="Liberation Sans"/>
                <w:b w:val="0"/>
                <w:color w:val="232A32"/>
                <w:sz w:val="16"/>
              </w:rPr>
              <w:t>Advanced Order Builder</w:t>
            </w:r>
          </w:p>
        </w:tc>
        <w:tc>
          <w:tcPr>
            <w:tcW w:type="dxa" w:w="7992"/>
            <w:vAlign w:val="center"/>
            <w:shd w:fill="F5F7F9"/>
          </w:tcPr>
          <w:p>
            <w:r/>
            <w:r>
              <w:rPr>
                <w:rFonts w:ascii="Liberation Sans" w:hAnsi="Liberation Sans"/>
                <w:b w:val="0"/>
                <w:color w:val="232A32"/>
                <w:sz w:val="16"/>
              </w:rPr>
              <w:t>Visual nodes or structured form for triggers, child orders, quantity allocation, time rules and failure policy</w:t>
            </w:r>
          </w:p>
        </w:tc>
      </w:tr>
      <w:tr>
        <w:tc>
          <w:tcPr>
            <w:tcW w:type="dxa" w:w="2232"/>
            <w:vAlign w:val="center"/>
          </w:tcPr>
          <w:p>
            <w:r/>
            <w:r>
              <w:rPr>
                <w:rFonts w:ascii="Liberation Sans" w:hAnsi="Liberation Sans"/>
                <w:b w:val="0"/>
                <w:color w:val="232A32"/>
                <w:sz w:val="16"/>
              </w:rPr>
              <w:t>Order Blotter</w:t>
            </w:r>
          </w:p>
        </w:tc>
        <w:tc>
          <w:tcPr>
            <w:tcW w:type="dxa" w:w="7992"/>
            <w:vAlign w:val="center"/>
          </w:tcPr>
          <w:p>
            <w:r/>
            <w:r>
              <w:rPr>
                <w:rFonts w:ascii="Liberation Sans" w:hAnsi="Liberation Sans"/>
                <w:b w:val="0"/>
                <w:color w:val="232A32"/>
                <w:sz w:val="16"/>
              </w:rPr>
              <w:t>Flat and tree views; filter by account/symbol/strategy; execution drill-down; reject reason; one-click cancel/replace</w:t>
            </w:r>
          </w:p>
        </w:tc>
      </w:tr>
      <w:tr>
        <w:tc>
          <w:tcPr>
            <w:tcW w:type="dxa" w:w="2232"/>
            <w:vAlign w:val="center"/>
            <w:shd w:fill="F5F7F9"/>
          </w:tcPr>
          <w:p>
            <w:r/>
            <w:r>
              <w:rPr>
                <w:rFonts w:ascii="Liberation Sans" w:hAnsi="Liberation Sans"/>
                <w:b w:val="0"/>
                <w:color w:val="232A32"/>
                <w:sz w:val="16"/>
              </w:rPr>
              <w:t>Position Panel</w:t>
            </w:r>
          </w:p>
        </w:tc>
        <w:tc>
          <w:tcPr>
            <w:tcW w:type="dxa" w:w="7992"/>
            <w:vAlign w:val="center"/>
            <w:shd w:fill="F5F7F9"/>
          </w:tcPr>
          <w:p>
            <w:r/>
            <w:r>
              <w:rPr>
                <w:rFonts w:ascii="Liberation Sans" w:hAnsi="Liberation Sans"/>
                <w:b w:val="0"/>
                <w:color w:val="232A32"/>
                <w:sz w:val="16"/>
              </w:rPr>
              <w:t>Realized/unrealized P&amp;L; average price; protected/unprotected quantity; quick add stop/TP; flatten/reduce</w:t>
            </w:r>
          </w:p>
        </w:tc>
      </w:tr>
      <w:tr>
        <w:tc>
          <w:tcPr>
            <w:tcW w:type="dxa" w:w="2232"/>
            <w:vAlign w:val="center"/>
          </w:tcPr>
          <w:p>
            <w:r/>
            <w:r>
              <w:rPr>
                <w:rFonts w:ascii="Liberation Sans" w:hAnsi="Liberation Sans"/>
                <w:b w:val="0"/>
                <w:color w:val="232A32"/>
                <w:sz w:val="16"/>
              </w:rPr>
              <w:t>Basket Desk</w:t>
            </w:r>
          </w:p>
        </w:tc>
        <w:tc>
          <w:tcPr>
            <w:tcW w:type="dxa" w:w="7992"/>
            <w:vAlign w:val="center"/>
          </w:tcPr>
          <w:p>
            <w:r/>
            <w:r>
              <w:rPr>
                <w:rFonts w:ascii="Liberation Sans" w:hAnsi="Liberation Sans"/>
                <w:b w:val="0"/>
                <w:color w:val="232A32"/>
                <w:sz w:val="16"/>
              </w:rPr>
              <w:t>Import/paste symbols and targets; calculate quantities; pre-trade validation; group progress and residuals</w:t>
            </w:r>
          </w:p>
        </w:tc>
      </w:tr>
      <w:tr>
        <w:tc>
          <w:tcPr>
            <w:tcW w:type="dxa" w:w="2232"/>
            <w:vAlign w:val="center"/>
            <w:shd w:fill="F5F7F9"/>
          </w:tcPr>
          <w:p>
            <w:r/>
            <w:r>
              <w:rPr>
                <w:rFonts w:ascii="Liberation Sans" w:hAnsi="Liberation Sans"/>
                <w:b w:val="0"/>
                <w:color w:val="232A32"/>
                <w:sz w:val="16"/>
              </w:rPr>
              <w:t>Admin/Risk Console</w:t>
            </w:r>
          </w:p>
        </w:tc>
        <w:tc>
          <w:tcPr>
            <w:tcW w:type="dxa" w:w="7992"/>
            <w:vAlign w:val="center"/>
            <w:shd w:fill="F5F7F9"/>
          </w:tcPr>
          <w:p>
            <w:r/>
            <w:r>
              <w:rPr>
                <w:rFonts w:ascii="Liberation Sans" w:hAnsi="Liberation Sans"/>
                <w:b w:val="0"/>
                <w:color w:val="232A32"/>
                <w:sz w:val="16"/>
              </w:rPr>
              <w:t>Feature entitlements, account limits, kill switch, user/session view, audit search</w:t>
            </w:r>
          </w:p>
        </w:tc>
      </w:tr>
    </w:tbl>
    <w:p/>
    <w:tbl>
      <w:tblPr>
        <w:tblW w:type="auto" w:w="0"/>
        <w:jc w:val="center"/>
        <w:tblLook w:firstColumn="1" w:firstRow="1" w:lastColumn="0" w:lastRow="0" w:noHBand="0" w:noVBand="1" w:val="04A0"/>
      </w:tblPr>
      <w:tblGrid>
        <w:gridCol w:w="10080"/>
      </w:tblGrid>
      <w:tr>
        <w:tc>
          <w:tcPr>
            <w:tcW w:type="dxa" w:w="10080"/>
            <w:shd w:fill="EFF4F8"/>
          </w:tcPr>
          <w:p>
            <w:r>
              <w:rPr>
                <w:b/>
                <w:color w:val="172B4D"/>
                <w:sz w:val="21"/>
              </w:rPr>
              <w:t>UX differentiator</w:t>
              <w:br/>
            </w:r>
            <w:r>
              <w:rPr>
                <w:color w:val="232A32"/>
                <w:sz w:val="19"/>
              </w:rPr>
              <w:t>A trader should be able to attach or modify protection on an existing position, not only at the moment of entry. Existing positions should show protected quantity, stop coverage and target coverage explicitly.</w:t>
            </w:r>
          </w:p>
        </w:tc>
      </w:tr>
    </w:tbl>
    <w:p/>
    <w:p>
      <w:pPr>
        <w:pStyle w:val="Heading1"/>
      </w:pPr>
      <w:r>
        <w:t>12. Risk, Compliance, Audit and Controls</w:t>
      </w:r>
    </w:p>
    <w:p>
      <w:r>
        <w:rPr>
          <w:i w:val="0"/>
        </w:rPr>
        <w:t>Because this system can generate orders automatically, risk controls are a product requirement rather than a later security add-on. The EMS should execute broker/institution rules before an order reaches the adapter while recognizing that the broker OMS/RMS remains the final authoritative gate.</w:t>
      </w:r>
    </w:p>
    <w:tbl>
      <w:tblPr>
        <w:tblStyle w:val="TableGrid"/>
        <w:tblW w:type="auto" w:w="0"/>
        <w:jc w:val="center"/>
        <w:tblLook w:firstColumn="1" w:firstRow="1" w:lastColumn="0" w:lastRow="0" w:noHBand="0" w:noVBand="1" w:val="04A0"/>
      </w:tblPr>
      <w:tblGrid>
        <w:gridCol w:w="5040"/>
        <w:gridCol w:w="5040"/>
      </w:tblGrid>
      <w:tr>
        <w:tc>
          <w:tcPr>
            <w:tcW w:type="dxa" w:w="2664"/>
            <w:vAlign w:val="center"/>
            <w:shd w:fill="17304D"/>
          </w:tcPr>
          <w:p>
            <w:r/>
            <w:r>
              <w:rPr>
                <w:rFonts w:ascii="Liberation Sans" w:hAnsi="Liberation Sans"/>
                <w:b/>
                <w:color w:val="FFFFFF"/>
                <w:sz w:val="16"/>
              </w:rPr>
              <w:t>Control</w:t>
            </w:r>
          </w:p>
        </w:tc>
        <w:tc>
          <w:tcPr>
            <w:tcW w:type="dxa" w:w="7560"/>
            <w:vAlign w:val="center"/>
            <w:shd w:fill="17304D"/>
          </w:tcPr>
          <w:p>
            <w:r/>
            <w:r>
              <w:rPr>
                <w:rFonts w:ascii="Liberation Sans" w:hAnsi="Liberation Sans"/>
                <w:b/>
                <w:color w:val="FFFFFF"/>
                <w:sz w:val="16"/>
              </w:rPr>
              <w:t>Implementation intent</w:t>
            </w:r>
          </w:p>
        </w:tc>
      </w:tr>
      <w:tr>
        <w:tc>
          <w:tcPr>
            <w:tcW w:type="dxa" w:w="2664"/>
            <w:vAlign w:val="center"/>
          </w:tcPr>
          <w:p>
            <w:r/>
            <w:r>
              <w:rPr>
                <w:rFonts w:ascii="Liberation Sans" w:hAnsi="Liberation Sans"/>
                <w:b w:val="0"/>
                <w:color w:val="232A32"/>
                <w:sz w:val="16"/>
              </w:rPr>
              <w:t>Buying power / collateral</w:t>
            </w:r>
          </w:p>
        </w:tc>
        <w:tc>
          <w:tcPr>
            <w:tcW w:type="dxa" w:w="7560"/>
            <w:vAlign w:val="center"/>
          </w:tcPr>
          <w:p>
            <w:r/>
            <w:r>
              <w:rPr>
                <w:rFonts w:ascii="Liberation Sans" w:hAnsi="Liberation Sans"/>
                <w:b w:val="0"/>
                <w:color w:val="232A32"/>
                <w:sz w:val="16"/>
              </w:rPr>
              <w:t>Reject or resize instructions that exceed usable capacity</w:t>
            </w:r>
          </w:p>
        </w:tc>
      </w:tr>
      <w:tr>
        <w:tc>
          <w:tcPr>
            <w:tcW w:type="dxa" w:w="2664"/>
            <w:vAlign w:val="center"/>
            <w:shd w:fill="F5F7F9"/>
          </w:tcPr>
          <w:p>
            <w:r/>
            <w:r>
              <w:rPr>
                <w:rFonts w:ascii="Liberation Sans" w:hAnsi="Liberation Sans"/>
                <w:b w:val="0"/>
                <w:color w:val="232A32"/>
                <w:sz w:val="16"/>
              </w:rPr>
              <w:t>Inventory / short exposure</w:t>
            </w:r>
          </w:p>
        </w:tc>
        <w:tc>
          <w:tcPr>
            <w:tcW w:type="dxa" w:w="7560"/>
            <w:vAlign w:val="center"/>
            <w:shd w:fill="F5F7F9"/>
          </w:tcPr>
          <w:p>
            <w:r/>
            <w:r>
              <w:rPr>
                <w:rFonts w:ascii="Liberation Sans" w:hAnsi="Liberation Sans"/>
                <w:b w:val="0"/>
                <w:color w:val="232A32"/>
                <w:sz w:val="16"/>
              </w:rPr>
              <w:t>Prevent unintended sells beyond position unless short-selling permission/rules allow</w:t>
            </w:r>
          </w:p>
        </w:tc>
      </w:tr>
      <w:tr>
        <w:tc>
          <w:tcPr>
            <w:tcW w:type="dxa" w:w="2664"/>
            <w:vAlign w:val="center"/>
          </w:tcPr>
          <w:p>
            <w:r/>
            <w:r>
              <w:rPr>
                <w:rFonts w:ascii="Liberation Sans" w:hAnsi="Liberation Sans"/>
                <w:b w:val="0"/>
                <w:color w:val="232A32"/>
                <w:sz w:val="16"/>
              </w:rPr>
              <w:t>Max order value / quantity</w:t>
            </w:r>
          </w:p>
        </w:tc>
        <w:tc>
          <w:tcPr>
            <w:tcW w:type="dxa" w:w="7560"/>
            <w:vAlign w:val="center"/>
          </w:tcPr>
          <w:p>
            <w:r/>
            <w:r>
              <w:rPr>
                <w:rFonts w:ascii="Liberation Sans" w:hAnsi="Liberation Sans"/>
                <w:b w:val="0"/>
                <w:color w:val="232A32"/>
                <w:sz w:val="16"/>
              </w:rPr>
              <w:t>Institution, account, user, symbol and product limits; align with BIST parameters where applicable</w:t>
            </w:r>
          </w:p>
        </w:tc>
      </w:tr>
      <w:tr>
        <w:tc>
          <w:tcPr>
            <w:tcW w:type="dxa" w:w="2664"/>
            <w:vAlign w:val="center"/>
            <w:shd w:fill="F5F7F9"/>
          </w:tcPr>
          <w:p>
            <w:r/>
            <w:r>
              <w:rPr>
                <w:rFonts w:ascii="Liberation Sans" w:hAnsi="Liberation Sans"/>
                <w:b w:val="0"/>
                <w:color w:val="232A32"/>
                <w:sz w:val="16"/>
              </w:rPr>
              <w:t>Price collars / fat finger</w:t>
            </w:r>
          </w:p>
        </w:tc>
        <w:tc>
          <w:tcPr>
            <w:tcW w:type="dxa" w:w="7560"/>
            <w:vAlign w:val="center"/>
            <w:shd w:fill="F5F7F9"/>
          </w:tcPr>
          <w:p>
            <w:r/>
            <w:r>
              <w:rPr>
                <w:rFonts w:ascii="Liberation Sans" w:hAnsi="Liberation Sans"/>
                <w:b w:val="0"/>
                <w:color w:val="232A32"/>
                <w:sz w:val="16"/>
              </w:rPr>
              <w:t>Max deviation from reference price, tick validation, upper/lower price bounds</w:t>
            </w:r>
          </w:p>
        </w:tc>
      </w:tr>
      <w:tr>
        <w:tc>
          <w:tcPr>
            <w:tcW w:type="dxa" w:w="2664"/>
            <w:vAlign w:val="center"/>
          </w:tcPr>
          <w:p>
            <w:r/>
            <w:r>
              <w:rPr>
                <w:rFonts w:ascii="Liberation Sans" w:hAnsi="Liberation Sans"/>
                <w:b w:val="0"/>
                <w:color w:val="232A32"/>
                <w:sz w:val="16"/>
              </w:rPr>
              <w:t>Daily loss / exposure</w:t>
            </w:r>
          </w:p>
        </w:tc>
        <w:tc>
          <w:tcPr>
            <w:tcW w:type="dxa" w:w="7560"/>
            <w:vAlign w:val="center"/>
          </w:tcPr>
          <w:p>
            <w:r/>
            <w:r>
              <w:rPr>
                <w:rFonts w:ascii="Liberation Sans" w:hAnsi="Liberation Sans"/>
                <w:b w:val="0"/>
                <w:color w:val="232A32"/>
                <w:sz w:val="16"/>
              </w:rPr>
              <w:t>Optional desk/account kill thresholds and new-order suspension</w:t>
            </w:r>
          </w:p>
        </w:tc>
      </w:tr>
      <w:tr>
        <w:tc>
          <w:tcPr>
            <w:tcW w:type="dxa" w:w="2664"/>
            <w:vAlign w:val="center"/>
            <w:shd w:fill="F5F7F9"/>
          </w:tcPr>
          <w:p>
            <w:r/>
            <w:r>
              <w:rPr>
                <w:rFonts w:ascii="Liberation Sans" w:hAnsi="Liberation Sans"/>
                <w:b w:val="0"/>
                <w:color w:val="232A32"/>
                <w:sz w:val="16"/>
              </w:rPr>
              <w:t>Rate limits</w:t>
            </w:r>
          </w:p>
        </w:tc>
        <w:tc>
          <w:tcPr>
            <w:tcW w:type="dxa" w:w="7560"/>
            <w:vAlign w:val="center"/>
            <w:shd w:fill="F5F7F9"/>
          </w:tcPr>
          <w:p>
            <w:r/>
            <w:r>
              <w:rPr>
                <w:rFonts w:ascii="Liberation Sans" w:hAnsi="Liberation Sans"/>
                <w:b w:val="0"/>
                <w:color w:val="232A32"/>
                <w:sz w:val="16"/>
              </w:rPr>
              <w:t>Prevent runaway algos and protect broker gateways</w:t>
            </w:r>
          </w:p>
        </w:tc>
      </w:tr>
      <w:tr>
        <w:tc>
          <w:tcPr>
            <w:tcW w:type="dxa" w:w="2664"/>
            <w:vAlign w:val="center"/>
          </w:tcPr>
          <w:p>
            <w:r/>
            <w:r>
              <w:rPr>
                <w:rFonts w:ascii="Liberation Sans" w:hAnsi="Liberation Sans"/>
                <w:b w:val="0"/>
                <w:color w:val="232A32"/>
                <w:sz w:val="16"/>
              </w:rPr>
              <w:t>Session/market state</w:t>
            </w:r>
          </w:p>
        </w:tc>
        <w:tc>
          <w:tcPr>
            <w:tcW w:type="dxa" w:w="7560"/>
            <w:vAlign w:val="center"/>
          </w:tcPr>
          <w:p>
            <w:r/>
            <w:r>
              <w:rPr>
                <w:rFonts w:ascii="Liberation Sans" w:hAnsi="Liberation Sans"/>
                <w:b w:val="0"/>
                <w:color w:val="232A32"/>
                <w:sz w:val="16"/>
              </w:rPr>
              <w:t>Block invalid orders outside allowed phases or handle queued activation explicitly</w:t>
            </w:r>
          </w:p>
        </w:tc>
      </w:tr>
      <w:tr>
        <w:tc>
          <w:tcPr>
            <w:tcW w:type="dxa" w:w="2664"/>
            <w:vAlign w:val="center"/>
            <w:shd w:fill="F5F7F9"/>
          </w:tcPr>
          <w:p>
            <w:r/>
            <w:r>
              <w:rPr>
                <w:rFonts w:ascii="Liberation Sans" w:hAnsi="Liberation Sans"/>
                <w:b w:val="0"/>
                <w:color w:val="232A32"/>
                <w:sz w:val="16"/>
              </w:rPr>
              <w:t>Duplicate protection</w:t>
            </w:r>
          </w:p>
        </w:tc>
        <w:tc>
          <w:tcPr>
            <w:tcW w:type="dxa" w:w="7560"/>
            <w:vAlign w:val="center"/>
            <w:shd w:fill="F5F7F9"/>
          </w:tcPr>
          <w:p>
            <w:r/>
            <w:r>
              <w:rPr>
                <w:rFonts w:ascii="Liberation Sans" w:hAnsi="Liberation Sans"/>
                <w:b w:val="0"/>
                <w:color w:val="232A32"/>
                <w:sz w:val="16"/>
              </w:rPr>
              <w:t>Idempotency keys and duplicate-order detection</w:t>
            </w:r>
          </w:p>
        </w:tc>
      </w:tr>
      <w:tr>
        <w:tc>
          <w:tcPr>
            <w:tcW w:type="dxa" w:w="2664"/>
            <w:vAlign w:val="center"/>
          </w:tcPr>
          <w:p>
            <w:r/>
            <w:r>
              <w:rPr>
                <w:rFonts w:ascii="Liberation Sans" w:hAnsi="Liberation Sans"/>
                <w:b w:val="0"/>
                <w:color w:val="232A32"/>
                <w:sz w:val="16"/>
              </w:rPr>
              <w:t>Kill switch</w:t>
            </w:r>
          </w:p>
        </w:tc>
        <w:tc>
          <w:tcPr>
            <w:tcW w:type="dxa" w:w="7560"/>
            <w:vAlign w:val="center"/>
          </w:tcPr>
          <w:p>
            <w:r/>
            <w:r>
              <w:rPr>
                <w:rFonts w:ascii="Liberation Sans" w:hAnsi="Liberation Sans"/>
                <w:b w:val="0"/>
                <w:color w:val="232A32"/>
                <w:sz w:val="16"/>
              </w:rPr>
              <w:t>User/account/desk/system emergency cancel + disable new synthetic actions</w:t>
            </w:r>
          </w:p>
        </w:tc>
      </w:tr>
      <w:tr>
        <w:tc>
          <w:tcPr>
            <w:tcW w:type="dxa" w:w="2664"/>
            <w:vAlign w:val="center"/>
            <w:shd w:fill="F5F7F9"/>
          </w:tcPr>
          <w:p>
            <w:r/>
            <w:r>
              <w:rPr>
                <w:rFonts w:ascii="Liberation Sans" w:hAnsi="Liberation Sans"/>
                <w:b w:val="0"/>
                <w:color w:val="232A32"/>
                <w:sz w:val="16"/>
              </w:rPr>
              <w:t>Audit trail</w:t>
            </w:r>
          </w:p>
        </w:tc>
        <w:tc>
          <w:tcPr>
            <w:tcW w:type="dxa" w:w="7560"/>
            <w:vAlign w:val="center"/>
            <w:shd w:fill="F5F7F9"/>
          </w:tcPr>
          <w:p>
            <w:r/>
            <w:r>
              <w:rPr>
                <w:rFonts w:ascii="Liberation Sans" w:hAnsi="Liberation Sans"/>
                <w:b w:val="0"/>
                <w:color w:val="232A32"/>
                <w:sz w:val="16"/>
              </w:rPr>
              <w:t>Immutable record of intent, validations, automatic decisions, broker commands, responses and operator actions</w:t>
            </w:r>
          </w:p>
        </w:tc>
      </w:tr>
    </w:tbl>
    <w:p/>
    <w:p>
      <w:r>
        <w:rPr>
          <w:i w:val="0"/>
        </w:rPr>
        <w:t>Audit events should include timestamp with synchronized clock source, actor/service identity, account, strategy/version, correlation ID, original command, derived child command, broker response and previous/new state. Sensitive data must be access-controlled, encrypted and retained according to institutional policy and applicable regulation.</w:t>
      </w:r>
    </w:p>
    <w:p>
      <w:pPr>
        <w:pStyle w:val="Heading1"/>
      </w:pPr>
      <w:r>
        <w:t>13. Reliability, HA, Recovery and Reconciliation</w:t>
      </w:r>
    </w:p>
    <w:p>
      <w:pPr>
        <w:jc w:val="center"/>
      </w:pPr>
      <w:r>
        <w:drawing>
          <wp:inline xmlns:a="http://schemas.openxmlformats.org/drawingml/2006/main" xmlns:pic="http://schemas.openxmlformats.org/drawingml/2006/picture">
            <wp:extent cx="6309360" cy="3549015"/>
            <wp:docPr id="4" name="Picture 4"/>
            <wp:cNvGraphicFramePr>
              <a:graphicFrameLocks noChangeAspect="1"/>
            </wp:cNvGraphicFramePr>
            <a:graphic>
              <a:graphicData uri="http://schemas.openxmlformats.org/drawingml/2006/picture">
                <pic:pic>
                  <pic:nvPicPr>
                    <pic:cNvPr id="0" name="resilience.png"/>
                    <pic:cNvPicPr/>
                  </pic:nvPicPr>
                  <pic:blipFill>
                    <a:blip r:embed="rId14"/>
                    <a:stretch>
                      <a:fillRect/>
                    </a:stretch>
                  </pic:blipFill>
                  <pic:spPr>
                    <a:xfrm>
                      <a:off x="0" y="0"/>
                      <a:ext cx="6309360" cy="3549015"/>
                    </a:xfrm>
                    <a:prstGeom prst="rect"/>
                  </pic:spPr>
                </pic:pic>
              </a:graphicData>
            </a:graphic>
          </wp:inline>
        </w:drawing>
      </w:r>
    </w:p>
    <w:p>
      <w:pPr>
        <w:pStyle w:val="SmallNote"/>
        <w:jc w:val="center"/>
      </w:pPr>
      <w:r>
        <w:t>Figure 3 - Trading events require durable processing, recovery and reconciliation.</w:t>
      </w:r>
    </w:p>
    <w:p>
      <w:r>
        <w:rPr>
          <w:i w:val="0"/>
        </w:rPr>
        <w:t>A synthetic order is a long-lived obligation. Once accepted, it may remain active for hours or days. Therefore the system must continue operating through browser closure, service restarts, network interruptions and individual node failures. High availability is not only an uptime target; it is correctness under failover.</w:t>
      </w:r>
    </w:p>
    <w:p>
      <w:pPr>
        <w:pStyle w:val="ListBullet"/>
      </w:pPr>
      <w:r>
        <w:t>Persist parent/child state and event history before acknowledging durable acceptance to the client.</w:t>
      </w:r>
    </w:p>
    <w:p>
      <w:pPr>
        <w:pStyle w:val="ListBullet"/>
      </w:pPr>
      <w:r>
        <w:t>Use leader election or partition ownership so only one active orchestrator instance controls a synthetic parent at a time.</w:t>
      </w:r>
    </w:p>
    <w:p>
      <w:pPr>
        <w:pStyle w:val="ListBullet"/>
      </w:pPr>
      <w:r>
        <w:t>On restart, rebuild state from snapshot + event log and reconcile all working child orders with the broker.</w:t>
      </w:r>
    </w:p>
    <w:p>
      <w:pPr>
        <w:pStyle w:val="ListBullet"/>
      </w:pPr>
      <w:r>
        <w:t>Detect unknown broker orders, missing broker orders, quantity mismatches and status conflicts; classify them for automatic repair or operator review.</w:t>
      </w:r>
    </w:p>
    <w:p>
      <w:pPr>
        <w:pStyle w:val="ListBullet"/>
      </w:pPr>
      <w:r>
        <w:t>Maintain a degradation mode: if market data is stale, suspend trigger-dependent strategies rather than executing on stale prices.</w:t>
      </w:r>
    </w:p>
    <w:p>
      <w:pPr>
        <w:pStyle w:val="ListBullet"/>
      </w:pPr>
      <w:r>
        <w:t>Separate cancel/flatten emergency path from non-critical analytics services.</w:t>
      </w:r>
    </w:p>
    <w:p>
      <w:pPr>
        <w:pStyle w:val="Heading1"/>
      </w:pPr>
      <w:r>
        <w:t>14. Canonical Data Model and API Surface</w:t>
      </w:r>
    </w:p>
    <w:p>
      <w:r>
        <w:rPr>
          <w:i w:val="0"/>
        </w:rPr>
        <w:t>A canonical model should be stable even as individual broker adapters evolve. The minimum entities are Account, Instrument, Order, SyntheticOrder, ChildLink, Execution, Position, Balance, RiskReservation, StrategyDefinition, StrategyInstance, MarketCondition and AuditEvent.</w:t>
      </w:r>
    </w:p>
    <w:tbl>
      <w:tblPr>
        <w:tblStyle w:val="TableGrid"/>
        <w:tblW w:type="auto" w:w="0"/>
        <w:jc w:val="center"/>
        <w:tblLook w:firstColumn="1" w:firstRow="1" w:lastColumn="0" w:lastRow="0" w:noHBand="0" w:noVBand="1" w:val="04A0"/>
      </w:tblPr>
      <w:tblGrid>
        <w:gridCol w:w="5040"/>
        <w:gridCol w:w="5040"/>
      </w:tblGrid>
      <w:tr>
        <w:tc>
          <w:tcPr>
            <w:tcW w:type="dxa" w:w="1944"/>
            <w:vAlign w:val="center"/>
            <w:shd w:fill="17304D"/>
          </w:tcPr>
          <w:p>
            <w:r/>
            <w:r>
              <w:rPr>
                <w:rFonts w:ascii="Liberation Sans" w:hAnsi="Liberation Sans"/>
                <w:b/>
                <w:color w:val="FFFFFF"/>
                <w:sz w:val="15"/>
              </w:rPr>
              <w:t>Entity</w:t>
            </w:r>
          </w:p>
        </w:tc>
        <w:tc>
          <w:tcPr>
            <w:tcW w:type="dxa" w:w="8280"/>
            <w:vAlign w:val="center"/>
            <w:shd w:fill="17304D"/>
          </w:tcPr>
          <w:p>
            <w:r/>
            <w:r>
              <w:rPr>
                <w:rFonts w:ascii="Liberation Sans" w:hAnsi="Liberation Sans"/>
                <w:b/>
                <w:color w:val="FFFFFF"/>
                <w:sz w:val="15"/>
              </w:rPr>
              <w:t>Critical fields</w:t>
            </w:r>
          </w:p>
        </w:tc>
      </w:tr>
      <w:tr>
        <w:tc>
          <w:tcPr>
            <w:tcW w:type="dxa" w:w="1944"/>
            <w:vAlign w:val="center"/>
          </w:tcPr>
          <w:p>
            <w:r/>
            <w:r>
              <w:rPr>
                <w:rFonts w:ascii="Liberation Sans" w:hAnsi="Liberation Sans"/>
                <w:b w:val="0"/>
                <w:color w:val="232A32"/>
                <w:sz w:val="15"/>
              </w:rPr>
              <w:t>Order</w:t>
            </w:r>
          </w:p>
        </w:tc>
        <w:tc>
          <w:tcPr>
            <w:tcW w:type="dxa" w:w="8280"/>
            <w:vAlign w:val="center"/>
          </w:tcPr>
          <w:p>
            <w:r/>
            <w:r>
              <w:rPr>
                <w:rFonts w:ascii="Liberation Sans" w:hAnsi="Liberation Sans"/>
                <w:b w:val="0"/>
                <w:color w:val="232A32"/>
                <w:sz w:val="15"/>
              </w:rPr>
              <w:t>id, clientOrderId, accountId, instrumentId, side, type, qty, price, stopPrice, tif, status, brokerOrderId, filledQty, avgPrice</w:t>
            </w:r>
          </w:p>
        </w:tc>
      </w:tr>
      <w:tr>
        <w:tc>
          <w:tcPr>
            <w:tcW w:type="dxa" w:w="1944"/>
            <w:vAlign w:val="center"/>
            <w:shd w:fill="F5F7F9"/>
          </w:tcPr>
          <w:p>
            <w:r/>
            <w:r>
              <w:rPr>
                <w:rFonts w:ascii="Liberation Sans" w:hAnsi="Liberation Sans"/>
                <w:b w:val="0"/>
                <w:color w:val="232A32"/>
                <w:sz w:val="15"/>
              </w:rPr>
              <w:t>SyntheticOrder</w:t>
            </w:r>
          </w:p>
        </w:tc>
        <w:tc>
          <w:tcPr>
            <w:tcW w:type="dxa" w:w="8280"/>
            <w:vAlign w:val="center"/>
            <w:shd w:fill="F5F7F9"/>
          </w:tcPr>
          <w:p>
            <w:r/>
            <w:r>
              <w:rPr>
                <w:rFonts w:ascii="Liberation Sans" w:hAnsi="Liberation Sans"/>
                <w:b w:val="0"/>
                <w:color w:val="232A32"/>
                <w:sz w:val="15"/>
              </w:rPr>
              <w:t>id, strategyType, definitionVersion, status, accountId, rootInstrument, parameters, createdBy, riskProfile</w:t>
            </w:r>
          </w:p>
        </w:tc>
      </w:tr>
      <w:tr>
        <w:tc>
          <w:tcPr>
            <w:tcW w:type="dxa" w:w="1944"/>
            <w:vAlign w:val="center"/>
          </w:tcPr>
          <w:p>
            <w:r/>
            <w:r>
              <w:rPr>
                <w:rFonts w:ascii="Liberation Sans" w:hAnsi="Liberation Sans"/>
                <w:b w:val="0"/>
                <w:color w:val="232A32"/>
                <w:sz w:val="15"/>
              </w:rPr>
              <w:t>ChildLink</w:t>
            </w:r>
          </w:p>
        </w:tc>
        <w:tc>
          <w:tcPr>
            <w:tcW w:type="dxa" w:w="8280"/>
            <w:vAlign w:val="center"/>
          </w:tcPr>
          <w:p>
            <w:r/>
            <w:r>
              <w:rPr>
                <w:rFonts w:ascii="Liberation Sans" w:hAnsi="Liberation Sans"/>
                <w:b w:val="0"/>
                <w:color w:val="232A32"/>
                <w:sz w:val="15"/>
              </w:rPr>
              <w:t>parentSyntheticId, childOrderId, role, activationCondition, qtyFormula, cancelGroup, sequence</w:t>
            </w:r>
          </w:p>
        </w:tc>
      </w:tr>
      <w:tr>
        <w:tc>
          <w:tcPr>
            <w:tcW w:type="dxa" w:w="1944"/>
            <w:vAlign w:val="center"/>
            <w:shd w:fill="F5F7F9"/>
          </w:tcPr>
          <w:p>
            <w:r/>
            <w:r>
              <w:rPr>
                <w:rFonts w:ascii="Liberation Sans" w:hAnsi="Liberation Sans"/>
                <w:b w:val="0"/>
                <w:color w:val="232A32"/>
                <w:sz w:val="15"/>
              </w:rPr>
              <w:t>Execution</w:t>
            </w:r>
          </w:p>
        </w:tc>
        <w:tc>
          <w:tcPr>
            <w:tcW w:type="dxa" w:w="8280"/>
            <w:vAlign w:val="center"/>
            <w:shd w:fill="F5F7F9"/>
          </w:tcPr>
          <w:p>
            <w:r/>
            <w:r>
              <w:rPr>
                <w:rFonts w:ascii="Liberation Sans" w:hAnsi="Liberation Sans"/>
                <w:b w:val="0"/>
                <w:color w:val="232A32"/>
                <w:sz w:val="15"/>
              </w:rPr>
              <w:t>executionId, orderId, brokerExecId, qty, price, timestamp, liquidity/fee metadata if available</w:t>
            </w:r>
          </w:p>
        </w:tc>
      </w:tr>
      <w:tr>
        <w:tc>
          <w:tcPr>
            <w:tcW w:type="dxa" w:w="1944"/>
            <w:vAlign w:val="center"/>
          </w:tcPr>
          <w:p>
            <w:r/>
            <w:r>
              <w:rPr>
                <w:rFonts w:ascii="Liberation Sans" w:hAnsi="Liberation Sans"/>
                <w:b w:val="0"/>
                <w:color w:val="232A32"/>
                <w:sz w:val="15"/>
              </w:rPr>
              <w:t>Position</w:t>
            </w:r>
          </w:p>
        </w:tc>
        <w:tc>
          <w:tcPr>
            <w:tcW w:type="dxa" w:w="8280"/>
            <w:vAlign w:val="center"/>
          </w:tcPr>
          <w:p>
            <w:r/>
            <w:r>
              <w:rPr>
                <w:rFonts w:ascii="Liberation Sans" w:hAnsi="Liberation Sans"/>
                <w:b w:val="0"/>
                <w:color w:val="232A32"/>
                <w:sz w:val="15"/>
              </w:rPr>
              <w:t>accountId, instrumentId, qty, avgCost, realizedPnl, unrealizedPnl, protectedQty</w:t>
            </w:r>
          </w:p>
        </w:tc>
      </w:tr>
      <w:tr>
        <w:tc>
          <w:tcPr>
            <w:tcW w:type="dxa" w:w="1944"/>
            <w:vAlign w:val="center"/>
            <w:shd w:fill="F5F7F9"/>
          </w:tcPr>
          <w:p>
            <w:r/>
            <w:r>
              <w:rPr>
                <w:rFonts w:ascii="Liberation Sans" w:hAnsi="Liberation Sans"/>
                <w:b w:val="0"/>
                <w:color w:val="232A32"/>
                <w:sz w:val="15"/>
              </w:rPr>
              <w:t>AuditEvent</w:t>
            </w:r>
          </w:p>
        </w:tc>
        <w:tc>
          <w:tcPr>
            <w:tcW w:type="dxa" w:w="8280"/>
            <w:vAlign w:val="center"/>
            <w:shd w:fill="F5F7F9"/>
          </w:tcPr>
          <w:p>
            <w:r/>
            <w:r>
              <w:rPr>
                <w:rFonts w:ascii="Liberation Sans" w:hAnsi="Liberation Sans"/>
                <w:b w:val="0"/>
                <w:color w:val="232A32"/>
                <w:sz w:val="15"/>
              </w:rPr>
              <w:t>eventId, correlationId, actor, eventType, oldState, newState, reason, payloadHash, timestamp</w:t>
            </w:r>
          </w:p>
        </w:tc>
      </w:tr>
    </w:tbl>
    <w:p/>
    <w:p>
      <w:r>
        <w:rPr>
          <w:i w:val="0"/>
        </w:rPr>
        <w:t>Externally, REST can be used for commands and queries while WebSocket/SSE supplies state updates. Internally, an event bus can decouple trading state updates from notification, analytics and audit consumers. Protocol choices should prioritize determinism and operational simplicity over fashionable complexity.</w:t>
      </w:r>
    </w:p>
    <w:p>
      <w:pPr>
        <w:pStyle w:val="Heading1"/>
      </w:pPr>
      <w:r>
        <w:t>15. Deployment Architecture and Technology Choices</w:t>
      </w:r>
    </w:p>
    <w:p>
      <w:r>
        <w:rPr>
          <w:i w:val="0"/>
        </w:rPr>
        <w:t>A practical implementation can use a service-oriented architecture without immediately becoming an over-fragmented microservice estate. The latency-sensitive trading path should have few network hops and carefully controlled dependencies.</w:t>
      </w:r>
    </w:p>
    <w:tbl>
      <w:tblPr>
        <w:tblStyle w:val="TableGrid"/>
        <w:tblW w:type="auto" w:w="0"/>
        <w:jc w:val="center"/>
        <w:tblLook w:firstColumn="1" w:firstRow="1" w:lastColumn="0" w:lastRow="0" w:noHBand="0" w:noVBand="1" w:val="04A0"/>
      </w:tblPr>
      <w:tblGrid>
        <w:gridCol w:w="5040"/>
        <w:gridCol w:w="5040"/>
      </w:tblGrid>
      <w:tr>
        <w:tc>
          <w:tcPr>
            <w:tcW w:type="dxa" w:w="2232"/>
            <w:vAlign w:val="center"/>
            <w:shd w:fill="17304D"/>
          </w:tcPr>
          <w:p>
            <w:r/>
            <w:r>
              <w:rPr>
                <w:rFonts w:ascii="Liberation Sans" w:hAnsi="Liberation Sans"/>
                <w:b/>
                <w:color w:val="FFFFFF"/>
                <w:sz w:val="15"/>
              </w:rPr>
              <w:t>Component</w:t>
            </w:r>
          </w:p>
        </w:tc>
        <w:tc>
          <w:tcPr>
            <w:tcW w:type="dxa" w:w="7992"/>
            <w:vAlign w:val="center"/>
            <w:shd w:fill="17304D"/>
          </w:tcPr>
          <w:p>
            <w:r/>
            <w:r>
              <w:rPr>
                <w:rFonts w:ascii="Liberation Sans" w:hAnsi="Liberation Sans"/>
                <w:b/>
                <w:color w:val="FFFFFF"/>
                <w:sz w:val="15"/>
              </w:rPr>
              <w:t>Suggested responsibility / technology direction</w:t>
            </w:r>
          </w:p>
        </w:tc>
      </w:tr>
      <w:tr>
        <w:tc>
          <w:tcPr>
            <w:tcW w:type="dxa" w:w="2232"/>
            <w:vAlign w:val="center"/>
          </w:tcPr>
          <w:p>
            <w:r/>
            <w:r>
              <w:rPr>
                <w:rFonts w:ascii="Liberation Sans" w:hAnsi="Liberation Sans"/>
                <w:b w:val="0"/>
                <w:color w:val="232A32"/>
                <w:sz w:val="15"/>
              </w:rPr>
              <w:t>Trading Web</w:t>
            </w:r>
          </w:p>
        </w:tc>
        <w:tc>
          <w:tcPr>
            <w:tcW w:type="dxa" w:w="7992"/>
            <w:vAlign w:val="center"/>
          </w:tcPr>
          <w:p>
            <w:r/>
            <w:r>
              <w:rPr>
                <w:rFonts w:ascii="Liberation Sans" w:hAnsi="Liberation Sans"/>
                <w:b w:val="0"/>
                <w:color w:val="232A32"/>
                <w:sz w:val="15"/>
              </w:rPr>
              <w:t>React/Next.js or Vite; WebSocket; virtualized order/depth grids; keyboard-first UX</w:t>
            </w:r>
          </w:p>
        </w:tc>
      </w:tr>
      <w:tr>
        <w:tc>
          <w:tcPr>
            <w:tcW w:type="dxa" w:w="2232"/>
            <w:vAlign w:val="center"/>
            <w:shd w:fill="F5F7F9"/>
          </w:tcPr>
          <w:p>
            <w:r/>
            <w:r>
              <w:rPr>
                <w:rFonts w:ascii="Liberation Sans" w:hAnsi="Liberation Sans"/>
                <w:b w:val="0"/>
                <w:color w:val="232A32"/>
                <w:sz w:val="15"/>
              </w:rPr>
              <w:t>API Gateway</w:t>
            </w:r>
          </w:p>
        </w:tc>
        <w:tc>
          <w:tcPr>
            <w:tcW w:type="dxa" w:w="7992"/>
            <w:vAlign w:val="center"/>
            <w:shd w:fill="F5F7F9"/>
          </w:tcPr>
          <w:p>
            <w:r/>
            <w:r>
              <w:rPr>
                <w:rFonts w:ascii="Liberation Sans" w:hAnsi="Liberation Sans"/>
                <w:b w:val="0"/>
                <w:color w:val="232A32"/>
                <w:sz w:val="15"/>
              </w:rPr>
              <w:t>Authentication, session binding, rate limiting, request IDs, routing</w:t>
            </w:r>
          </w:p>
        </w:tc>
      </w:tr>
      <w:tr>
        <w:tc>
          <w:tcPr>
            <w:tcW w:type="dxa" w:w="2232"/>
            <w:vAlign w:val="center"/>
          </w:tcPr>
          <w:p>
            <w:r/>
            <w:r>
              <w:rPr>
                <w:rFonts w:ascii="Liberation Sans" w:hAnsi="Liberation Sans"/>
                <w:b w:val="0"/>
                <w:color w:val="232A32"/>
                <w:sz w:val="15"/>
              </w:rPr>
              <w:t>Order Service</w:t>
            </w:r>
          </w:p>
        </w:tc>
        <w:tc>
          <w:tcPr>
            <w:tcW w:type="dxa" w:w="7992"/>
            <w:vAlign w:val="center"/>
          </w:tcPr>
          <w:p>
            <w:r/>
            <w:r>
              <w:rPr>
                <w:rFonts w:ascii="Liberation Sans" w:hAnsi="Liberation Sans"/>
                <w:b w:val="0"/>
                <w:color w:val="232A32"/>
                <w:sz w:val="15"/>
              </w:rPr>
              <w:t>Command validation, idempotency, canonical order persistence</w:t>
            </w:r>
          </w:p>
        </w:tc>
      </w:tr>
      <w:tr>
        <w:tc>
          <w:tcPr>
            <w:tcW w:type="dxa" w:w="2232"/>
            <w:vAlign w:val="center"/>
            <w:shd w:fill="F5F7F9"/>
          </w:tcPr>
          <w:p>
            <w:r/>
            <w:r>
              <w:rPr>
                <w:rFonts w:ascii="Liberation Sans" w:hAnsi="Liberation Sans"/>
                <w:b w:val="0"/>
                <w:color w:val="232A32"/>
                <w:sz w:val="15"/>
              </w:rPr>
              <w:t>Orchestrator</w:t>
            </w:r>
          </w:p>
        </w:tc>
        <w:tc>
          <w:tcPr>
            <w:tcW w:type="dxa" w:w="7992"/>
            <w:vAlign w:val="center"/>
            <w:shd w:fill="F5F7F9"/>
          </w:tcPr>
          <w:p>
            <w:r/>
            <w:r>
              <w:rPr>
                <w:rFonts w:ascii="Liberation Sans" w:hAnsi="Liberation Sans"/>
                <w:b w:val="0"/>
                <w:color w:val="232A32"/>
                <w:sz w:val="15"/>
              </w:rPr>
              <w:t>Deterministic state-machine workers; partition by account/strategy; no UI dependency</w:t>
            </w:r>
          </w:p>
        </w:tc>
      </w:tr>
      <w:tr>
        <w:tc>
          <w:tcPr>
            <w:tcW w:type="dxa" w:w="2232"/>
            <w:vAlign w:val="center"/>
          </w:tcPr>
          <w:p>
            <w:r/>
            <w:r>
              <w:rPr>
                <w:rFonts w:ascii="Liberation Sans" w:hAnsi="Liberation Sans"/>
                <w:b w:val="0"/>
                <w:color w:val="232A32"/>
                <w:sz w:val="15"/>
              </w:rPr>
              <w:t>Risk Service</w:t>
            </w:r>
          </w:p>
        </w:tc>
        <w:tc>
          <w:tcPr>
            <w:tcW w:type="dxa" w:w="7992"/>
            <w:vAlign w:val="center"/>
          </w:tcPr>
          <w:p>
            <w:r/>
            <w:r>
              <w:rPr>
                <w:rFonts w:ascii="Liberation Sans" w:hAnsi="Liberation Sans"/>
                <w:b w:val="0"/>
                <w:color w:val="232A32"/>
                <w:sz w:val="15"/>
              </w:rPr>
              <w:t>Low-latency pre-trade checks with cached limits/positions plus broker final validation</w:t>
            </w:r>
          </w:p>
        </w:tc>
      </w:tr>
      <w:tr>
        <w:tc>
          <w:tcPr>
            <w:tcW w:type="dxa" w:w="2232"/>
            <w:vAlign w:val="center"/>
            <w:shd w:fill="F5F7F9"/>
          </w:tcPr>
          <w:p>
            <w:r/>
            <w:r>
              <w:rPr>
                <w:rFonts w:ascii="Liberation Sans" w:hAnsi="Liberation Sans"/>
                <w:b w:val="0"/>
                <w:color w:val="232A32"/>
                <w:sz w:val="15"/>
              </w:rPr>
              <w:t>Broker Gateways</w:t>
            </w:r>
          </w:p>
        </w:tc>
        <w:tc>
          <w:tcPr>
            <w:tcW w:type="dxa" w:w="7992"/>
            <w:vAlign w:val="center"/>
            <w:shd w:fill="F5F7F9"/>
          </w:tcPr>
          <w:p>
            <w:r/>
            <w:r>
              <w:rPr>
                <w:rFonts w:ascii="Liberation Sans" w:hAnsi="Liberation Sans"/>
                <w:b w:val="0"/>
                <w:color w:val="232A32"/>
                <w:sz w:val="15"/>
              </w:rPr>
              <w:t>Dedicated connectors per institution/protocol; FIX engine where required</w:t>
            </w:r>
          </w:p>
        </w:tc>
      </w:tr>
      <w:tr>
        <w:tc>
          <w:tcPr>
            <w:tcW w:type="dxa" w:w="2232"/>
            <w:vAlign w:val="center"/>
          </w:tcPr>
          <w:p>
            <w:r/>
            <w:r>
              <w:rPr>
                <w:rFonts w:ascii="Liberation Sans" w:hAnsi="Liberation Sans"/>
                <w:b w:val="0"/>
                <w:color w:val="232A32"/>
                <w:sz w:val="15"/>
              </w:rPr>
              <w:t>Event Backbone</w:t>
            </w:r>
          </w:p>
        </w:tc>
        <w:tc>
          <w:tcPr>
            <w:tcW w:type="dxa" w:w="7992"/>
            <w:vAlign w:val="center"/>
          </w:tcPr>
          <w:p>
            <w:r/>
            <w:r>
              <w:rPr>
                <w:rFonts w:ascii="Liberation Sans" w:hAnsi="Liberation Sans"/>
                <w:b w:val="0"/>
                <w:color w:val="232A32"/>
                <w:sz w:val="15"/>
              </w:rPr>
              <w:t>Kafka/Redpanda/NATS JetStream or equivalent depending operational constraints; strict durability for trading domain</w:t>
            </w:r>
          </w:p>
        </w:tc>
      </w:tr>
      <w:tr>
        <w:tc>
          <w:tcPr>
            <w:tcW w:type="dxa" w:w="2232"/>
            <w:vAlign w:val="center"/>
            <w:shd w:fill="F5F7F9"/>
          </w:tcPr>
          <w:p>
            <w:r/>
            <w:r>
              <w:rPr>
                <w:rFonts w:ascii="Liberation Sans" w:hAnsi="Liberation Sans"/>
                <w:b w:val="0"/>
                <w:color w:val="232A32"/>
                <w:sz w:val="15"/>
              </w:rPr>
              <w:t>Primary DB</w:t>
            </w:r>
          </w:p>
        </w:tc>
        <w:tc>
          <w:tcPr>
            <w:tcW w:type="dxa" w:w="7992"/>
            <w:vAlign w:val="center"/>
            <w:shd w:fill="F5F7F9"/>
          </w:tcPr>
          <w:p>
            <w:r/>
            <w:r>
              <w:rPr>
                <w:rFonts w:ascii="Liberation Sans" w:hAnsi="Liberation Sans"/>
                <w:b w:val="0"/>
                <w:color w:val="232A32"/>
                <w:sz w:val="15"/>
              </w:rPr>
              <w:t>PostgreSQL for durable relational state; append-only audit/event tables or event store pattern</w:t>
            </w:r>
          </w:p>
        </w:tc>
      </w:tr>
      <w:tr>
        <w:tc>
          <w:tcPr>
            <w:tcW w:type="dxa" w:w="2232"/>
            <w:vAlign w:val="center"/>
          </w:tcPr>
          <w:p>
            <w:r/>
            <w:r>
              <w:rPr>
                <w:rFonts w:ascii="Liberation Sans" w:hAnsi="Liberation Sans"/>
                <w:b w:val="0"/>
                <w:color w:val="232A32"/>
                <w:sz w:val="15"/>
              </w:rPr>
              <w:t>Cache</w:t>
            </w:r>
          </w:p>
        </w:tc>
        <w:tc>
          <w:tcPr>
            <w:tcW w:type="dxa" w:w="7992"/>
            <w:vAlign w:val="center"/>
          </w:tcPr>
          <w:p>
            <w:r/>
            <w:r>
              <w:rPr>
                <w:rFonts w:ascii="Liberation Sans" w:hAnsi="Liberation Sans"/>
                <w:b w:val="0"/>
                <w:color w:val="232A32"/>
                <w:sz w:val="15"/>
              </w:rPr>
              <w:t>Redis only for cache/coordination where safe; never sole store of accepted order state</w:t>
            </w:r>
          </w:p>
        </w:tc>
      </w:tr>
      <w:tr>
        <w:tc>
          <w:tcPr>
            <w:tcW w:type="dxa" w:w="2232"/>
            <w:vAlign w:val="center"/>
            <w:shd w:fill="F5F7F9"/>
          </w:tcPr>
          <w:p>
            <w:r/>
            <w:r>
              <w:rPr>
                <w:rFonts w:ascii="Liberation Sans" w:hAnsi="Liberation Sans"/>
                <w:b w:val="0"/>
                <w:color w:val="232A32"/>
                <w:sz w:val="15"/>
              </w:rPr>
              <w:t>Observability</w:t>
            </w:r>
          </w:p>
        </w:tc>
        <w:tc>
          <w:tcPr>
            <w:tcW w:type="dxa" w:w="7992"/>
            <w:vAlign w:val="center"/>
            <w:shd w:fill="F5F7F9"/>
          </w:tcPr>
          <w:p>
            <w:r/>
            <w:r>
              <w:rPr>
                <w:rFonts w:ascii="Liberation Sans" w:hAnsi="Liberation Sans"/>
                <w:b w:val="0"/>
                <w:color w:val="232A32"/>
                <w:sz w:val="15"/>
              </w:rPr>
              <w:t>Metrics + logs + distributed correlation; business metrics for order/fill/reject/reconcile</w:t>
            </w:r>
          </w:p>
        </w:tc>
      </w:tr>
      <w:tr>
        <w:tc>
          <w:tcPr>
            <w:tcW w:type="dxa" w:w="2232"/>
            <w:vAlign w:val="center"/>
          </w:tcPr>
          <w:p>
            <w:r/>
            <w:r>
              <w:rPr>
                <w:rFonts w:ascii="Liberation Sans" w:hAnsi="Liberation Sans"/>
                <w:b w:val="0"/>
                <w:color w:val="232A32"/>
                <w:sz w:val="15"/>
              </w:rPr>
              <w:t>Secrets</w:t>
            </w:r>
          </w:p>
        </w:tc>
        <w:tc>
          <w:tcPr>
            <w:tcW w:type="dxa" w:w="7992"/>
            <w:vAlign w:val="center"/>
          </w:tcPr>
          <w:p>
            <w:r/>
            <w:r>
              <w:rPr>
                <w:rFonts w:ascii="Liberation Sans" w:hAnsi="Liberation Sans"/>
                <w:b w:val="0"/>
                <w:color w:val="232A32"/>
                <w:sz w:val="15"/>
              </w:rPr>
              <w:t>Institution-managed vault/HSM integration where required; key rotation and least privilege</w:t>
            </w:r>
          </w:p>
        </w:tc>
      </w:tr>
    </w:tbl>
    <w:p/>
    <w:p>
      <w:r>
        <w:rPr>
          <w:i w:val="0"/>
        </w:rPr>
        <w:t>For on-premise broker deployments, containerized services on Kubernetes or a controlled VM/systemd topology can both be supported. The decision should follow the institution's operations standards. The product should package the trading core in a way that is deterministic and supportable in disconnected or tightly restricted networks if required.</w:t>
      </w:r>
    </w:p>
    <w:p>
      <w:pPr>
        <w:pStyle w:val="Heading1"/>
      </w:pPr>
      <w:r>
        <w:t>16. MVP and Phased Roadmap</w:t>
      </w:r>
    </w:p>
    <w:tbl>
      <w:tblPr>
        <w:tblStyle w:val="TableGrid"/>
        <w:tblW w:type="auto" w:w="0"/>
        <w:jc w:val="center"/>
        <w:tblLook w:firstColumn="1" w:firstRow="1" w:lastColumn="0" w:lastRow="0" w:noHBand="0" w:noVBand="1" w:val="04A0"/>
      </w:tblPr>
      <w:tblGrid>
        <w:gridCol w:w="3360"/>
        <w:gridCol w:w="3360"/>
        <w:gridCol w:w="3360"/>
      </w:tblGrid>
      <w:tr>
        <w:tc>
          <w:tcPr>
            <w:tcW w:type="dxa" w:w="2088"/>
            <w:vAlign w:val="center"/>
            <w:shd w:fill="17304D"/>
          </w:tcPr>
          <w:p>
            <w:r/>
            <w:r>
              <w:rPr>
                <w:rFonts w:ascii="Liberation Sans" w:hAnsi="Liberation Sans"/>
                <w:b/>
                <w:color w:val="FFFFFF"/>
                <w:sz w:val="15"/>
              </w:rPr>
              <w:t>Phase</w:t>
            </w:r>
          </w:p>
        </w:tc>
        <w:tc>
          <w:tcPr>
            <w:tcW w:type="dxa" w:w="6120"/>
            <w:vAlign w:val="center"/>
            <w:shd w:fill="17304D"/>
          </w:tcPr>
          <w:p>
            <w:r/>
            <w:r>
              <w:rPr>
                <w:rFonts w:ascii="Liberation Sans" w:hAnsi="Liberation Sans"/>
                <w:b/>
                <w:color w:val="FFFFFF"/>
                <w:sz w:val="15"/>
              </w:rPr>
              <w:t>Scope</w:t>
            </w:r>
          </w:p>
        </w:tc>
        <w:tc>
          <w:tcPr>
            <w:tcW w:type="dxa" w:w="2232"/>
            <w:vAlign w:val="center"/>
            <w:shd w:fill="17304D"/>
          </w:tcPr>
          <w:p>
            <w:r/>
            <w:r>
              <w:rPr>
                <w:rFonts w:ascii="Liberation Sans" w:hAnsi="Liberation Sans"/>
                <w:b/>
                <w:color w:val="FFFFFF"/>
                <w:sz w:val="15"/>
              </w:rPr>
              <w:t>Gate</w:t>
            </w:r>
          </w:p>
        </w:tc>
      </w:tr>
      <w:tr>
        <w:tc>
          <w:tcPr>
            <w:tcW w:type="dxa" w:w="2088"/>
            <w:vAlign w:val="center"/>
          </w:tcPr>
          <w:p>
            <w:r/>
            <w:r>
              <w:rPr>
                <w:rFonts w:ascii="Liberation Sans" w:hAnsi="Liberation Sans"/>
                <w:b w:val="0"/>
                <w:color w:val="232A32"/>
                <w:sz w:val="15"/>
              </w:rPr>
              <w:t>Phase 0 - Discovery &amp; protocol proof</w:t>
            </w:r>
          </w:p>
        </w:tc>
        <w:tc>
          <w:tcPr>
            <w:tcW w:type="dxa" w:w="6120"/>
            <w:vAlign w:val="center"/>
          </w:tcPr>
          <w:p>
            <w:r/>
            <w:r>
              <w:rPr>
                <w:rFonts w:ascii="Liberation Sans" w:hAnsi="Liberation Sans"/>
                <w:b w:val="0"/>
                <w:color w:val="232A32"/>
                <w:sz w:val="15"/>
              </w:rPr>
              <w:t>Broker API/FIX capability matrix; data licensing; BIST market/session rules; security and deployment constraints; click-through prototype</w:t>
            </w:r>
          </w:p>
        </w:tc>
        <w:tc>
          <w:tcPr>
            <w:tcW w:type="dxa" w:w="2232"/>
            <w:vAlign w:val="center"/>
          </w:tcPr>
          <w:p>
            <w:r/>
            <w:r>
              <w:rPr>
                <w:rFonts w:ascii="Liberation Sans" w:hAnsi="Liberation Sans"/>
                <w:b w:val="0"/>
                <w:color w:val="232A32"/>
                <w:sz w:val="15"/>
              </w:rPr>
              <w:t>Exit: one end-to-end sandbox order and state reconciliation</w:t>
            </w:r>
          </w:p>
        </w:tc>
      </w:tr>
      <w:tr>
        <w:tc>
          <w:tcPr>
            <w:tcW w:type="dxa" w:w="2088"/>
            <w:vAlign w:val="center"/>
            <w:shd w:fill="F5F7F9"/>
          </w:tcPr>
          <w:p>
            <w:r/>
            <w:r>
              <w:rPr>
                <w:rFonts w:ascii="Liberation Sans" w:hAnsi="Liberation Sans"/>
                <w:b w:val="0"/>
                <w:color w:val="232A32"/>
                <w:sz w:val="15"/>
              </w:rPr>
              <w:t>Phase 1 - Trading core</w:t>
            </w:r>
          </w:p>
        </w:tc>
        <w:tc>
          <w:tcPr>
            <w:tcW w:type="dxa" w:w="6120"/>
            <w:vAlign w:val="center"/>
            <w:shd w:fill="F5F7F9"/>
          </w:tcPr>
          <w:p>
            <w:r/>
            <w:r>
              <w:rPr>
                <w:rFonts w:ascii="Liberation Sans" w:hAnsi="Liberation Sans"/>
                <w:b w:val="0"/>
                <w:color w:val="232A32"/>
                <w:sz w:val="15"/>
              </w:rPr>
              <w:t>Login/account context; watchlist; depth; fast ticket; positions; blotter; place/modify/cancel; OCO/bracket/chain/trailing; audit; kill switch</w:t>
            </w:r>
          </w:p>
        </w:tc>
        <w:tc>
          <w:tcPr>
            <w:tcW w:type="dxa" w:w="2232"/>
            <w:vAlign w:val="center"/>
            <w:shd w:fill="F5F7F9"/>
          </w:tcPr>
          <w:p>
            <w:r/>
            <w:r>
              <w:rPr>
                <w:rFonts w:ascii="Liberation Sans" w:hAnsi="Liberation Sans"/>
                <w:b w:val="0"/>
                <w:color w:val="232A32"/>
                <w:sz w:val="15"/>
              </w:rPr>
              <w:t>Exit: controlled pilot with one broker and selected users</w:t>
            </w:r>
          </w:p>
        </w:tc>
      </w:tr>
      <w:tr>
        <w:tc>
          <w:tcPr>
            <w:tcW w:type="dxa" w:w="2088"/>
            <w:vAlign w:val="center"/>
          </w:tcPr>
          <w:p>
            <w:r/>
            <w:r>
              <w:rPr>
                <w:rFonts w:ascii="Liberation Sans" w:hAnsi="Liberation Sans"/>
                <w:b w:val="0"/>
                <w:color w:val="232A32"/>
                <w:sz w:val="15"/>
              </w:rPr>
              <w:t>Phase 2 - Algo execution</w:t>
            </w:r>
          </w:p>
        </w:tc>
        <w:tc>
          <w:tcPr>
            <w:tcW w:type="dxa" w:w="6120"/>
            <w:vAlign w:val="center"/>
          </w:tcPr>
          <w:p>
            <w:r/>
            <w:r>
              <w:rPr>
                <w:rFonts w:ascii="Liberation Sans" w:hAnsi="Liberation Sans"/>
                <w:b w:val="0"/>
                <w:color w:val="232A32"/>
                <w:sz w:val="15"/>
              </w:rPr>
              <w:t>TWAP, POV, iceberg/slicing, basket, multi-target exits, scale-in/out, templates, richer admin/risk</w:t>
            </w:r>
          </w:p>
        </w:tc>
        <w:tc>
          <w:tcPr>
            <w:tcW w:type="dxa" w:w="2232"/>
            <w:vAlign w:val="center"/>
          </w:tcPr>
          <w:p>
            <w:r/>
            <w:r>
              <w:rPr>
                <w:rFonts w:ascii="Liberation Sans" w:hAnsi="Liberation Sans"/>
                <w:b w:val="0"/>
                <w:color w:val="232A32"/>
                <w:sz w:val="15"/>
              </w:rPr>
              <w:t>Exit: production algorithm suite with measurable execution KPIs</w:t>
            </w:r>
          </w:p>
        </w:tc>
      </w:tr>
      <w:tr>
        <w:tc>
          <w:tcPr>
            <w:tcW w:type="dxa" w:w="2088"/>
            <w:vAlign w:val="center"/>
            <w:shd w:fill="F5F7F9"/>
          </w:tcPr>
          <w:p>
            <w:r/>
            <w:r>
              <w:rPr>
                <w:rFonts w:ascii="Liberation Sans" w:hAnsi="Liberation Sans"/>
                <w:b w:val="0"/>
                <w:color w:val="232A32"/>
                <w:sz w:val="15"/>
              </w:rPr>
              <w:t>Phase 3 - Institutional scale</w:t>
            </w:r>
          </w:p>
        </w:tc>
        <w:tc>
          <w:tcPr>
            <w:tcW w:type="dxa" w:w="6120"/>
            <w:vAlign w:val="center"/>
            <w:shd w:fill="F5F7F9"/>
          </w:tcPr>
          <w:p>
            <w:r/>
            <w:r>
              <w:rPr>
                <w:rFonts w:ascii="Liberation Sans" w:hAnsi="Liberation Sans"/>
                <w:b w:val="0"/>
                <w:color w:val="232A32"/>
                <w:sz w:val="15"/>
              </w:rPr>
              <w:t>Second/third broker adapters, multi-account workflows, TCA, programmable APIs, pair/spread workflows, advanced HA</w:t>
            </w:r>
          </w:p>
        </w:tc>
        <w:tc>
          <w:tcPr>
            <w:tcW w:type="dxa" w:w="2232"/>
            <w:vAlign w:val="center"/>
            <w:shd w:fill="F5F7F9"/>
          </w:tcPr>
          <w:p>
            <w:r/>
            <w:r>
              <w:rPr>
                <w:rFonts w:ascii="Liberation Sans" w:hAnsi="Liberation Sans"/>
                <w:b w:val="0"/>
                <w:color w:val="232A32"/>
                <w:sz w:val="15"/>
              </w:rPr>
              <w:t>Exit: repeatable white-label product</w:t>
            </w:r>
          </w:p>
        </w:tc>
      </w:tr>
      <w:tr>
        <w:tc>
          <w:tcPr>
            <w:tcW w:type="dxa" w:w="2088"/>
            <w:vAlign w:val="center"/>
          </w:tcPr>
          <w:p>
            <w:r/>
            <w:r>
              <w:rPr>
                <w:rFonts w:ascii="Liberation Sans" w:hAnsi="Liberation Sans"/>
                <w:b w:val="0"/>
                <w:color w:val="232A32"/>
                <w:sz w:val="15"/>
              </w:rPr>
              <w:t>Phase 4 - Optimization</w:t>
            </w:r>
          </w:p>
        </w:tc>
        <w:tc>
          <w:tcPr>
            <w:tcW w:type="dxa" w:w="6120"/>
            <w:vAlign w:val="center"/>
          </w:tcPr>
          <w:p>
            <w:r/>
            <w:r>
              <w:rPr>
                <w:rFonts w:ascii="Liberation Sans" w:hAnsi="Liberation Sans"/>
                <w:b w:val="0"/>
                <w:color w:val="232A32"/>
                <w:sz w:val="15"/>
              </w:rPr>
              <w:t>Smart routing where applicable, ML-assisted execution analytics, adaptive parameter suggestions with human control</w:t>
            </w:r>
          </w:p>
        </w:tc>
        <w:tc>
          <w:tcPr>
            <w:tcW w:type="dxa" w:w="2232"/>
            <w:vAlign w:val="center"/>
          </w:tcPr>
          <w:p>
            <w:r/>
            <w:r>
              <w:rPr>
                <w:rFonts w:ascii="Liberation Sans" w:hAnsi="Liberation Sans"/>
                <w:b w:val="0"/>
                <w:color w:val="232A32"/>
                <w:sz w:val="15"/>
              </w:rPr>
              <w:t>Exit: differentiated execution intelligence</w:t>
            </w:r>
          </w:p>
        </w:tc>
      </w:tr>
    </w:tbl>
    <w:p/>
    <w:p>
      <w:r>
        <w:rPr>
          <w:i w:val="0"/>
        </w:rPr>
        <w:t>The first broker integration should be chosen for technical openness and sponsor commitment, not only brand value. A cooperative institution that provides stable test APIs, reject-code documentation and a realistic certification environment will reduce program risk dramatically.</w:t>
      </w:r>
    </w:p>
    <w:p>
      <w:pPr>
        <w:pStyle w:val="Heading1"/>
      </w:pPr>
      <w:r>
        <w:t>17. Testing and Certification Strategy</w:t>
      </w:r>
    </w:p>
    <w:p>
      <w:r>
        <w:rPr>
          <w:i w:val="0"/>
        </w:rPr>
        <w:t>Trading software must be tested as a distributed state machine, not only as a web application. The test plan should simulate race conditions, duplicated messages, out-of-order events, broker disconnects and partial fills.</w:t>
      </w:r>
    </w:p>
    <w:p>
      <w:pPr>
        <w:pStyle w:val="ListBullet"/>
      </w:pPr>
      <w:r>
        <w:t>Deterministic unit tests for every state transition and quantity/price formula.</w:t>
      </w:r>
    </w:p>
    <w:p>
      <w:pPr>
        <w:pStyle w:val="ListBullet"/>
      </w:pPr>
      <w:r>
        <w:t>Property/invariant tests: no duplicate child creation, no over-exit beyond allowed exposure, monotonic filled quantity, valid state transitions only.</w:t>
      </w:r>
    </w:p>
    <w:p>
      <w:pPr>
        <w:pStyle w:val="ListBullet"/>
      </w:pPr>
      <w:r>
        <w:t>Broker adapter contract tests using recorded and synthetic broker messages.</w:t>
      </w:r>
    </w:p>
    <w:p>
      <w:pPr>
        <w:pStyle w:val="ListBullet"/>
      </w:pPr>
      <w:r>
        <w:t>Market-session tests: opening, continuous trading, closing, halts, stale data and day rollover.</w:t>
      </w:r>
    </w:p>
    <w:p>
      <w:pPr>
        <w:pStyle w:val="ListBullet"/>
      </w:pPr>
      <w:r>
        <w:t>Chaos/failover tests: orchestrator crash, database failover, event-bus delay, network partition, broker reconnect.</w:t>
      </w:r>
    </w:p>
    <w:p>
      <w:pPr>
        <w:pStyle w:val="ListBullet"/>
      </w:pPr>
      <w:r>
        <w:t>Replay tests: reconstruct a full trading day from events and verify resulting state equals production snapshot.</w:t>
      </w:r>
    </w:p>
    <w:p>
      <w:pPr>
        <w:pStyle w:val="ListBullet"/>
      </w:pPr>
      <w:r>
        <w:t>Performance tests: burst order entry, depth updates, cancel storms and broker throttle behavior.</w:t>
      </w:r>
    </w:p>
    <w:p>
      <w:pPr>
        <w:pStyle w:val="ListBullet"/>
      </w:pPr>
      <w:r>
        <w:t>User acceptance scenarios with professional traders, emphasizing accidental-order prevention and workflow speed.</w:t>
      </w:r>
    </w:p>
    <w:p>
      <w:pPr>
        <w:pStyle w:val="Heading1"/>
      </w:pPr>
      <w:r>
        <w:t>18. Operational KPIs and Product Metrics</w:t>
      </w:r>
    </w:p>
    <w:tbl>
      <w:tblPr>
        <w:tblStyle w:val="TableGrid"/>
        <w:tblW w:type="auto" w:w="0"/>
        <w:jc w:val="center"/>
        <w:tblLook w:firstColumn="1" w:firstRow="1" w:lastColumn="0" w:lastRow="0" w:noHBand="0" w:noVBand="1" w:val="04A0"/>
      </w:tblPr>
      <w:tblGrid>
        <w:gridCol w:w="5040"/>
        <w:gridCol w:w="5040"/>
      </w:tblGrid>
      <w:tr>
        <w:tc>
          <w:tcPr>
            <w:tcW w:type="dxa" w:w="3168"/>
            <w:vAlign w:val="center"/>
            <w:shd w:fill="17304D"/>
          </w:tcPr>
          <w:p>
            <w:r/>
            <w:r>
              <w:rPr>
                <w:rFonts w:ascii="Liberation Sans" w:hAnsi="Liberation Sans"/>
                <w:b/>
                <w:color w:val="FFFFFF"/>
                <w:sz w:val="16"/>
              </w:rPr>
              <w:t>Metric</w:t>
            </w:r>
          </w:p>
        </w:tc>
        <w:tc>
          <w:tcPr>
            <w:tcW w:type="dxa" w:w="7056"/>
            <w:vAlign w:val="center"/>
            <w:shd w:fill="17304D"/>
          </w:tcPr>
          <w:p>
            <w:r/>
            <w:r>
              <w:rPr>
                <w:rFonts w:ascii="Liberation Sans" w:hAnsi="Liberation Sans"/>
                <w:b/>
                <w:color w:val="FFFFFF"/>
                <w:sz w:val="16"/>
              </w:rPr>
              <w:t>Why it matters</w:t>
            </w:r>
          </w:p>
        </w:tc>
      </w:tr>
      <w:tr>
        <w:tc>
          <w:tcPr>
            <w:tcW w:type="dxa" w:w="3168"/>
            <w:vAlign w:val="center"/>
          </w:tcPr>
          <w:p>
            <w:r/>
            <w:r>
              <w:rPr>
                <w:rFonts w:ascii="Liberation Sans" w:hAnsi="Liberation Sans"/>
                <w:b w:val="0"/>
                <w:color w:val="232A32"/>
                <w:sz w:val="16"/>
              </w:rPr>
              <w:t>Order command p50/p95/p99 latency</w:t>
            </w:r>
          </w:p>
        </w:tc>
        <w:tc>
          <w:tcPr>
            <w:tcW w:type="dxa" w:w="7056"/>
            <w:vAlign w:val="center"/>
          </w:tcPr>
          <w:p>
            <w:r/>
            <w:r>
              <w:rPr>
                <w:rFonts w:ascii="Liberation Sans" w:hAnsi="Liberation Sans"/>
                <w:b w:val="0"/>
                <w:color w:val="232A32"/>
                <w:sz w:val="16"/>
              </w:rPr>
              <w:t>Measures EMS overhead before broker/network latency</w:t>
            </w:r>
          </w:p>
        </w:tc>
      </w:tr>
      <w:tr>
        <w:tc>
          <w:tcPr>
            <w:tcW w:type="dxa" w:w="3168"/>
            <w:vAlign w:val="center"/>
            <w:shd w:fill="F5F7F9"/>
          </w:tcPr>
          <w:p>
            <w:r/>
            <w:r>
              <w:rPr>
                <w:rFonts w:ascii="Liberation Sans" w:hAnsi="Liberation Sans"/>
                <w:b w:val="0"/>
                <w:color w:val="232A32"/>
                <w:sz w:val="16"/>
              </w:rPr>
              <w:t>Broker ack latency and reject rate</w:t>
            </w:r>
          </w:p>
        </w:tc>
        <w:tc>
          <w:tcPr>
            <w:tcW w:type="dxa" w:w="7056"/>
            <w:vAlign w:val="center"/>
            <w:shd w:fill="F5F7F9"/>
          </w:tcPr>
          <w:p>
            <w:r/>
            <w:r>
              <w:rPr>
                <w:rFonts w:ascii="Liberation Sans" w:hAnsi="Liberation Sans"/>
                <w:b w:val="0"/>
                <w:color w:val="232A32"/>
                <w:sz w:val="16"/>
              </w:rPr>
              <w:t>Detects adapter/broker health and invalid-order patterns</w:t>
            </w:r>
          </w:p>
        </w:tc>
      </w:tr>
      <w:tr>
        <w:tc>
          <w:tcPr>
            <w:tcW w:type="dxa" w:w="3168"/>
            <w:vAlign w:val="center"/>
          </w:tcPr>
          <w:p>
            <w:r/>
            <w:r>
              <w:rPr>
                <w:rFonts w:ascii="Liberation Sans" w:hAnsi="Liberation Sans"/>
                <w:b w:val="0"/>
                <w:color w:val="232A32"/>
                <w:sz w:val="16"/>
              </w:rPr>
              <w:t>Synthetic action latency</w:t>
            </w:r>
          </w:p>
        </w:tc>
        <w:tc>
          <w:tcPr>
            <w:tcW w:type="dxa" w:w="7056"/>
            <w:vAlign w:val="center"/>
          </w:tcPr>
          <w:p>
            <w:r/>
            <w:r>
              <w:rPr>
                <w:rFonts w:ascii="Liberation Sans" w:hAnsi="Liberation Sans"/>
                <w:b w:val="0"/>
                <w:color w:val="232A32"/>
                <w:sz w:val="16"/>
              </w:rPr>
              <w:t>Trigger-to-child-command latency for stops/conditions</w:t>
            </w:r>
          </w:p>
        </w:tc>
      </w:tr>
      <w:tr>
        <w:tc>
          <w:tcPr>
            <w:tcW w:type="dxa" w:w="3168"/>
            <w:vAlign w:val="center"/>
            <w:shd w:fill="F5F7F9"/>
          </w:tcPr>
          <w:p>
            <w:r/>
            <w:r>
              <w:rPr>
                <w:rFonts w:ascii="Liberation Sans" w:hAnsi="Liberation Sans"/>
                <w:b w:val="0"/>
                <w:color w:val="232A32"/>
                <w:sz w:val="16"/>
              </w:rPr>
              <w:t>Reconciliation mismatch count</w:t>
            </w:r>
          </w:p>
        </w:tc>
        <w:tc>
          <w:tcPr>
            <w:tcW w:type="dxa" w:w="7056"/>
            <w:vAlign w:val="center"/>
            <w:shd w:fill="F5F7F9"/>
          </w:tcPr>
          <w:p>
            <w:r/>
            <w:r>
              <w:rPr>
                <w:rFonts w:ascii="Liberation Sans" w:hAnsi="Liberation Sans"/>
                <w:b w:val="0"/>
                <w:color w:val="232A32"/>
                <w:sz w:val="16"/>
              </w:rPr>
              <w:t>Direct signal of state correctness</w:t>
            </w:r>
          </w:p>
        </w:tc>
      </w:tr>
      <w:tr>
        <w:tc>
          <w:tcPr>
            <w:tcW w:type="dxa" w:w="3168"/>
            <w:vAlign w:val="center"/>
          </w:tcPr>
          <w:p>
            <w:r/>
            <w:r>
              <w:rPr>
                <w:rFonts w:ascii="Liberation Sans" w:hAnsi="Liberation Sans"/>
                <w:b w:val="0"/>
                <w:color w:val="232A32"/>
                <w:sz w:val="16"/>
              </w:rPr>
              <w:t>Duplicate-prevention incidents</w:t>
            </w:r>
          </w:p>
        </w:tc>
        <w:tc>
          <w:tcPr>
            <w:tcW w:type="dxa" w:w="7056"/>
            <w:vAlign w:val="center"/>
          </w:tcPr>
          <w:p>
            <w:r/>
            <w:r>
              <w:rPr>
                <w:rFonts w:ascii="Liberation Sans" w:hAnsi="Liberation Sans"/>
                <w:b w:val="0"/>
                <w:color w:val="232A32"/>
                <w:sz w:val="16"/>
              </w:rPr>
              <w:t>Should remain zero; critical correctness KPI</w:t>
            </w:r>
          </w:p>
        </w:tc>
      </w:tr>
      <w:tr>
        <w:tc>
          <w:tcPr>
            <w:tcW w:type="dxa" w:w="3168"/>
            <w:vAlign w:val="center"/>
            <w:shd w:fill="F5F7F9"/>
          </w:tcPr>
          <w:p>
            <w:r/>
            <w:r>
              <w:rPr>
                <w:rFonts w:ascii="Liberation Sans" w:hAnsi="Liberation Sans"/>
                <w:b w:val="0"/>
                <w:color w:val="232A32"/>
                <w:sz w:val="16"/>
              </w:rPr>
              <w:t>Protected position coverage</w:t>
            </w:r>
          </w:p>
        </w:tc>
        <w:tc>
          <w:tcPr>
            <w:tcW w:type="dxa" w:w="7056"/>
            <w:vAlign w:val="center"/>
            <w:shd w:fill="F5F7F9"/>
          </w:tcPr>
          <w:p>
            <w:r/>
            <w:r>
              <w:rPr>
                <w:rFonts w:ascii="Liberation Sans" w:hAnsi="Liberation Sans"/>
                <w:b w:val="0"/>
                <w:color w:val="232A32"/>
                <w:sz w:val="16"/>
              </w:rPr>
              <w:t>Shows whether positions expected to be protected actually have valid protection</w:t>
            </w:r>
          </w:p>
        </w:tc>
      </w:tr>
      <w:tr>
        <w:tc>
          <w:tcPr>
            <w:tcW w:type="dxa" w:w="3168"/>
            <w:vAlign w:val="center"/>
          </w:tcPr>
          <w:p>
            <w:r/>
            <w:r>
              <w:rPr>
                <w:rFonts w:ascii="Liberation Sans" w:hAnsi="Liberation Sans"/>
                <w:b w:val="0"/>
                <w:color w:val="232A32"/>
                <w:sz w:val="16"/>
              </w:rPr>
              <w:t>Fill ratio / cancel ratio / slippage</w:t>
            </w:r>
          </w:p>
        </w:tc>
        <w:tc>
          <w:tcPr>
            <w:tcW w:type="dxa" w:w="7056"/>
            <w:vAlign w:val="center"/>
          </w:tcPr>
          <w:p>
            <w:r/>
            <w:r>
              <w:rPr>
                <w:rFonts w:ascii="Liberation Sans" w:hAnsi="Liberation Sans"/>
                <w:b w:val="0"/>
                <w:color w:val="232A32"/>
                <w:sz w:val="16"/>
              </w:rPr>
              <w:t>Execution quality and strategy behavior</w:t>
            </w:r>
          </w:p>
        </w:tc>
      </w:tr>
      <w:tr>
        <w:tc>
          <w:tcPr>
            <w:tcW w:type="dxa" w:w="3168"/>
            <w:vAlign w:val="center"/>
            <w:shd w:fill="F5F7F9"/>
          </w:tcPr>
          <w:p>
            <w:r/>
            <w:r>
              <w:rPr>
                <w:rFonts w:ascii="Liberation Sans" w:hAnsi="Liberation Sans"/>
                <w:b w:val="0"/>
                <w:color w:val="232A32"/>
                <w:sz w:val="16"/>
              </w:rPr>
              <w:t>Algo completion vs benchmark</w:t>
            </w:r>
          </w:p>
        </w:tc>
        <w:tc>
          <w:tcPr>
            <w:tcW w:type="dxa" w:w="7056"/>
            <w:vAlign w:val="center"/>
            <w:shd w:fill="F5F7F9"/>
          </w:tcPr>
          <w:p>
            <w:r/>
            <w:r>
              <w:rPr>
                <w:rFonts w:ascii="Liberation Sans" w:hAnsi="Liberation Sans"/>
                <w:b w:val="0"/>
                <w:color w:val="232A32"/>
                <w:sz w:val="16"/>
              </w:rPr>
              <w:t>TWAP/VWAP/POV quality assessment</w:t>
            </w:r>
          </w:p>
        </w:tc>
      </w:tr>
      <w:tr>
        <w:tc>
          <w:tcPr>
            <w:tcW w:type="dxa" w:w="3168"/>
            <w:vAlign w:val="center"/>
          </w:tcPr>
          <w:p>
            <w:r/>
            <w:r>
              <w:rPr>
                <w:rFonts w:ascii="Liberation Sans" w:hAnsi="Liberation Sans"/>
                <w:b w:val="0"/>
                <w:color w:val="232A32"/>
                <w:sz w:val="16"/>
              </w:rPr>
              <w:t>Client action count per trade</w:t>
            </w:r>
          </w:p>
        </w:tc>
        <w:tc>
          <w:tcPr>
            <w:tcW w:type="dxa" w:w="7056"/>
            <w:vAlign w:val="center"/>
          </w:tcPr>
          <w:p>
            <w:r/>
            <w:r>
              <w:rPr>
                <w:rFonts w:ascii="Liberation Sans" w:hAnsi="Liberation Sans"/>
                <w:b w:val="0"/>
                <w:color w:val="232A32"/>
                <w:sz w:val="16"/>
              </w:rPr>
              <w:t>UX efficiency: fewer clicks/keystrokes for common workflows</w:t>
            </w:r>
          </w:p>
        </w:tc>
      </w:tr>
      <w:tr>
        <w:tc>
          <w:tcPr>
            <w:tcW w:type="dxa" w:w="3168"/>
            <w:vAlign w:val="center"/>
            <w:shd w:fill="F5F7F9"/>
          </w:tcPr>
          <w:p>
            <w:r/>
            <w:r>
              <w:rPr>
                <w:rFonts w:ascii="Liberation Sans" w:hAnsi="Liberation Sans"/>
                <w:b w:val="0"/>
                <w:color w:val="232A32"/>
                <w:sz w:val="16"/>
              </w:rPr>
              <w:t>Gateway reconnect/recovery time</w:t>
            </w:r>
          </w:p>
        </w:tc>
        <w:tc>
          <w:tcPr>
            <w:tcW w:type="dxa" w:w="7056"/>
            <w:vAlign w:val="center"/>
            <w:shd w:fill="F5F7F9"/>
          </w:tcPr>
          <w:p>
            <w:r/>
            <w:r>
              <w:rPr>
                <w:rFonts w:ascii="Liberation Sans" w:hAnsi="Liberation Sans"/>
                <w:b w:val="0"/>
                <w:color w:val="232A32"/>
                <w:sz w:val="16"/>
              </w:rPr>
              <w:t>Operational resilience</w:t>
            </w:r>
          </w:p>
        </w:tc>
      </w:tr>
      <w:tr>
        <w:tc>
          <w:tcPr>
            <w:tcW w:type="dxa" w:w="3168"/>
            <w:vAlign w:val="center"/>
          </w:tcPr>
          <w:p>
            <w:r/>
            <w:r>
              <w:rPr>
                <w:rFonts w:ascii="Liberation Sans" w:hAnsi="Liberation Sans"/>
                <w:b w:val="0"/>
                <w:color w:val="232A32"/>
                <w:sz w:val="16"/>
              </w:rPr>
              <w:t>Synthetic order failure rate</w:t>
            </w:r>
          </w:p>
        </w:tc>
        <w:tc>
          <w:tcPr>
            <w:tcW w:type="dxa" w:w="7056"/>
            <w:vAlign w:val="center"/>
          </w:tcPr>
          <w:p>
            <w:r/>
            <w:r>
              <w:rPr>
                <w:rFonts w:ascii="Liberation Sans" w:hAnsi="Liberation Sans"/>
                <w:b w:val="0"/>
                <w:color w:val="232A32"/>
                <w:sz w:val="16"/>
              </w:rPr>
              <w:t>Reliability of advanced-order engine</w:t>
            </w:r>
          </w:p>
        </w:tc>
      </w:tr>
    </w:tbl>
    <w:p/>
    <w:p>
      <w:pPr>
        <w:pStyle w:val="Heading1"/>
      </w:pPr>
      <w:r>
        <w:t>19. Key Risks and Mitigations</w:t>
      </w:r>
    </w:p>
    <w:tbl>
      <w:tblPr>
        <w:tblStyle w:val="TableGrid"/>
        <w:tblW w:type="auto" w:w="0"/>
        <w:jc w:val="center"/>
        <w:tblLook w:firstColumn="1" w:firstRow="1" w:lastColumn="0" w:lastRow="0" w:noHBand="0" w:noVBand="1" w:val="04A0"/>
      </w:tblPr>
      <w:tblGrid>
        <w:gridCol w:w="3360"/>
        <w:gridCol w:w="3360"/>
        <w:gridCol w:w="3360"/>
      </w:tblGrid>
      <w:tr>
        <w:tc>
          <w:tcPr>
            <w:tcW w:type="dxa" w:w="2376"/>
            <w:vAlign w:val="center"/>
            <w:shd w:fill="17304D"/>
          </w:tcPr>
          <w:p>
            <w:r/>
            <w:r>
              <w:rPr>
                <w:rFonts w:ascii="Liberation Sans" w:hAnsi="Liberation Sans"/>
                <w:b/>
                <w:color w:val="FFFFFF"/>
                <w:sz w:val="15"/>
              </w:rPr>
              <w:t>Risk</w:t>
            </w:r>
          </w:p>
        </w:tc>
        <w:tc>
          <w:tcPr>
            <w:tcW w:type="dxa" w:w="3240"/>
            <w:vAlign w:val="center"/>
            <w:shd w:fill="17304D"/>
          </w:tcPr>
          <w:p>
            <w:r/>
            <w:r>
              <w:rPr>
                <w:rFonts w:ascii="Liberation Sans" w:hAnsi="Liberation Sans"/>
                <w:b/>
                <w:color w:val="FFFFFF"/>
                <w:sz w:val="15"/>
              </w:rPr>
              <w:t>Impact</w:t>
            </w:r>
          </w:p>
        </w:tc>
        <w:tc>
          <w:tcPr>
            <w:tcW w:type="dxa" w:w="4752"/>
            <w:vAlign w:val="center"/>
            <w:shd w:fill="17304D"/>
          </w:tcPr>
          <w:p>
            <w:r/>
            <w:r>
              <w:rPr>
                <w:rFonts w:ascii="Liberation Sans" w:hAnsi="Liberation Sans"/>
                <w:b/>
                <w:color w:val="FFFFFF"/>
                <w:sz w:val="15"/>
              </w:rPr>
              <w:t>Mitigation</w:t>
            </w:r>
          </w:p>
        </w:tc>
      </w:tr>
      <w:tr>
        <w:tc>
          <w:tcPr>
            <w:tcW w:type="dxa" w:w="2376"/>
            <w:vAlign w:val="center"/>
          </w:tcPr>
          <w:p>
            <w:r/>
            <w:r>
              <w:rPr>
                <w:rFonts w:ascii="Liberation Sans" w:hAnsi="Liberation Sans"/>
                <w:b w:val="0"/>
                <w:color w:val="232A32"/>
                <w:sz w:val="15"/>
              </w:rPr>
              <w:t>Broker API inconsistency</w:t>
            </w:r>
          </w:p>
        </w:tc>
        <w:tc>
          <w:tcPr>
            <w:tcW w:type="dxa" w:w="3240"/>
            <w:vAlign w:val="center"/>
          </w:tcPr>
          <w:p>
            <w:r/>
            <w:r>
              <w:rPr>
                <w:rFonts w:ascii="Liberation Sans" w:hAnsi="Liberation Sans"/>
                <w:b w:val="0"/>
                <w:color w:val="232A32"/>
                <w:sz w:val="15"/>
              </w:rPr>
              <w:t>Every integration behaves differently</w:t>
            </w:r>
          </w:p>
        </w:tc>
        <w:tc>
          <w:tcPr>
            <w:tcW w:type="dxa" w:w="4752"/>
            <w:vAlign w:val="center"/>
          </w:tcPr>
          <w:p>
            <w:r/>
            <w:r>
              <w:rPr>
                <w:rFonts w:ascii="Liberation Sans" w:hAnsi="Liberation Sans"/>
                <w:b w:val="0"/>
                <w:color w:val="232A32"/>
                <w:sz w:val="15"/>
              </w:rPr>
              <w:t>Capability matrix, canonical adapter contract, broker-specific certification suite</w:t>
            </w:r>
          </w:p>
        </w:tc>
      </w:tr>
      <w:tr>
        <w:tc>
          <w:tcPr>
            <w:tcW w:type="dxa" w:w="2376"/>
            <w:vAlign w:val="center"/>
            <w:shd w:fill="F5F7F9"/>
          </w:tcPr>
          <w:p>
            <w:r/>
            <w:r>
              <w:rPr>
                <w:rFonts w:ascii="Liberation Sans" w:hAnsi="Liberation Sans"/>
                <w:b w:val="0"/>
                <w:color w:val="232A32"/>
                <w:sz w:val="15"/>
              </w:rPr>
              <w:t>Partial-fill race conditions</w:t>
            </w:r>
          </w:p>
        </w:tc>
        <w:tc>
          <w:tcPr>
            <w:tcW w:type="dxa" w:w="3240"/>
            <w:vAlign w:val="center"/>
            <w:shd w:fill="F5F7F9"/>
          </w:tcPr>
          <w:p>
            <w:r/>
            <w:r>
              <w:rPr>
                <w:rFonts w:ascii="Liberation Sans" w:hAnsi="Liberation Sans"/>
                <w:b w:val="0"/>
                <w:color w:val="232A32"/>
                <w:sz w:val="15"/>
              </w:rPr>
              <w:t>Over-selling, unprotected exposure</w:t>
            </w:r>
          </w:p>
        </w:tc>
        <w:tc>
          <w:tcPr>
            <w:tcW w:type="dxa" w:w="4752"/>
            <w:vAlign w:val="center"/>
            <w:shd w:fill="F5F7F9"/>
          </w:tcPr>
          <w:p>
            <w:r/>
            <w:r>
              <w:rPr>
                <w:rFonts w:ascii="Liberation Sans" w:hAnsi="Liberation Sans"/>
                <w:b w:val="0"/>
                <w:color w:val="232A32"/>
                <w:sz w:val="15"/>
              </w:rPr>
              <w:t>Atomic state updates, ordered events, invariants, reconciliation</w:t>
            </w:r>
          </w:p>
        </w:tc>
      </w:tr>
      <w:tr>
        <w:tc>
          <w:tcPr>
            <w:tcW w:type="dxa" w:w="2376"/>
            <w:vAlign w:val="center"/>
          </w:tcPr>
          <w:p>
            <w:r/>
            <w:r>
              <w:rPr>
                <w:rFonts w:ascii="Liberation Sans" w:hAnsi="Liberation Sans"/>
                <w:b w:val="0"/>
                <w:color w:val="232A32"/>
                <w:sz w:val="15"/>
              </w:rPr>
              <w:t>Stale market data</w:t>
            </w:r>
          </w:p>
        </w:tc>
        <w:tc>
          <w:tcPr>
            <w:tcW w:type="dxa" w:w="3240"/>
            <w:vAlign w:val="center"/>
          </w:tcPr>
          <w:p>
            <w:r/>
            <w:r>
              <w:rPr>
                <w:rFonts w:ascii="Liberation Sans" w:hAnsi="Liberation Sans"/>
                <w:b w:val="0"/>
                <w:color w:val="232A32"/>
                <w:sz w:val="15"/>
              </w:rPr>
              <w:t>Wrong trigger execution</w:t>
            </w:r>
          </w:p>
        </w:tc>
        <w:tc>
          <w:tcPr>
            <w:tcW w:type="dxa" w:w="4752"/>
            <w:vAlign w:val="center"/>
          </w:tcPr>
          <w:p>
            <w:r/>
            <w:r>
              <w:rPr>
                <w:rFonts w:ascii="Liberation Sans" w:hAnsi="Liberation Sans"/>
                <w:b w:val="0"/>
                <w:color w:val="232A32"/>
                <w:sz w:val="15"/>
              </w:rPr>
              <w:t>Feed health state, stale thresholds, suspend trigger-based strategies</w:t>
            </w:r>
          </w:p>
        </w:tc>
      </w:tr>
      <w:tr>
        <w:tc>
          <w:tcPr>
            <w:tcW w:type="dxa" w:w="2376"/>
            <w:vAlign w:val="center"/>
            <w:shd w:fill="F5F7F9"/>
          </w:tcPr>
          <w:p>
            <w:r/>
            <w:r>
              <w:rPr>
                <w:rFonts w:ascii="Liberation Sans" w:hAnsi="Liberation Sans"/>
                <w:b w:val="0"/>
                <w:color w:val="232A32"/>
                <w:sz w:val="15"/>
              </w:rPr>
              <w:t>UI disconnect</w:t>
            </w:r>
          </w:p>
        </w:tc>
        <w:tc>
          <w:tcPr>
            <w:tcW w:type="dxa" w:w="3240"/>
            <w:vAlign w:val="center"/>
            <w:shd w:fill="F5F7F9"/>
          </w:tcPr>
          <w:p>
            <w:r/>
            <w:r>
              <w:rPr>
                <w:rFonts w:ascii="Liberation Sans" w:hAnsi="Liberation Sans"/>
                <w:b w:val="0"/>
                <w:color w:val="232A32"/>
                <w:sz w:val="15"/>
              </w:rPr>
              <w:t>Advanced order stops working</w:t>
            </w:r>
          </w:p>
        </w:tc>
        <w:tc>
          <w:tcPr>
            <w:tcW w:type="dxa" w:w="4752"/>
            <w:vAlign w:val="center"/>
            <w:shd w:fill="F5F7F9"/>
          </w:tcPr>
          <w:p>
            <w:r/>
            <w:r>
              <w:rPr>
                <w:rFonts w:ascii="Liberation Sans" w:hAnsi="Liberation Sans"/>
                <w:b w:val="0"/>
                <w:color w:val="232A32"/>
                <w:sz w:val="15"/>
              </w:rPr>
              <w:t>Server-side orchestration and durable state</w:t>
            </w:r>
          </w:p>
        </w:tc>
      </w:tr>
      <w:tr>
        <w:tc>
          <w:tcPr>
            <w:tcW w:type="dxa" w:w="2376"/>
            <w:vAlign w:val="center"/>
          </w:tcPr>
          <w:p>
            <w:r/>
            <w:r>
              <w:rPr>
                <w:rFonts w:ascii="Liberation Sans" w:hAnsi="Liberation Sans"/>
                <w:b w:val="0"/>
                <w:color w:val="232A32"/>
                <w:sz w:val="15"/>
              </w:rPr>
              <w:t>Duplicate client/broker messages</w:t>
            </w:r>
          </w:p>
        </w:tc>
        <w:tc>
          <w:tcPr>
            <w:tcW w:type="dxa" w:w="3240"/>
            <w:vAlign w:val="center"/>
          </w:tcPr>
          <w:p>
            <w:r/>
            <w:r>
              <w:rPr>
                <w:rFonts w:ascii="Liberation Sans" w:hAnsi="Liberation Sans"/>
                <w:b w:val="0"/>
                <w:color w:val="232A32"/>
                <w:sz w:val="15"/>
              </w:rPr>
              <w:t>Duplicate orders or incorrect quantities</w:t>
            </w:r>
          </w:p>
        </w:tc>
        <w:tc>
          <w:tcPr>
            <w:tcW w:type="dxa" w:w="4752"/>
            <w:vAlign w:val="center"/>
          </w:tcPr>
          <w:p>
            <w:r/>
            <w:r>
              <w:rPr>
                <w:rFonts w:ascii="Liberation Sans" w:hAnsi="Liberation Sans"/>
                <w:b w:val="0"/>
                <w:color w:val="232A32"/>
                <w:sz w:val="15"/>
              </w:rPr>
              <w:t>Idempotency, broker IDs, sequence/version checks</w:t>
            </w:r>
          </w:p>
        </w:tc>
      </w:tr>
      <w:tr>
        <w:tc>
          <w:tcPr>
            <w:tcW w:type="dxa" w:w="2376"/>
            <w:vAlign w:val="center"/>
            <w:shd w:fill="F5F7F9"/>
          </w:tcPr>
          <w:p>
            <w:r/>
            <w:r>
              <w:rPr>
                <w:rFonts w:ascii="Liberation Sans" w:hAnsi="Liberation Sans"/>
                <w:b w:val="0"/>
                <w:color w:val="232A32"/>
                <w:sz w:val="15"/>
              </w:rPr>
              <w:t>Runaway algorithm</w:t>
            </w:r>
          </w:p>
        </w:tc>
        <w:tc>
          <w:tcPr>
            <w:tcW w:type="dxa" w:w="3240"/>
            <w:vAlign w:val="center"/>
            <w:shd w:fill="F5F7F9"/>
          </w:tcPr>
          <w:p>
            <w:r/>
            <w:r>
              <w:rPr>
                <w:rFonts w:ascii="Liberation Sans" w:hAnsi="Liberation Sans"/>
                <w:b w:val="0"/>
                <w:color w:val="232A32"/>
                <w:sz w:val="15"/>
              </w:rPr>
              <w:t>High order rate/exposure</w:t>
            </w:r>
          </w:p>
        </w:tc>
        <w:tc>
          <w:tcPr>
            <w:tcW w:type="dxa" w:w="4752"/>
            <w:vAlign w:val="center"/>
            <w:shd w:fill="F5F7F9"/>
          </w:tcPr>
          <w:p>
            <w:r/>
            <w:r>
              <w:rPr>
                <w:rFonts w:ascii="Liberation Sans" w:hAnsi="Liberation Sans"/>
                <w:b w:val="0"/>
                <w:color w:val="232A32"/>
                <w:sz w:val="15"/>
              </w:rPr>
              <w:t>Rate limits, max child count, risk budgets, kill switch</w:t>
            </w:r>
          </w:p>
        </w:tc>
      </w:tr>
      <w:tr>
        <w:tc>
          <w:tcPr>
            <w:tcW w:type="dxa" w:w="2376"/>
            <w:vAlign w:val="center"/>
          </w:tcPr>
          <w:p>
            <w:r/>
            <w:r>
              <w:rPr>
                <w:rFonts w:ascii="Liberation Sans" w:hAnsi="Liberation Sans"/>
                <w:b w:val="0"/>
                <w:color w:val="232A32"/>
                <w:sz w:val="15"/>
              </w:rPr>
              <w:t>Regulatory/market-rule changes</w:t>
            </w:r>
          </w:p>
        </w:tc>
        <w:tc>
          <w:tcPr>
            <w:tcW w:type="dxa" w:w="3240"/>
            <w:vAlign w:val="center"/>
          </w:tcPr>
          <w:p>
            <w:r/>
            <w:r>
              <w:rPr>
                <w:rFonts w:ascii="Liberation Sans" w:hAnsi="Liberation Sans"/>
                <w:b w:val="0"/>
                <w:color w:val="232A32"/>
                <w:sz w:val="15"/>
              </w:rPr>
              <w:t>Invalid behavior after rule update</w:t>
            </w:r>
          </w:p>
        </w:tc>
        <w:tc>
          <w:tcPr>
            <w:tcW w:type="dxa" w:w="4752"/>
            <w:vAlign w:val="center"/>
          </w:tcPr>
          <w:p>
            <w:r/>
            <w:r>
              <w:rPr>
                <w:rFonts w:ascii="Liberation Sans" w:hAnsi="Liberation Sans"/>
                <w:b w:val="0"/>
                <w:color w:val="232A32"/>
                <w:sz w:val="15"/>
              </w:rPr>
              <w:t>Versioned rule service, release governance, institutional approval</w:t>
            </w:r>
          </w:p>
        </w:tc>
      </w:tr>
      <w:tr>
        <w:tc>
          <w:tcPr>
            <w:tcW w:type="dxa" w:w="2376"/>
            <w:vAlign w:val="center"/>
            <w:shd w:fill="F5F7F9"/>
          </w:tcPr>
          <w:p>
            <w:r/>
            <w:r>
              <w:rPr>
                <w:rFonts w:ascii="Liberation Sans" w:hAnsi="Liberation Sans"/>
                <w:b w:val="0"/>
                <w:color w:val="232A32"/>
                <w:sz w:val="15"/>
              </w:rPr>
              <w:t>Vendor/data licensing</w:t>
            </w:r>
          </w:p>
        </w:tc>
        <w:tc>
          <w:tcPr>
            <w:tcW w:type="dxa" w:w="3240"/>
            <w:vAlign w:val="center"/>
            <w:shd w:fill="F5F7F9"/>
          </w:tcPr>
          <w:p>
            <w:r/>
            <w:r>
              <w:rPr>
                <w:rFonts w:ascii="Liberation Sans" w:hAnsi="Liberation Sans"/>
                <w:b w:val="0"/>
                <w:color w:val="232A32"/>
                <w:sz w:val="15"/>
              </w:rPr>
              <w:t>Depth/market data cannot be redistributed freely</w:t>
            </w:r>
          </w:p>
        </w:tc>
        <w:tc>
          <w:tcPr>
            <w:tcW w:type="dxa" w:w="4752"/>
            <w:vAlign w:val="center"/>
            <w:shd w:fill="F5F7F9"/>
          </w:tcPr>
          <w:p>
            <w:r/>
            <w:r>
              <w:rPr>
                <w:rFonts w:ascii="Liberation Sans" w:hAnsi="Liberation Sans"/>
                <w:b w:val="0"/>
                <w:color w:val="232A32"/>
                <w:sz w:val="15"/>
              </w:rPr>
              <w:t>License review and institution/vendor contracts</w:t>
            </w:r>
          </w:p>
        </w:tc>
      </w:tr>
      <w:tr>
        <w:tc>
          <w:tcPr>
            <w:tcW w:type="dxa" w:w="2376"/>
            <w:vAlign w:val="center"/>
          </w:tcPr>
          <w:p>
            <w:r/>
            <w:r>
              <w:rPr>
                <w:rFonts w:ascii="Liberation Sans" w:hAnsi="Liberation Sans"/>
                <w:b w:val="0"/>
                <w:color w:val="232A32"/>
                <w:sz w:val="15"/>
              </w:rPr>
              <w:t>Trademark/product naming</w:t>
            </w:r>
          </w:p>
        </w:tc>
        <w:tc>
          <w:tcPr>
            <w:tcW w:type="dxa" w:w="3240"/>
            <w:vAlign w:val="center"/>
          </w:tcPr>
          <w:p>
            <w:r/>
            <w:r>
              <w:rPr>
                <w:rFonts w:ascii="Liberation Sans" w:hAnsi="Liberation Sans"/>
                <w:b w:val="0"/>
                <w:color w:val="232A32"/>
                <w:sz w:val="15"/>
              </w:rPr>
              <w:t>"BIST" name may create legal/brand issues</w:t>
            </w:r>
          </w:p>
        </w:tc>
        <w:tc>
          <w:tcPr>
            <w:tcW w:type="dxa" w:w="4752"/>
            <w:vAlign w:val="center"/>
          </w:tcPr>
          <w:p>
            <w:r/>
            <w:r>
              <w:rPr>
                <w:rFonts w:ascii="Liberation Sans" w:hAnsi="Liberation Sans"/>
                <w:b w:val="0"/>
                <w:color w:val="232A32"/>
                <w:sz w:val="15"/>
              </w:rPr>
              <w:t>Treat BIST-EMS as working title until legal clearance</w:t>
            </w:r>
          </w:p>
        </w:tc>
      </w:tr>
    </w:tbl>
    <w:p/>
    <w:p>
      <w:pPr>
        <w:pStyle w:val="Heading1"/>
      </w:pPr>
      <w:r>
        <w:t>20. Recommended Delivery Model</w:t>
      </w:r>
    </w:p>
    <w:p>
      <w:r>
        <w:rPr>
          <w:i w:val="0"/>
        </w:rPr>
        <w:t>The recommended approach is to build BIST-EMS as a product core plus institution-specific adapters and branding packages. The core should own synthetic order semantics, risk framework, audit model, trader workspace and admin console. Institution packages should contain protocol mapping, entitlements, deployment configuration, branding and institution-specific rules.</w:t>
      </w:r>
    </w:p>
    <w:p>
      <w:pPr>
        <w:pStyle w:val="ListNumber"/>
      </w:pPr>
      <w:r>
        <w:t>Select one launch institution and document the current order path end-to-end: client channel -&gt; API/gateway -&gt; OMS/RMS -&gt; BIST/VIOP.</w:t>
      </w:r>
    </w:p>
    <w:p>
      <w:pPr>
        <w:pStyle w:val="ListNumber"/>
      </w:pPr>
      <w:r>
        <w:t>Create a broker capability matrix: supported markets, order types, modify/cancel semantics, event streams, rate limits, session rules, test environment and authentication.</w:t>
      </w:r>
    </w:p>
    <w:p>
      <w:pPr>
        <w:pStyle w:val="ListNumber"/>
      </w:pPr>
      <w:r>
        <w:t>Prototype the trader workspace and advanced-order builder with real trader input before deep backend development.</w:t>
      </w:r>
    </w:p>
    <w:p>
      <w:pPr>
        <w:pStyle w:val="ListNumber"/>
      </w:pPr>
      <w:r>
        <w:t>Implement the canonical order model and one adapter with full reconciliation before adding many synthetic order types.</w:t>
      </w:r>
    </w:p>
    <w:p>
      <w:pPr>
        <w:pStyle w:val="ListNumber"/>
      </w:pPr>
      <w:r>
        <w:t>Deliver OCO/bracket/chain/trailing with rigorous partial-fill testing; these establish the orchestration foundation.</w:t>
      </w:r>
    </w:p>
    <w:p>
      <w:pPr>
        <w:pStyle w:val="ListNumber"/>
      </w:pPr>
      <w:r>
        <w:t>Add TWAP/basket/scale workflows only after the core state machine and risk controls are production-proven.</w:t>
      </w:r>
    </w:p>
    <w:p>
      <w:pPr>
        <w:pStyle w:val="ListNumber"/>
      </w:pPr>
      <w:r>
        <w:t>Generalize the first integration into a documented adapter SDK and onboard the second institution to validate product portability.</w:t>
      </w:r>
    </w:p>
    <w:tbl>
      <w:tblPr>
        <w:tblW w:type="auto" w:w="0"/>
        <w:jc w:val="center"/>
        <w:tblLook w:firstColumn="1" w:firstRow="1" w:lastColumn="0" w:lastRow="0" w:noHBand="0" w:noVBand="1" w:val="04A0"/>
      </w:tblPr>
      <w:tblGrid>
        <w:gridCol w:w="10080"/>
      </w:tblGrid>
      <w:tr>
        <w:tc>
          <w:tcPr>
            <w:tcW w:type="dxa" w:w="10080"/>
            <w:shd w:fill="EFF4F8"/>
          </w:tcPr>
          <w:p>
            <w:r>
              <w:rPr>
                <w:b/>
                <w:color w:val="172B4D"/>
                <w:sz w:val="21"/>
              </w:rPr>
              <w:t>Recommended product message to brokers</w:t>
              <w:br/>
            </w:r>
            <w:r>
              <w:rPr>
                <w:color w:val="232A32"/>
                <w:sz w:val="19"/>
              </w:rPr>
              <w:t>"We do not ask you to replace your OMS, RMS or exchange connectivity. We add a modern execution and advanced-order layer in front of the infrastructure you already trust."</w:t>
            </w:r>
          </w:p>
        </w:tc>
      </w:tr>
    </w:tbl>
    <w:p/>
    <w:p>
      <w:pPr>
        <w:pStyle w:val="Heading1"/>
      </w:pPr>
      <w:r>
        <w:t>21. Sources and Reference Material</w:t>
      </w:r>
    </w:p>
    <w:p>
      <w:r>
        <w:rPr>
          <w:i w:val="0"/>
        </w:rPr>
        <w:t>The following public sources were used to validate the market benchmark and architectural concepts. Product capabilities can change; institution-specific technical details must be confirmed during integration discovery.</w:t>
      </w:r>
    </w:p>
    <w:tbl>
      <w:tblPr>
        <w:tblStyle w:val="TableGrid"/>
        <w:tblW w:type="auto" w:w="0"/>
        <w:jc w:val="center"/>
        <w:tblLook w:firstColumn="1" w:firstRow="1" w:lastColumn="0" w:lastRow="0" w:noHBand="0" w:noVBand="1" w:val="04A0"/>
      </w:tblPr>
      <w:tblGrid>
        <w:gridCol w:w="5040"/>
        <w:gridCol w:w="5040"/>
      </w:tblGrid>
      <w:tr>
        <w:tc>
          <w:tcPr>
            <w:tcW w:type="dxa" w:w="3672"/>
            <w:vAlign w:val="center"/>
            <w:shd w:fill="17304D"/>
          </w:tcPr>
          <w:p>
            <w:r/>
            <w:r>
              <w:rPr>
                <w:rFonts w:ascii="Liberation Sans" w:hAnsi="Liberation Sans"/>
                <w:b/>
                <w:color w:val="FFFFFF"/>
                <w:sz w:val="14"/>
              </w:rPr>
              <w:t>Source</w:t>
            </w:r>
          </w:p>
        </w:tc>
        <w:tc>
          <w:tcPr>
            <w:tcW w:type="dxa" w:w="6552"/>
            <w:vAlign w:val="center"/>
            <w:shd w:fill="17304D"/>
          </w:tcPr>
          <w:p>
            <w:r/>
            <w:r>
              <w:rPr>
                <w:rFonts w:ascii="Liberation Sans" w:hAnsi="Liberation Sans"/>
                <w:b/>
                <w:color w:val="FFFFFF"/>
                <w:sz w:val="14"/>
              </w:rPr>
              <w:t>URL</w:t>
            </w:r>
          </w:p>
        </w:tc>
      </w:tr>
      <w:tr>
        <w:tc>
          <w:tcPr>
            <w:tcW w:type="dxa" w:w="3672"/>
            <w:vAlign w:val="center"/>
          </w:tcPr>
          <w:p>
            <w:r/>
            <w:r>
              <w:rPr>
                <w:rFonts w:ascii="Liberation Sans" w:hAnsi="Liberation Sans"/>
                <w:b w:val="0"/>
                <w:color w:val="232A32"/>
                <w:sz w:val="14"/>
              </w:rPr>
              <w:t>Borsa Istanbul - Pay Market / Market Operation</w:t>
            </w:r>
          </w:p>
        </w:tc>
        <w:tc>
          <w:tcPr>
            <w:tcW w:type="dxa" w:w="6552"/>
            <w:vAlign w:val="center"/>
          </w:tcPr>
          <w:p>
            <w:r/>
            <w:r>
              <w:rPr>
                <w:rFonts w:ascii="Liberation Sans" w:hAnsi="Liberation Sans"/>
                <w:b w:val="0"/>
                <w:color w:val="232A32"/>
                <w:sz w:val="14"/>
              </w:rPr>
              <w:t>https://www.borsaistanbul.com/piyasalar/pay-piyasasi/piyasa-isleyisi</w:t>
            </w:r>
          </w:p>
        </w:tc>
      </w:tr>
      <w:tr>
        <w:tc>
          <w:tcPr>
            <w:tcW w:type="dxa" w:w="3672"/>
            <w:vAlign w:val="center"/>
            <w:shd w:fill="F5F7F9"/>
          </w:tcPr>
          <w:p>
            <w:r/>
            <w:r>
              <w:rPr>
                <w:rFonts w:ascii="Liberation Sans" w:hAnsi="Liberation Sans"/>
                <w:b w:val="0"/>
                <w:color w:val="232A32"/>
                <w:sz w:val="14"/>
              </w:rPr>
              <w:t>Borsa Istanbul - Pay Market Procedure (PDF)</w:t>
            </w:r>
          </w:p>
        </w:tc>
        <w:tc>
          <w:tcPr>
            <w:tcW w:type="dxa" w:w="6552"/>
            <w:vAlign w:val="center"/>
            <w:shd w:fill="F5F7F9"/>
          </w:tcPr>
          <w:p>
            <w:r/>
            <w:r>
              <w:rPr>
                <w:rFonts w:ascii="Liberation Sans" w:hAnsi="Liberation Sans"/>
                <w:b w:val="0"/>
                <w:color w:val="232A32"/>
                <w:sz w:val="14"/>
              </w:rPr>
              <w:t>https://www.borsaistanbul.com/files/pay-piyasasi-proseduru.pdf</w:t>
            </w:r>
          </w:p>
        </w:tc>
      </w:tr>
      <w:tr>
        <w:tc>
          <w:tcPr>
            <w:tcW w:type="dxa" w:w="3672"/>
            <w:vAlign w:val="center"/>
          </w:tcPr>
          <w:p>
            <w:r/>
            <w:r>
              <w:rPr>
                <w:rFonts w:ascii="Liberation Sans" w:hAnsi="Liberation Sans"/>
                <w:b w:val="0"/>
                <w:color w:val="232A32"/>
                <w:sz w:val="14"/>
              </w:rPr>
              <w:t>Osmanli Menkul - Aktif Trader Web</w:t>
            </w:r>
          </w:p>
        </w:tc>
        <w:tc>
          <w:tcPr>
            <w:tcW w:type="dxa" w:w="6552"/>
            <w:vAlign w:val="center"/>
          </w:tcPr>
          <w:p>
            <w:r/>
            <w:r>
              <w:rPr>
                <w:rFonts w:ascii="Liberation Sans" w:hAnsi="Liberation Sans"/>
                <w:b w:val="0"/>
                <w:color w:val="232A32"/>
                <w:sz w:val="14"/>
              </w:rPr>
              <w:t>https://www.osmanlimenkul.com.tr/hisse-ve-viop/platformlarimiz/osmanli-platformlari/osmanli-aktif-trader/aktif-trader-web</w:t>
            </w:r>
          </w:p>
        </w:tc>
      </w:tr>
      <w:tr>
        <w:tc>
          <w:tcPr>
            <w:tcW w:type="dxa" w:w="3672"/>
            <w:vAlign w:val="center"/>
            <w:shd w:fill="F5F7F9"/>
          </w:tcPr>
          <w:p>
            <w:r/>
            <w:r>
              <w:rPr>
                <w:rFonts w:ascii="Liberation Sans" w:hAnsi="Liberation Sans"/>
                <w:b w:val="0"/>
                <w:color w:val="232A32"/>
                <w:sz w:val="14"/>
              </w:rPr>
              <w:t>Osmanli Menkul - Special Orders</w:t>
            </w:r>
          </w:p>
        </w:tc>
        <w:tc>
          <w:tcPr>
            <w:tcW w:type="dxa" w:w="6552"/>
            <w:vAlign w:val="center"/>
            <w:shd w:fill="F5F7F9"/>
          </w:tcPr>
          <w:p>
            <w:r/>
            <w:r>
              <w:rPr>
                <w:rFonts w:ascii="Liberation Sans" w:hAnsi="Liberation Sans"/>
                <w:b w:val="0"/>
                <w:color w:val="232A32"/>
                <w:sz w:val="14"/>
              </w:rPr>
              <w:t>https://www.osmanlimenkul.com.tr/hisse-ve-viop/platformlarimiz/osmanli-platformlari/ozel-emirler-ve-algoritmik-islemler</w:t>
            </w:r>
          </w:p>
        </w:tc>
      </w:tr>
      <w:tr>
        <w:tc>
          <w:tcPr>
            <w:tcW w:type="dxa" w:w="3672"/>
            <w:vAlign w:val="center"/>
          </w:tcPr>
          <w:p>
            <w:r/>
            <w:r>
              <w:rPr>
                <w:rFonts w:ascii="Liberation Sans" w:hAnsi="Liberation Sans"/>
                <w:b w:val="0"/>
                <w:color w:val="232A32"/>
                <w:sz w:val="14"/>
              </w:rPr>
              <w:t>Osmanli Menkul - Kokpit</w:t>
            </w:r>
          </w:p>
        </w:tc>
        <w:tc>
          <w:tcPr>
            <w:tcW w:type="dxa" w:w="6552"/>
            <w:vAlign w:val="center"/>
          </w:tcPr>
          <w:p>
            <w:r/>
            <w:r>
              <w:rPr>
                <w:rFonts w:ascii="Liberation Sans" w:hAnsi="Liberation Sans"/>
                <w:b w:val="0"/>
                <w:color w:val="232A32"/>
                <w:sz w:val="14"/>
              </w:rPr>
              <w:t>https://www.osmanlimenkul.com.tr/hisse-ve-viop-urunlerimiz/kokpit-ekranlari</w:t>
            </w:r>
          </w:p>
        </w:tc>
      </w:tr>
      <w:tr>
        <w:tc>
          <w:tcPr>
            <w:tcW w:type="dxa" w:w="3672"/>
            <w:vAlign w:val="center"/>
            <w:shd w:fill="F5F7F9"/>
          </w:tcPr>
          <w:p>
            <w:r/>
            <w:r>
              <w:rPr>
                <w:rFonts w:ascii="Liberation Sans" w:hAnsi="Liberation Sans"/>
                <w:b w:val="0"/>
                <w:color w:val="232A32"/>
                <w:sz w:val="14"/>
              </w:rPr>
              <w:t>MatriksIQ - Data Terminal / Algorithmic Trading</w:t>
            </w:r>
          </w:p>
        </w:tc>
        <w:tc>
          <w:tcPr>
            <w:tcW w:type="dxa" w:w="6552"/>
            <w:vAlign w:val="center"/>
            <w:shd w:fill="F5F7F9"/>
          </w:tcPr>
          <w:p>
            <w:r/>
            <w:r>
              <w:rPr>
                <w:rFonts w:ascii="Liberation Sans" w:hAnsi="Liberation Sans"/>
                <w:b w:val="0"/>
                <w:color w:val="232A32"/>
                <w:sz w:val="14"/>
              </w:rPr>
              <w:t>https://www.matriksdata.com/website/urunlerimiz/kullanici-platformlari/matriksiq-veri-terminali</w:t>
            </w:r>
          </w:p>
        </w:tc>
      </w:tr>
      <w:tr>
        <w:tc>
          <w:tcPr>
            <w:tcW w:type="dxa" w:w="3672"/>
            <w:vAlign w:val="center"/>
          </w:tcPr>
          <w:p>
            <w:r/>
            <w:r>
              <w:rPr>
                <w:rFonts w:ascii="Liberation Sans" w:hAnsi="Liberation Sans"/>
                <w:b w:val="0"/>
                <w:color w:val="232A32"/>
                <w:sz w:val="14"/>
              </w:rPr>
              <w:t>iDeal Data - Product Overview</w:t>
            </w:r>
          </w:p>
        </w:tc>
        <w:tc>
          <w:tcPr>
            <w:tcW w:type="dxa" w:w="6552"/>
            <w:vAlign w:val="center"/>
          </w:tcPr>
          <w:p>
            <w:r/>
            <w:r>
              <w:rPr>
                <w:rFonts w:ascii="Liberation Sans" w:hAnsi="Liberation Sans"/>
                <w:b w:val="0"/>
                <w:color w:val="232A32"/>
                <w:sz w:val="14"/>
              </w:rPr>
              <w:t>https://idealdata.com.tr/</w:t>
            </w:r>
          </w:p>
        </w:tc>
      </w:tr>
      <w:tr>
        <w:tc>
          <w:tcPr>
            <w:tcW w:type="dxa" w:w="3672"/>
            <w:vAlign w:val="center"/>
            <w:shd w:fill="F5F7F9"/>
          </w:tcPr>
          <w:p>
            <w:r/>
            <w:r>
              <w:rPr>
                <w:rFonts w:ascii="Liberation Sans" w:hAnsi="Liberation Sans"/>
                <w:b w:val="0"/>
                <w:color w:val="232A32"/>
                <w:sz w:val="14"/>
              </w:rPr>
              <w:t>ATP Tradesoft - GTP for Brokerage</w:t>
            </w:r>
          </w:p>
        </w:tc>
        <w:tc>
          <w:tcPr>
            <w:tcW w:type="dxa" w:w="6552"/>
            <w:vAlign w:val="center"/>
            <w:shd w:fill="F5F7F9"/>
          </w:tcPr>
          <w:p>
            <w:r/>
            <w:r>
              <w:rPr>
                <w:rFonts w:ascii="Liberation Sans" w:hAnsi="Liberation Sans"/>
                <w:b w:val="0"/>
                <w:color w:val="232A32"/>
                <w:sz w:val="14"/>
              </w:rPr>
              <w:t>https://www.atptech.com/atp-tradesoft/tradesoft-gtp-for-brokerage/?lang=en</w:t>
            </w:r>
          </w:p>
        </w:tc>
      </w:tr>
      <w:tr>
        <w:tc>
          <w:tcPr>
            <w:tcW w:type="dxa" w:w="3672"/>
            <w:vAlign w:val="center"/>
          </w:tcPr>
          <w:p>
            <w:r/>
            <w:r>
              <w:rPr>
                <w:rFonts w:ascii="Liberation Sans" w:hAnsi="Liberation Sans"/>
                <w:b w:val="0"/>
                <w:color w:val="232A32"/>
                <w:sz w:val="14"/>
              </w:rPr>
              <w:t>Ata Holding - Tradesoft overview</w:t>
            </w:r>
          </w:p>
        </w:tc>
        <w:tc>
          <w:tcPr>
            <w:tcW w:type="dxa" w:w="6552"/>
            <w:vAlign w:val="center"/>
          </w:tcPr>
          <w:p>
            <w:r/>
            <w:r>
              <w:rPr>
                <w:rFonts w:ascii="Liberation Sans" w:hAnsi="Liberation Sans"/>
                <w:b w:val="0"/>
                <w:color w:val="232A32"/>
                <w:sz w:val="14"/>
              </w:rPr>
              <w:t>https://www.ataholding.com.tr/en/industries/technology/tradesoft</w:t>
            </w:r>
          </w:p>
        </w:tc>
      </w:tr>
      <w:tr>
        <w:tc>
          <w:tcPr>
            <w:tcW w:type="dxa" w:w="3672"/>
            <w:vAlign w:val="center"/>
            <w:shd w:fill="F5F7F9"/>
          </w:tcPr>
          <w:p>
            <w:r/>
            <w:r>
              <w:rPr>
                <w:rFonts w:ascii="Liberation Sans" w:hAnsi="Liberation Sans"/>
                <w:b w:val="0"/>
                <w:color w:val="232A32"/>
                <w:sz w:val="14"/>
              </w:rPr>
              <w:t>TradingView - Broker API / Manage Orders</w:t>
            </w:r>
          </w:p>
        </w:tc>
        <w:tc>
          <w:tcPr>
            <w:tcW w:type="dxa" w:w="6552"/>
            <w:vAlign w:val="center"/>
            <w:shd w:fill="F5F7F9"/>
          </w:tcPr>
          <w:p>
            <w:r/>
            <w:r>
              <w:rPr>
                <w:rFonts w:ascii="Liberation Sans" w:hAnsi="Liberation Sans"/>
                <w:b w:val="0"/>
                <w:color w:val="232A32"/>
                <w:sz w:val="14"/>
              </w:rPr>
              <w:t>https://www.tradingview.com/charting-library-docs/latest/tutorials/tutorials/implement-broker-api/manage-orders/</w:t>
            </w:r>
          </w:p>
        </w:tc>
      </w:tr>
      <w:tr>
        <w:tc>
          <w:tcPr>
            <w:tcW w:type="dxa" w:w="3672"/>
            <w:vAlign w:val="center"/>
          </w:tcPr>
          <w:p>
            <w:r/>
            <w:r>
              <w:rPr>
                <w:rFonts w:ascii="Liberation Sans" w:hAnsi="Liberation Sans"/>
                <w:b w:val="0"/>
                <w:color w:val="232A32"/>
                <w:sz w:val="14"/>
              </w:rPr>
              <w:t>Trading Technologies - TT Order Types Overview</w:t>
            </w:r>
          </w:p>
        </w:tc>
        <w:tc>
          <w:tcPr>
            <w:tcW w:type="dxa" w:w="6552"/>
            <w:vAlign w:val="center"/>
          </w:tcPr>
          <w:p>
            <w:r/>
            <w:r>
              <w:rPr>
                <w:rFonts w:ascii="Liberation Sans" w:hAnsi="Liberation Sans"/>
                <w:b w:val="0"/>
                <w:color w:val="232A32"/>
                <w:sz w:val="14"/>
              </w:rPr>
              <w:t>https://library.tradingtechnologies.com/trade/basic-order-entry/tt-order-types/description-tt-order-types/tt-order-types-overview/</w:t>
            </w:r>
          </w:p>
        </w:tc>
      </w:tr>
      <w:tr>
        <w:tc>
          <w:tcPr>
            <w:tcW w:type="dxa" w:w="3672"/>
            <w:vAlign w:val="center"/>
            <w:shd w:fill="F5F7F9"/>
          </w:tcPr>
          <w:p>
            <w:r/>
            <w:r>
              <w:rPr>
                <w:rFonts w:ascii="Liberation Sans" w:hAnsi="Liberation Sans"/>
                <w:b w:val="0"/>
                <w:color w:val="232A32"/>
                <w:sz w:val="14"/>
              </w:rPr>
              <w:t>Trading Technologies - TT Bracket Order</w:t>
            </w:r>
          </w:p>
        </w:tc>
        <w:tc>
          <w:tcPr>
            <w:tcW w:type="dxa" w:w="6552"/>
            <w:vAlign w:val="center"/>
            <w:shd w:fill="F5F7F9"/>
          </w:tcPr>
          <w:p>
            <w:r/>
            <w:r>
              <w:rPr>
                <w:rFonts w:ascii="Liberation Sans" w:hAnsi="Liberation Sans"/>
                <w:b w:val="0"/>
                <w:color w:val="232A32"/>
                <w:sz w:val="14"/>
              </w:rPr>
              <w:t>https://library.tradingtechnologies.com/trade/basic-order-entry/tt-order-types/description-tt-order-types/tt-bracket-order/</w:t>
            </w:r>
          </w:p>
        </w:tc>
      </w:tr>
      <w:tr>
        <w:tc>
          <w:tcPr>
            <w:tcW w:type="dxa" w:w="3672"/>
            <w:vAlign w:val="center"/>
          </w:tcPr>
          <w:p>
            <w:r/>
            <w:r>
              <w:rPr>
                <w:rFonts w:ascii="Liberation Sans" w:hAnsi="Liberation Sans"/>
                <w:b w:val="0"/>
                <w:color w:val="232A32"/>
                <w:sz w:val="14"/>
              </w:rPr>
              <w:t>Interactive Brokers - Order Types and Algos</w:t>
            </w:r>
          </w:p>
        </w:tc>
        <w:tc>
          <w:tcPr>
            <w:tcW w:type="dxa" w:w="6552"/>
            <w:vAlign w:val="center"/>
          </w:tcPr>
          <w:p>
            <w:r/>
            <w:r>
              <w:rPr>
                <w:rFonts w:ascii="Liberation Sans" w:hAnsi="Liberation Sans"/>
                <w:b w:val="0"/>
                <w:color w:val="232A32"/>
                <w:sz w:val="14"/>
              </w:rPr>
              <w:t>https://portal.interactivebrokers.com/en/trading/ordertypes.php</w:t>
            </w:r>
          </w:p>
        </w:tc>
      </w:tr>
      <w:tr>
        <w:tc>
          <w:tcPr>
            <w:tcW w:type="dxa" w:w="3672"/>
            <w:vAlign w:val="center"/>
            <w:shd w:fill="F5F7F9"/>
          </w:tcPr>
          <w:p>
            <w:r/>
            <w:r>
              <w:rPr>
                <w:rFonts w:ascii="Liberation Sans" w:hAnsi="Liberation Sans"/>
                <w:b w:val="0"/>
                <w:color w:val="232A32"/>
                <w:sz w:val="14"/>
              </w:rPr>
              <w:t>Borsa Istanbul - TT connectivity announcement for VIOP</w:t>
            </w:r>
          </w:p>
        </w:tc>
        <w:tc>
          <w:tcPr>
            <w:tcW w:type="dxa" w:w="6552"/>
            <w:vAlign w:val="center"/>
            <w:shd w:fill="F5F7F9"/>
          </w:tcPr>
          <w:p>
            <w:r/>
            <w:r>
              <w:rPr>
                <w:rFonts w:ascii="Liberation Sans" w:hAnsi="Liberation Sans"/>
                <w:b w:val="0"/>
                <w:color w:val="232A32"/>
                <w:sz w:val="14"/>
              </w:rPr>
              <w:t>https://www.borsaistanbul.com/en/announcement/13365/trading-technologies-launches-connectivity-borsa-istanbul-derivatives-trading-ttr-platform</w:t>
            </w:r>
          </w:p>
        </w:tc>
      </w:tr>
    </w:tbl>
    <w:p/>
    <w:p>
      <w:r>
        <w:rPr>
          <w:i w:val="0"/>
        </w:rPr>
        <w:t>Disclaimer: This document is a product and technical architecture study, not investment advice, legal advice, regulatory approval or a statement that every listed order type is directly supported by Borsa Istanbul or every brokerage. Exchange-native, broker-native and EMS-synthetic behavior must be explicitly distinguished during implementation.</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7882"/>
        <w:sz w:val="16"/>
      </w:rPr>
      <w:t>Confidential product concept - 05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E7882"/>
        <w:sz w:val="16"/>
      </w:rPr>
      <w:t>BIST-EMS | Advanced Trading &amp; Execution Platform | Working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ans" w:hAnsi="Liberation Sans" w:eastAsia="Liberation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Liberation Sans" w:hAnsi="Liberation Sans" w:eastAsia="Liberation Sans"/>
      <w:b/>
      <w:bCs/>
      <w:color w:val="172B4D"/>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Liberation Sans" w:hAnsi="Liberation Sans" w:eastAsia="Liberation Sans"/>
      <w:b/>
      <w:bCs/>
      <w:color w:val="305F91"/>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Liberation Sans" w:hAnsi="Liberation Sans" w:eastAsia="Liberation Sans"/>
      <w:b/>
      <w:bCs/>
      <w:color w:val="232A3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00"/>
      <w:contextualSpacing/>
    </w:pPr>
    <w:rPr>
      <w:rFonts w:asciiTheme="majorHAnsi" w:eastAsiaTheme="majorEastAsia" w:hAnsiTheme="majorHAnsi" w:cstheme="majorBidi" w:ascii="Liberation Sans" w:hAnsi="Liberation Sans" w:eastAsia="Liberation Sans"/>
      <w:b/>
      <w:color w:val="172B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after="120"/>
    </w:pPr>
    <w:rPr>
      <w:rFonts w:ascii="Liberation Sans" w:hAnsi="Liberation Sans" w:eastAsia="Liberation Sans"/>
      <w:color w:val="232A32"/>
      <w:sz w:val="20"/>
    </w:rPr>
  </w:style>
  <w:style w:type="paragraph" w:customStyle="1" w:styleId="SmallNote">
    <w:name w:val="SmallNote"/>
    <w:pPr>
      <w:spacing w:after="120"/>
    </w:pPr>
    <w:rPr>
      <w:rFonts w:ascii="Liberation Sans" w:hAnsi="Liberation Sans" w:eastAsia="Liberation Sans"/>
      <w:color w:val="6E788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BIST-EMS - Advanced Trading &amp; Execution Platform</dc:title>
  <dc:subject>Product vision, benchmark and technical architecture</dc:subject>
  <dc:creator>OpenAI - prepared for user</dc:creator>
  <cp:keywords/>
  <dc:description>generated by python-docx</dc:description>
  <cp:lastModifiedBy/>
  <cp:revision>1</cp:revision>
  <dcterms:created xsi:type="dcterms:W3CDTF">2013-12-23T23:15:00Z</dcterms:created>
  <dcterms:modified xsi:type="dcterms:W3CDTF">2013-12-23T23:15:00Z</dcterms:modified>
  <cp:category/>
</cp:coreProperties>
</file>