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180"/>
      </w:pPr>
      <w:r>
        <w:drawing>
          <wp:inline distT="0" distB="0" distL="0" distR="0">
            <wp:extent cx="5486400" cy="3135086"/>
            <wp:docPr id="1" name="TRACE banner"/>
            <a:graphic>
              <a:graphicData uri="http://schemas.openxmlformats.org/drawingml/2006/picture">
                <pic:pic>
                  <pic:nvPicPr>
                    <pic:cNvPr id="0" name="trace_banner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</w:pPr>
      <w:r>
        <w:t>Project brief for PI discussion</w:t>
      </w:r>
    </w:p>
    <w:p>
      <w:pPr>
        <w:pStyle w:val="Normal"/>
      </w:pPr>
      <w:r>
        <w:rPr>
          <w:b/>
        </w:rPr>
        <w:t>Date: </w:t>
      </w:r>
      <w:r>
        <w:t>20 May 2026</w:t>
      </w:r>
      <w:r>
        <w:rPr>
          <w:b/>
        </w:rPr>
        <w:t>   |   Status: </w:t>
      </w:r>
      <w:r>
        <w:t>Active prototype</w:t>
      </w:r>
      <w:r>
        <w:rPr>
          <w:b/>
        </w:rPr>
        <w:t>   |   Use: </w:t>
      </w:r>
      <w:r>
        <w:t>Research/discovery only</w:t>
      </w:r>
    </w:p>
    <w:p>
      <w:pPr>
        <w:pStyle w:val="Callout"/>
      </w:pPr>
      <w:r>
        <w:rPr>
          <w:b/>
          <w:color w:val="0B2545"/>
        </w:rPr>
        <w:t>TRACE is not clinical decision support. It is designed to help researchers organize evidence about biomarker-linked therapy response and resistance.</w:t>
      </w:r>
    </w:p>
    <w:p>
      <w:pPr>
        <w:pStyle w:val="Heading1"/>
      </w:pPr>
      <w:r>
        <w:t>Executive Summary</w:t>
      </w:r>
    </w:p>
    <w:p>
      <w:pPr>
        <w:pStyle w:val="Normal"/>
      </w:pPr>
      <w:r>
        <w:t>TRACE, short for Therapy Response And Cancer Evidence, is a Python and Streamlit-based research tool for exploring whether a cancer molecular profile is associated with sensitivity, resistance, adverse response, conflicting evidence, or insufficient evidence for a therapy in a specified cancer context.</w:t>
      </w:r>
    </w:p>
    <w:p>
      <w:pPr>
        <w:pStyle w:val="Normal"/>
      </w:pPr>
      <w:r>
        <w:t>The current version combines three evidence layers: curated predictive evidence from CIViC, literature retrieval and claim extraction from Europe PMC and optional PubMed, and preclinical multi-omics drug-response support from DepMap/Sanger GDSC snapshots. The synthesis is deliberately conservative: curated and direct biomarker-specific literature evidence can drive the primary verdict, while DepMap/GDSC remains supporting experimental context.</w:t>
      </w:r>
    </w:p>
    <w:p>
      <w:pPr>
        <w:pStyle w:val="Heading1"/>
      </w:pPr>
      <w:r>
        <w:t>Scientific Motivation</w:t>
      </w:r>
    </w:p>
    <w:p>
      <w:pPr>
        <w:pStyle w:val="Normal"/>
      </w:pPr>
      <w:r>
        <w:t>A common precision oncology question is whether a specific biomarker, such as EGFR T790M, BRAF V600E, ERBB2 amplification, ESR1 high expression, or ALK fusion, predicts response or resistance to a therapy in a disease context. Relevant evidence is fragmented across curated databases, abstracts, cell-line pharmacogenomics, and manual expert interpretation. TRACE is intended to make this evidence traceable, reproducible, and easier to review.</w:t>
      </w:r>
    </w:p>
    <w:p>
      <w:pPr>
        <w:pStyle w:val="Heading2"/>
      </w:pPr>
      <w:r>
        <w:t>Core question supported by the tool:</w:t>
      </w:r>
    </w:p>
    <w:p>
      <w:pPr>
        <w:pStyle w:val="Callout"/>
      </w:pPr>
      <w:r>
        <w:rPr>
          <w:b/>
          <w:color w:val="0B2545"/>
        </w:rPr>
        <w:t>Does biomarker/profile X in gene Y indicate sensitivity or resistance to therapy Z in cancer W?</w:t>
      </w:r>
    </w:p>
    <w:p>
      <w:pPr>
        <w:pStyle w:val="Heading1"/>
      </w:pPr>
      <w:r>
        <w:t>Evidence Architecture</w:t>
      </w:r>
    </w:p>
    <w:tbl>
      <w:tblPr>
        <w:tblW w:w="9360" w:type="dxa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  <w:tblCellMar>
          <w:top w:w="100" w:type="dxa"/>
          <w:bottom w:w="100" w:type="dxa"/>
          <w:start w:w="140" w:type="dxa"/>
          <w:end w:w="140" w:type="dxa"/>
        </w:tblCellMar>
      </w:tblPr>
      <w:tblGrid>
        <w:gridCol w:w="1900"/>
        <w:gridCol w:w="3400"/>
        <w:gridCol w:w="4060"/>
      </w:tblGrid>
      <w:tr>
        <w:tc>
          <w:tcPr>
            <w:tcW w:w="1900" w:type="dxa"/>
            <w:shd w:fill="E8EEF5"/>
          </w:tcPr>
          <w:p>
            <w:pPr>
              <w:pStyle w:val="TableHeader"/>
            </w:pPr>
            <w:r>
              <w:t>Evidence layer</w:t>
            </w:r>
          </w:p>
        </w:tc>
        <w:tc>
          <w:tcPr>
            <w:tcW w:w="3400" w:type="dxa"/>
            <w:shd w:fill="E8EEF5"/>
          </w:tcPr>
          <w:p>
            <w:pPr>
              <w:pStyle w:val="TableHeader"/>
            </w:pPr>
            <w:r>
              <w:t>Role in TRACE</w:t>
            </w:r>
          </w:p>
        </w:tc>
        <w:tc>
          <w:tcPr>
            <w:tcW w:w="4060" w:type="dxa"/>
            <w:shd w:fill="E8EEF5"/>
          </w:tcPr>
          <w:p>
            <w:pPr>
              <w:pStyle w:val="TableHeader"/>
            </w:pPr>
            <w:r>
              <w:t>Current implementation</w:t>
            </w:r>
          </w:p>
        </w:tc>
      </w:tr>
      <w:tr>
        <w:tc>
          <w:tcPr>
            <w:tcW w:w="1900" w:type="dxa"/>
          </w:tcPr>
          <w:p>
            <w:pPr>
              <w:pStyle w:val="TableText"/>
            </w:pPr>
            <w:r>
              <w:t>Curated database evidence</w:t>
            </w:r>
          </w:p>
        </w:tc>
        <w:tc>
          <w:tcPr>
            <w:tcW w:w="3400" w:type="dxa"/>
          </w:tcPr>
          <w:p>
            <w:pPr>
              <w:pStyle w:val="TableText"/>
            </w:pPr>
            <w:r>
              <w:t>Primary evidence when direct predictive records match the query.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>CIViC accepted predictive evidence/assertions with direct and related evidence separation.</w:t>
            </w:r>
          </w:p>
        </w:tc>
      </w:tr>
      <w:tr>
        <w:tc>
          <w:tcPr>
            <w:tcW w:w="1900" w:type="dxa"/>
          </w:tcPr>
          <w:p>
            <w:pPr>
              <w:pStyle w:val="TableText"/>
            </w:pPr>
            <w:r>
              <w:t>Literature evidence</w:t>
            </w:r>
          </w:p>
        </w:tc>
        <w:tc>
          <w:tcPr>
            <w:tcW w:w="3400" w:type="dxa"/>
          </w:tcPr>
          <w:p>
            <w:pPr>
              <w:pStyle w:val="TableText"/>
            </w:pPr>
            <w:r>
              <w:t>Validates, contradicts, or fills gaps when curated evidence is sparse.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>Europe PMC by default; optional PubMed/NCBI when NCBI_EMAIL is configured; transparent paper scoring and claim extraction.</w:t>
            </w:r>
          </w:p>
        </w:tc>
      </w:tr>
      <w:tr>
        <w:tc>
          <w:tcPr>
            <w:tcW w:w="1900" w:type="dxa"/>
          </w:tcPr>
          <w:p>
            <w:pPr>
              <w:pStyle w:val="TableText"/>
            </w:pPr>
            <w:r>
              <w:t>DepMap/GDSC experimental support</w:t>
            </w:r>
          </w:p>
        </w:tc>
        <w:tc>
          <w:tcPr>
            <w:tcW w:w="3400" w:type="dxa"/>
          </w:tcPr>
          <w:p>
            <w:pPr>
              <w:pStyle w:val="TableText"/>
            </w:pPr>
            <w:r>
              <w:t>Preclinical support only; never clinical verdict by itself.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>Local DuckDB snapshot built from DepMap/Sanger dose response, mutation, copy-number, expression, and fusion files.</w:t>
            </w:r>
          </w:p>
        </w:tc>
      </w:tr>
      <w:tr>
        <w:tc>
          <w:tcPr>
            <w:tcW w:w="1900" w:type="dxa"/>
          </w:tcPr>
          <w:p>
            <w:pPr>
              <w:pStyle w:val="TableText"/>
            </w:pPr>
            <w:r>
              <w:t>Optional LLM layer</w:t>
            </w:r>
          </w:p>
        </w:tc>
        <w:tc>
          <w:tcPr>
            <w:tcW w:w="3400" w:type="dxa"/>
          </w:tcPr>
          <w:p>
            <w:pPr>
              <w:pStyle w:val="TableText"/>
            </w:pPr>
            <w:r>
              <w:t>Improves free-text parsing, biological context, and narrative reporting.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>Disabled by default; available only when an API key is configured.</w:t>
            </w:r>
          </w:p>
        </w:tc>
      </w:tr>
    </w:tbl>
    <w:p>
      <w:pPr>
        <w:pStyle w:val="Heading1"/>
      </w:pPr>
      <w:r>
        <w:t>Workflow</w:t>
      </w:r>
    </w:p>
    <w:p>
      <w:pPr>
        <w:pStyle w:val="Normal"/>
        <w:numPr>
          <w:ilvl w:val="0"/>
          <w:numId w:val="2"/>
        </w:numPr>
      </w:pPr>
      <w:r>
        <w:t>User enters a structured query: gene symbol, biomarker type, alteration, therapy, and cancer type.</w:t>
      </w:r>
    </w:p>
    <w:p>
      <w:pPr>
        <w:pStyle w:val="Normal"/>
        <w:numPr>
          <w:ilvl w:val="0"/>
          <w:numId w:val="2"/>
        </w:numPr>
      </w:pPr>
      <w:r>
        <w:t>TRACE normalizes the query into canonical gene/profile/therapy/cancer labels and aliases.</w:t>
      </w:r>
    </w:p>
    <w:p>
      <w:pPr>
        <w:pStyle w:val="Normal"/>
        <w:numPr>
          <w:ilvl w:val="0"/>
          <w:numId w:val="2"/>
        </w:numPr>
      </w:pPr>
      <w:r>
        <w:t>CIViC evidence is retrieved and separated into direct curated evidence and related curated evidence.</w:t>
      </w:r>
    </w:p>
    <w:p>
      <w:pPr>
        <w:pStyle w:val="Normal"/>
        <w:numPr>
          <w:ilvl w:val="0"/>
          <w:numId w:val="2"/>
        </w:numPr>
      </w:pPr>
      <w:r>
        <w:t>Literature is retrieved broadly, ranked by transparent match flags, and filtered into direct biomarker-specific claims versus related/manual-review claims.</w:t>
      </w:r>
    </w:p>
    <w:p>
      <w:pPr>
        <w:pStyle w:val="Normal"/>
        <w:numPr>
          <w:ilvl w:val="0"/>
          <w:numId w:val="2"/>
        </w:numPr>
      </w:pPr>
      <w:r>
        <w:t>DepMap/GDSC support is attached from a local DuckDB snapshot and labeled with effect size, p-value, model counts, response class, and evidence quality.</w:t>
      </w:r>
    </w:p>
    <w:p>
      <w:pPr>
        <w:pStyle w:val="Normal"/>
        <w:numPr>
          <w:ilvl w:val="0"/>
          <w:numId w:val="2"/>
        </w:numPr>
      </w:pPr>
      <w:r>
        <w:t>A conservative verdict is synthesized and displayed with rationale, limitations, evidence tables, and diagnostics.</w:t>
      </w:r>
    </w:p>
    <w:p>
      <w:r>
        <w:br w:type="page"/>
      </w:r>
    </w:p>
    <w:p>
      <w:pPr>
        <w:pStyle w:val="Heading1"/>
      </w:pPr>
      <w:r>
        <w:t>Current Biomarker Scope</w:t>
      </w:r>
    </w:p>
    <w:tbl>
      <w:tblPr>
        <w:tblW w:w="9360" w:type="dxa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  <w:tblCellMar>
          <w:top w:w="100" w:type="dxa"/>
          <w:bottom w:w="100" w:type="dxa"/>
          <w:start w:w="140" w:type="dxa"/>
          <w:end w:w="140" w:type="dxa"/>
        </w:tblCellMar>
      </w:tblPr>
      <w:tblGrid>
        <w:gridCol w:w="1700"/>
        <w:gridCol w:w="3300"/>
        <w:gridCol w:w="4360"/>
      </w:tblGrid>
      <w:tr>
        <w:tc>
          <w:tcPr>
            <w:tcW w:w="1700" w:type="dxa"/>
            <w:shd w:fill="E8EEF5"/>
          </w:tcPr>
          <w:p>
            <w:pPr>
              <w:pStyle w:val="TableHeader"/>
            </w:pPr>
            <w:r>
              <w:t>Biomarker type</w:t>
            </w:r>
          </w:p>
        </w:tc>
        <w:tc>
          <w:tcPr>
            <w:tcW w:w="3300" w:type="dxa"/>
            <w:shd w:fill="E8EEF5"/>
          </w:tcPr>
          <w:p>
            <w:pPr>
              <w:pStyle w:val="TableHeader"/>
            </w:pPr>
            <w:r>
              <w:t>Example query</w:t>
            </w:r>
          </w:p>
        </w:tc>
        <w:tc>
          <w:tcPr>
            <w:tcW w:w="4360" w:type="dxa"/>
            <w:shd w:fill="E8EEF5"/>
          </w:tcPr>
          <w:p>
            <w:pPr>
              <w:pStyle w:val="TableHeader"/>
            </w:pPr>
            <w:r>
              <w:t>DepMap/GDSC support status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>Small variant</w:t>
            </w:r>
          </w:p>
        </w:tc>
        <w:tc>
          <w:tcPr>
            <w:tcW w:w="3300" w:type="dxa"/>
          </w:tcPr>
          <w:p>
            <w:pPr>
              <w:pStyle w:val="TableText"/>
            </w:pPr>
            <w:r>
              <w:t>BRAF V600E + dabrafenib + melanoma</w:t>
            </w:r>
          </w:p>
        </w:tc>
        <w:tc>
          <w:tcPr>
            <w:tcW w:w="4360" w:type="dxa"/>
          </w:tcPr>
          <w:p>
            <w:pPr>
              <w:pStyle w:val="TableText"/>
            </w:pPr>
            <w:r>
              <w:t>Implemented using OmicsSomaticMutations and Sanger dose response.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>Copy number</w:t>
            </w:r>
          </w:p>
        </w:tc>
        <w:tc>
          <w:tcPr>
            <w:tcW w:w="3300" w:type="dxa"/>
          </w:tcPr>
          <w:p>
            <w:pPr>
              <w:pStyle w:val="TableText"/>
            </w:pPr>
            <w:r>
              <w:t>ERBB2 amplification + lapatinib + breast cancer</w:t>
            </w:r>
          </w:p>
        </w:tc>
        <w:tc>
          <w:tcPr>
            <w:tcW w:w="4360" w:type="dxa"/>
          </w:tcPr>
          <w:p>
            <w:pPr>
              <w:pStyle w:val="TableText"/>
            </w:pPr>
            <w:r>
              <w:t>Implemented using OmicsCNGeneWGS with amplification/deletion thresholds.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>Expression</w:t>
            </w:r>
          </w:p>
        </w:tc>
        <w:tc>
          <w:tcPr>
            <w:tcW w:w="3300" w:type="dxa"/>
          </w:tcPr>
          <w:p>
            <w:pPr>
              <w:pStyle w:val="TableText"/>
            </w:pPr>
            <w:r>
              <w:t>ERBB2 high expression + CP-724714 + breast cancer</w:t>
            </w:r>
          </w:p>
        </w:tc>
        <w:tc>
          <w:tcPr>
            <w:tcW w:w="4360" w:type="dxa"/>
          </w:tcPr>
          <w:p>
            <w:pPr>
              <w:pStyle w:val="TableText"/>
            </w:pPr>
            <w:r>
              <w:t>Implemented using expression quartiles within cancer context.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>Fusion</w:t>
            </w:r>
          </w:p>
        </w:tc>
        <w:tc>
          <w:tcPr>
            <w:tcW w:w="3300" w:type="dxa"/>
          </w:tcPr>
          <w:p>
            <w:pPr>
              <w:pStyle w:val="TableText"/>
            </w:pPr>
            <w:r>
              <w:t>ALK fusion + alectinib + NSCLC</w:t>
            </w:r>
          </w:p>
        </w:tc>
        <w:tc>
          <w:tcPr>
            <w:tcW w:w="4360" w:type="dxa"/>
          </w:tcPr>
          <w:p>
            <w:pPr>
              <w:pStyle w:val="TableText"/>
            </w:pPr>
            <w:r>
              <w:t>Implemented using OmicsFusionFilteredSupplementary when available.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>Grouped biomarker</w:t>
            </w:r>
          </w:p>
        </w:tc>
        <w:tc>
          <w:tcPr>
            <w:tcW w:w="3300" w:type="dxa"/>
          </w:tcPr>
          <w:p>
            <w:pPr>
              <w:pStyle w:val="TableText"/>
            </w:pPr>
            <w:r>
              <w:t>ESR1 mutation + aromatase inhibitor + breast cancer</w:t>
            </w:r>
          </w:p>
        </w:tc>
        <w:tc>
          <w:tcPr>
            <w:tcW w:w="4360" w:type="dxa"/>
          </w:tcPr>
          <w:p>
            <w:pPr>
              <w:pStyle w:val="TableText"/>
            </w:pPr>
            <w:r>
              <w:t>Supported in normalization/literature matching; database behavior depends on source coverage.</w:t>
            </w:r>
          </w:p>
        </w:tc>
      </w:tr>
    </w:tbl>
    <w:p>
      <w:pPr>
        <w:pStyle w:val="Heading1"/>
      </w:pPr>
      <w:r>
        <w:t>Verdict and Confidence Logic</w:t>
      </w:r>
    </w:p>
    <w:p>
      <w:pPr>
        <w:pStyle w:val="Normal"/>
        <w:numPr>
          <w:ilvl w:val="0"/>
          <w:numId w:val="1"/>
        </w:numPr>
      </w:pPr>
      <w:r>
        <w:t>Direct curated evidence has priority over related curated evidence.</w:t>
      </w:r>
    </w:p>
    <w:p>
      <w:pPr>
        <w:pStyle w:val="Normal"/>
        <w:numPr>
          <w:ilvl w:val="0"/>
          <w:numId w:val="1"/>
        </w:numPr>
      </w:pPr>
      <w:r>
        <w:t>Only direct biomarker-specific literature claims count toward the literature verdict. Gene-only or therapy-only response sentences are shown as related/manual-review evidence.</w:t>
      </w:r>
    </w:p>
    <w:p>
      <w:pPr>
        <w:pStyle w:val="Normal"/>
        <w:numPr>
          <w:ilvl w:val="0"/>
          <w:numId w:val="1"/>
        </w:numPr>
      </w:pPr>
      <w:r>
        <w:t>Experimental DepMap/GDSC evidence can support or contextualize a verdict, but it does not override curated or direct literature evidence.</w:t>
      </w:r>
    </w:p>
    <w:p>
      <w:pPr>
        <w:pStyle w:val="Normal"/>
        <w:numPr>
          <w:ilvl w:val="0"/>
          <w:numId w:val="1"/>
        </w:numPr>
      </w:pPr>
      <w:r>
        <w:t>Current verdict classes are SENSITIVE, RESISTANT, ADVERSE, CONFLICTING, and INSUFFICIENT.</w:t>
      </w:r>
    </w:p>
    <w:p>
      <w:pPr>
        <w:pStyle w:val="Normal"/>
        <w:numPr>
          <w:ilvl w:val="0"/>
          <w:numId w:val="1"/>
        </w:numPr>
      </w:pPr>
      <w:r>
        <w:t>Confidence reflects evidence basis, support counts, agreement between sources, and explicit conflicts.</w:t>
      </w:r>
    </w:p>
    <w:p>
      <w:pPr>
        <w:pStyle w:val="Heading1"/>
      </w:pPr>
      <w:r>
        <w:t>Implementation Snapshot</w:t>
      </w:r>
    </w:p>
    <w:tbl>
      <w:tblPr>
        <w:tblW w:w="9360" w:type="dxa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  <w:tblCellMar>
          <w:top w:w="100" w:type="dxa"/>
          <w:bottom w:w="100" w:type="dxa"/>
          <w:start w:w="140" w:type="dxa"/>
          <w:end w:w="140" w:type="dxa"/>
        </w:tblCellMar>
      </w:tblPr>
      <w:tblGrid>
        <w:gridCol w:w="2200"/>
        <w:gridCol w:w="7160"/>
      </w:tblGrid>
      <w:tr>
        <w:tc>
          <w:tcPr>
            <w:tcW w:w="2200" w:type="dxa"/>
            <w:shd w:fill="E8EEF5"/>
          </w:tcPr>
          <w:p>
            <w:pPr>
              <w:pStyle w:val="TableHeader"/>
            </w:pPr>
            <w:r>
              <w:t>Component</w:t>
            </w:r>
          </w:p>
        </w:tc>
        <w:tc>
          <w:tcPr>
            <w:tcW w:w="7160" w:type="dxa"/>
            <w:shd w:fill="E8EEF5"/>
          </w:tcPr>
          <w:p>
            <w:pPr>
              <w:pStyle w:val="TableHeader"/>
            </w:pPr>
            <w:r>
              <w:t>Implementation detail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>Frontend</w:t>
            </w:r>
          </w:p>
        </w:tc>
        <w:tc>
          <w:tcPr>
            <w:tcW w:w="7160" w:type="dxa"/>
          </w:tcPr>
          <w:p>
            <w:pPr>
              <w:pStyle w:val="TableText"/>
            </w:pPr>
            <w:r>
              <w:t>Streamlit app with structured form, examples, evidence tables, diagnostics, and TRACE branding.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>Backend</w:t>
            </w:r>
          </w:p>
        </w:tc>
        <w:tc>
          <w:tcPr>
            <w:tcW w:w="7160" w:type="dxa"/>
          </w:tcPr>
          <w:p>
            <w:pPr>
              <w:pStyle w:val="TableText"/>
            </w:pPr>
            <w:r>
              <w:t>Python modules under src/, with orchestration in src/engine.py and skills in src/skills/.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>Cache/storage</w:t>
            </w:r>
          </w:p>
        </w:tc>
        <w:tc>
          <w:tcPr>
            <w:tcW w:w="7160" w:type="dxa"/>
          </w:tcPr>
          <w:p>
            <w:pPr>
              <w:pStyle w:val="TableText"/>
            </w:pPr>
            <w:r>
              <w:t>DuckDB for curated/DepMap support; SQLite TTL cache for literature API responses.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>No-cost mode</w:t>
            </w:r>
          </w:p>
        </w:tc>
        <w:tc>
          <w:tcPr>
            <w:tcW w:w="7160" w:type="dxa"/>
          </w:tcPr>
          <w:p>
            <w:pPr>
              <w:pStyle w:val="TableText"/>
            </w:pPr>
            <w:r>
              <w:t>Structured query, retrieval, scoring, claim extraction, synthesis, and evidence tables work without Claude or ChatGPT.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>Optional mode</w:t>
            </w:r>
          </w:p>
        </w:tc>
        <w:tc>
          <w:tcPr>
            <w:tcW w:w="7160" w:type="dxa"/>
          </w:tcPr>
          <w:p>
            <w:pPr>
              <w:pStyle w:val="TableText"/>
            </w:pPr>
            <w:r>
              <w:t>LLM-based parsing, biological context, and report writing can be enabled later with an API key.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>Testing</w:t>
            </w:r>
          </w:p>
        </w:tc>
        <w:tc>
          <w:tcPr>
            <w:tcW w:w="7160" w:type="dxa"/>
          </w:tcPr>
          <w:p>
            <w:pPr>
              <w:pStyle w:val="TableText"/>
            </w:pPr>
            <w:r>
              <w:t>Offline fixtures cover normalization, matching, literature specificity, synthesis, app examples, and DepMap snapshot building.</w:t>
            </w:r>
          </w:p>
        </w:tc>
      </w:tr>
    </w:tbl>
    <w:p>
      <w:pPr>
        <w:pStyle w:val="Heading1"/>
      </w:pPr>
      <w:r>
        <w:t>Example Use Cases</w:t>
      </w:r>
    </w:p>
    <w:p>
      <w:pPr>
        <w:pStyle w:val="Normal"/>
        <w:numPr>
          <w:ilvl w:val="0"/>
          <w:numId w:val="1"/>
        </w:numPr>
      </w:pPr>
      <w:r>
        <w:t>EGFR T790M with gefitinib in NSCLC: resistance-oriented curated/literature scenario.</w:t>
      </w:r>
    </w:p>
    <w:p>
      <w:pPr>
        <w:pStyle w:val="Normal"/>
        <w:numPr>
          <w:ilvl w:val="0"/>
          <w:numId w:val="1"/>
        </w:numPr>
      </w:pPr>
      <w:r>
        <w:t>BRAF V600E with dabrafenib or vemurafenib in melanoma: sensitivity-oriented targeted therapy scenario.</w:t>
      </w:r>
    </w:p>
    <w:p>
      <w:pPr>
        <w:pStyle w:val="Normal"/>
        <w:numPr>
          <w:ilvl w:val="0"/>
          <w:numId w:val="1"/>
        </w:numPr>
      </w:pPr>
      <w:r>
        <w:t>ALK fusion with alectinib in NSCLC: fusion-based targeted therapy scenario with curated and DepMap support.</w:t>
      </w:r>
    </w:p>
    <w:p>
      <w:pPr>
        <w:pStyle w:val="Normal"/>
        <w:numPr>
          <w:ilvl w:val="0"/>
          <w:numId w:val="1"/>
        </w:numPr>
      </w:pPr>
      <w:r>
        <w:t>ERBB2 amplification with lapatinib in breast cancer: copy-number support scenario.</w:t>
      </w:r>
    </w:p>
    <w:p>
      <w:pPr>
        <w:pStyle w:val="Normal"/>
        <w:numPr>
          <w:ilvl w:val="0"/>
          <w:numId w:val="1"/>
        </w:numPr>
      </w:pPr>
      <w:r>
        <w:t>ERBB2 high expression with a drug-response query: expression-level experimental support scenario.</w:t>
      </w:r>
    </w:p>
    <w:p>
      <w:r>
        <w:br w:type="page"/>
      </w:r>
    </w:p>
    <w:p>
      <w:pPr>
        <w:pStyle w:val="Heading1"/>
      </w:pPr>
      <w:r>
        <w:t>Strengths for Academic Use</w:t>
      </w:r>
    </w:p>
    <w:p>
      <w:pPr>
        <w:pStyle w:val="Normal"/>
        <w:numPr>
          <w:ilvl w:val="0"/>
          <w:numId w:val="1"/>
        </w:numPr>
      </w:pPr>
      <w:r>
        <w:t>Transparent evidence layers: curated, literature, and experimental evidence are displayed separately rather than merged into an opaque score.</w:t>
      </w:r>
    </w:p>
    <w:p>
      <w:pPr>
        <w:pStyle w:val="Normal"/>
        <w:numPr>
          <w:ilvl w:val="0"/>
          <w:numId w:val="1"/>
        </w:numPr>
      </w:pPr>
      <w:r>
        <w:t>Low-cost operation: the core workflow does not require paid LLM APIs.</w:t>
      </w:r>
    </w:p>
    <w:p>
      <w:pPr>
        <w:pStyle w:val="Normal"/>
        <w:numPr>
          <w:ilvl w:val="0"/>
          <w:numId w:val="1"/>
        </w:numPr>
      </w:pPr>
      <w:r>
        <w:t>Reproducibility: DepMap/GDSC evidence is generated from local snapshots and cached in DuckDB.</w:t>
      </w:r>
    </w:p>
    <w:p>
      <w:pPr>
        <w:pStyle w:val="Normal"/>
        <w:numPr>
          <w:ilvl w:val="0"/>
          <w:numId w:val="1"/>
        </w:numPr>
      </w:pPr>
      <w:r>
        <w:t>Manual review support: related literature and review flags are visible instead of silently discarded.</w:t>
      </w:r>
    </w:p>
    <w:p>
      <w:pPr>
        <w:pStyle w:val="Normal"/>
        <w:numPr>
          <w:ilvl w:val="0"/>
          <w:numId w:val="1"/>
        </w:numPr>
      </w:pPr>
      <w:r>
        <w:t>Extensible architecture: source adapters and skill modules can be expanded for additional databases, ontologies, or full-text mining.</w:t>
      </w:r>
    </w:p>
    <w:p>
      <w:pPr>
        <w:pStyle w:val="Heading1"/>
      </w:pPr>
      <w:r>
        <w:t>Known Limitations</w:t>
      </w:r>
    </w:p>
    <w:p>
      <w:pPr>
        <w:pStyle w:val="Normal"/>
        <w:numPr>
          <w:ilvl w:val="0"/>
          <w:numId w:val="1"/>
        </w:numPr>
      </w:pPr>
      <w:r>
        <w:t>Research use only; it should not be used for clinical decision-making.</w:t>
      </w:r>
    </w:p>
    <w:p>
      <w:pPr>
        <w:pStyle w:val="Normal"/>
        <w:numPr>
          <w:ilvl w:val="0"/>
          <w:numId w:val="1"/>
        </w:numPr>
      </w:pPr>
      <w:r>
        <w:t>CIViC coverage is incomplete and may not include all biomarkers, therapies, or cancer contexts.</w:t>
      </w:r>
    </w:p>
    <w:p>
      <w:pPr>
        <w:pStyle w:val="Normal"/>
        <w:numPr>
          <w:ilvl w:val="0"/>
          <w:numId w:val="1"/>
        </w:numPr>
      </w:pPr>
      <w:r>
        <w:t>Literature extraction currently relies mainly on titles and abstracts; full-text mining is deferred.</w:t>
      </w:r>
    </w:p>
    <w:p>
      <w:pPr>
        <w:pStyle w:val="Normal"/>
        <w:numPr>
          <w:ilvl w:val="0"/>
          <w:numId w:val="1"/>
        </w:numPr>
      </w:pPr>
      <w:r>
        <w:t>DepMap/GDSC evidence is cell-line based and may not reflect patient response.</w:t>
      </w:r>
    </w:p>
    <w:p>
      <w:pPr>
        <w:pStyle w:val="Normal"/>
        <w:numPr>
          <w:ilvl w:val="0"/>
          <w:numId w:val="1"/>
        </w:numPr>
      </w:pPr>
      <w:r>
        <w:t>Expression thresholds are quartile-based and may require biomarker-specific refinement.</w:t>
      </w:r>
    </w:p>
    <w:p>
      <w:pPr>
        <w:pStyle w:val="Normal"/>
        <w:numPr>
          <w:ilvl w:val="0"/>
          <w:numId w:val="1"/>
        </w:numPr>
      </w:pPr>
      <w:r>
        <w:t>Fusion evidence is summarized at the gene level and does not yet expose partner/breakpoint-level details in the UI.</w:t>
      </w:r>
    </w:p>
    <w:p>
      <w:pPr>
        <w:pStyle w:val="Normal"/>
        <w:numPr>
          <w:ilvl w:val="0"/>
          <w:numId w:val="1"/>
        </w:numPr>
      </w:pPr>
      <w:r>
        <w:t>Drug and cancer synonym handling is local and practical rather than ontology-complete.</w:t>
      </w:r>
    </w:p>
    <w:p>
      <w:pPr>
        <w:pStyle w:val="Heading1"/>
      </w:pPr>
      <w:r>
        <w:t>Near-Term Development Plan</w:t>
      </w:r>
    </w:p>
    <w:p>
      <w:pPr>
        <w:pStyle w:val="Normal"/>
        <w:numPr>
          <w:ilvl w:val="0"/>
          <w:numId w:val="2"/>
        </w:numPr>
      </w:pPr>
      <w:r>
        <w:t>Improve UI design and academic reporting export.</w:t>
      </w:r>
    </w:p>
    <w:p>
      <w:pPr>
        <w:pStyle w:val="Normal"/>
        <w:numPr>
          <w:ilvl w:val="0"/>
          <w:numId w:val="2"/>
        </w:numPr>
      </w:pPr>
      <w:r>
        <w:t>Expose fusion partner and breakpoint information in the evidence table.</w:t>
      </w:r>
    </w:p>
    <w:p>
      <w:pPr>
        <w:pStyle w:val="Normal"/>
        <w:numPr>
          <w:ilvl w:val="0"/>
          <w:numId w:val="2"/>
        </w:numPr>
      </w:pPr>
      <w:r>
        <w:t>Refine DepMap evidence quality, including multiple-testing correction or FDR estimation.</w:t>
      </w:r>
    </w:p>
    <w:p>
      <w:pPr>
        <w:pStyle w:val="Normal"/>
        <w:numPr>
          <w:ilvl w:val="0"/>
          <w:numId w:val="2"/>
        </w:numPr>
      </w:pPr>
      <w:r>
        <w:t>Improve therapy and cancer synonym normalization using larger controlled vocabularies.</w:t>
      </w:r>
    </w:p>
    <w:p>
      <w:pPr>
        <w:pStyle w:val="Normal"/>
        <w:numPr>
          <w:ilvl w:val="0"/>
          <w:numId w:val="2"/>
        </w:numPr>
      </w:pPr>
      <w:r>
        <w:t>Add optional full-text literature mining for open-access articles.</w:t>
      </w:r>
    </w:p>
    <w:p>
      <w:pPr>
        <w:pStyle w:val="Normal"/>
        <w:numPr>
          <w:ilvl w:val="0"/>
          <w:numId w:val="2"/>
        </w:numPr>
      </w:pPr>
      <w:r>
        <w:t>Evaluate gold-standard benchmark cases for sensitivity, resistance, and false-positive literature claims.</w:t>
      </w:r>
    </w:p>
    <w:p>
      <w:pPr>
        <w:pStyle w:val="Heading1"/>
      </w:pPr>
      <w:r>
        <w:t>PI Discussion Questions</w:t>
      </w:r>
    </w:p>
    <w:p>
      <w:pPr>
        <w:pStyle w:val="Normal"/>
        <w:numPr>
          <w:ilvl w:val="0"/>
          <w:numId w:val="1"/>
        </w:numPr>
      </w:pPr>
      <w:r>
        <w:t>Which evidence layer should be prioritized for the first manuscript or internal validation study?</w:t>
      </w:r>
    </w:p>
    <w:p>
      <w:pPr>
        <w:pStyle w:val="Normal"/>
        <w:numPr>
          <w:ilvl w:val="0"/>
          <w:numId w:val="1"/>
        </w:numPr>
      </w:pPr>
      <w:r>
        <w:t>Should the first scientific use case focus on resistance mechanisms, sensitivity biomarkers, or both?</w:t>
      </w:r>
    </w:p>
    <w:p>
      <w:pPr>
        <w:pStyle w:val="Normal"/>
        <w:numPr>
          <w:ilvl w:val="0"/>
          <w:numId w:val="1"/>
        </w:numPr>
      </w:pPr>
      <w:r>
        <w:t>Which gold-standard biomarker/drug/cancer examples should define acceptance testing?</w:t>
      </w:r>
    </w:p>
    <w:p>
      <w:pPr>
        <w:pStyle w:val="Normal"/>
        <w:numPr>
          <w:ilvl w:val="0"/>
          <w:numId w:val="1"/>
        </w:numPr>
      </w:pPr>
      <w:r>
        <w:t>Should TRACE remain a research-assistive tool, or should the scope move toward guideline-grade annotation in a future version?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ind w:left="720" w:hanging="360"/>
      </w:pPr>
    </w:lvl>
  </w:abstractNum>
  <w:num w:numId="1">
    <w:abstractNumId w:val="1"/>
  </w:num>
  <w:abstractNum w:abstractNumId="2">
    <w:lvl w:ilvl="0">
      <w:start w:val="1"/>
      <w:numFmt w:val="decimal"/>
      <w:lvlText w:val="%1."/>
      <w:pPr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F2937"/>
      </w:rPr>
    </w:rPrDefault>
  </w:docDefaults>
  <w:style w:type="paragraph" w:default="1" w:styleId="Normal">
    <w:name w:val="Normal"/>
    <w:pPr>
      <w:spacing w:after="120" w:line="264" w:lineRule="auto"/>
    </w:pPr>
    <w:rPr>
      <w:rFonts w:ascii="Calibri" w:hAnsi="Calibri"/>
      <w:sz w:val="22"/>
      <w:color w:val="1F2937"/>
    </w:rPr>
  </w:style>
  <w:style w:type="paragraph" w:styleId="Subtitle">
    <w:name w:val="Subtitle"/>
    <w:pPr>
      <w:spacing w:before="80" w:after="220"/>
    </w:pPr>
    <w:rPr>
      <w:rFonts w:ascii="Calibri" w:hAnsi="Calibri"/>
      <w:sz w:val="28"/>
      <w:color w:val="475569"/>
    </w:rPr>
  </w:style>
  <w:style w:type="paragraph" w:styleId="Heading1">
    <w:name w:val="Heading 1"/>
    <w:basedOn w:val="Normal"/>
    <w:pPr>
      <w:spacing w:before="320" w:after="160"/>
      <w:keepNext/>
    </w:pPr>
    <w:rPr>
      <w:b/>
      <w:rFonts w:ascii="Calibri" w:hAnsi="Calibri"/>
      <w:sz w:val="32"/>
      <w:color w:val="2E74B5"/>
    </w:rPr>
  </w:style>
  <w:style w:type="paragraph" w:styleId="Heading2">
    <w:name w:val="Heading 2"/>
    <w:basedOn w:val="Normal"/>
    <w:pPr>
      <w:spacing w:before="240" w:after="120"/>
      <w:keepNext/>
    </w:pPr>
    <w:rPr>
      <w:b/>
      <w:rFonts w:ascii="Calibri" w:hAnsi="Calibri"/>
      <w:sz w:val="26"/>
      <w:color w:val="2E74B5"/>
    </w:rPr>
  </w:style>
  <w:style w:type="paragraph" w:styleId="TableHeader">
    <w:name w:val="Table Header"/>
    <w:pPr>
      <w:spacing w:after="0" w:line="250" w:lineRule="auto"/>
    </w:pPr>
    <w:rPr>
      <w:b/>
      <w:rFonts w:ascii="Calibri" w:hAnsi="Calibri"/>
      <w:sz w:val="20"/>
      <w:color w:val="0B2545"/>
    </w:rPr>
  </w:style>
  <w:style w:type="paragraph" w:styleId="TableText">
    <w:name w:val="Table Text"/>
    <w:pPr>
      <w:spacing w:after="0" w:line="250" w:lineRule="auto"/>
    </w:pPr>
    <w:rPr>
      <w:rFonts w:ascii="Calibri" w:hAnsi="Calibri"/>
      <w:sz w:val="19"/>
      <w:color w:val="1F2937"/>
    </w:rPr>
  </w:style>
  <w:style w:type="paragraph" w:styleId="Callout">
    <w:name w:val="Callout"/>
    <w:pPr>
      <w:spacing w:before="80" w:after="160"/>
      <w:pBdr>
        <w:left w:val="single" w:sz="16" w:space="6" w:color="2E74B5"/>
      </w:pBdr>
      <w:shd w:fill="F4F7FB"/>
    </w:pPr>
    <w:rPr>
      <w:b/>
      <w:rFonts w:ascii="Calibri" w:hAnsi="Calibri"/>
      <w:sz w:val="22"/>
      <w:color w:val="0B2545"/>
    </w:rPr>
  </w:style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  <Relationship Id="rId3" Type="http://schemas.openxmlformats.org/officeDocument/2006/relationships/numbering" Target="numbering.xml"/>
  <Relationship Id="rId5" Type="http://schemas.openxmlformats.org/officeDocument/2006/relationships/image" Target="media/trace_banner.png"/>
</Relationships>
</file>