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649CC" w14:textId="33C3E805" w:rsidR="00CD2C19" w:rsidRDefault="00631C19">
      <w:pPr>
        <w:spacing w:after="120"/>
        <w:jc w:val="left"/>
      </w:pPr>
      <w:r>
        <w:rPr>
          <w:rFonts w:ascii="Times New Roman" w:hAnsi="Times New Roman"/>
          <w:b/>
          <w:sz w:val="20"/>
        </w:rPr>
        <w:t>Supplementary Table S2. Hyperparameter search spaces and selected configurations for the reference S2 analysis.</w:t>
      </w:r>
    </w:p>
    <w:tbl>
      <w:tblPr>
        <w:tblStyle w:val="TabloKlavuzu"/>
        <w:tblW w:w="0" w:type="auto"/>
        <w:jc w:val="center"/>
        <w:tblLayout w:type="autofit"/>
        <w:tblLook w:val="04A0" w:firstRow="1" w:lastRow="0" w:firstColumn="1" w:lastColumn="0" w:noHBand="0" w:noVBand="1"/>
      </w:tblPr>
      <w:tblGrid>
        <w:gridCol w:w="1727"/>
        <w:gridCol w:w="1727"/>
        <w:gridCol w:w="1725"/>
        <w:gridCol w:w="1726"/>
        <w:gridCol w:w="1725"/>
      </w:tblGrid>
      <w:tr w:rsidR="00CD2C19" w14:paraId="10A7E215" w14:textId="77777777">
        <w:trPr>
          <w:tblHeader/>
        </w:trPr>
        <w:tc>
          <w:tcPr>
            <w:tcW w:w="1728" w:type="dxa"/>
            <w:vAlign w:val="center"/>
            <w:tcMar>
              <w:top w:w="80" w:type="dxa"/>
              <w:start w:w="90" w:type="dxa"/>
              <w:bottom w:w="80" w:type="dxa"/>
              <w:end w:w="90" w:type="dxa"/>
            </w:tcMar>
            <w:shd w:fill="D9EAF7"/>
          </w:tcPr>
          <w:p>
            <w:pPr>
              <w:spacing w:before="0" w:after="0" w:line="240" w:lineRule="auto"/>
              <w:jc w:val="center"/>
            </w:pPr>
            <w:r>
              <w:rPr>
                <w:rFonts w:ascii="Times New Roman" w:hAnsi="Times New Roman"/>
                <w:b/>
                <w:sz w:val="16"/>
              </w:rPr>
              <w:t>Model</w:t>
            </w:r>
          </w:p>
        </w:tc>
        <w:tc>
          <w:tcPr>
            <w:tcW w:w="1728" w:type="dxa"/>
            <w:vAlign w:val="center"/>
            <w:tcMar>
              <w:top w:w="80" w:type="dxa"/>
              <w:start w:w="90" w:type="dxa"/>
              <w:bottom w:w="80" w:type="dxa"/>
              <w:end w:w="90" w:type="dxa"/>
            </w:tcMar>
            <w:shd w:fill="D9EAF7"/>
          </w:tcPr>
          <w:p>
            <w:pPr>
              <w:spacing w:before="0" w:after="0" w:line="240" w:lineRule="auto"/>
              <w:jc w:val="center"/>
            </w:pPr>
            <w:r>
              <w:rPr>
                <w:rFonts w:ascii="Times New Roman" w:hAnsi="Times New Roman"/>
                <w:b/>
                <w:sz w:val="16"/>
              </w:rPr>
              <w:t>Hyperparameter</w:t>
            </w:r>
          </w:p>
        </w:tc>
        <w:tc>
          <w:tcPr>
            <w:tcW w:w="1728" w:type="dxa"/>
            <w:vAlign w:val="center"/>
            <w:tcMar>
              <w:top w:w="80" w:type="dxa"/>
              <w:start w:w="90" w:type="dxa"/>
              <w:bottom w:w="80" w:type="dxa"/>
              <w:end w:w="90" w:type="dxa"/>
            </w:tcMar>
            <w:shd w:fill="D9EAF7"/>
          </w:tcPr>
          <w:p>
            <w:pPr>
              <w:spacing w:before="0" w:after="0" w:line="240" w:lineRule="auto"/>
              <w:jc w:val="center"/>
            </w:pPr>
            <w:r>
              <w:rPr>
                <w:rFonts w:ascii="Times New Roman" w:hAnsi="Times New Roman"/>
                <w:b/>
                <w:sz w:val="16"/>
              </w:rPr>
              <w:t>Search range</w:t>
            </w:r>
          </w:p>
        </w:tc>
        <w:tc>
          <w:tcPr>
            <w:tcW w:w="1728" w:type="dxa"/>
            <w:vAlign w:val="center"/>
            <w:tcMar>
              <w:top w:w="80" w:type="dxa"/>
              <w:start w:w="90" w:type="dxa"/>
              <w:bottom w:w="80" w:type="dxa"/>
              <w:end w:w="90" w:type="dxa"/>
            </w:tcMar>
            <w:shd w:fill="D9EAF7"/>
          </w:tcPr>
          <w:p>
            <w:pPr>
              <w:spacing w:before="0" w:after="0" w:line="240" w:lineRule="auto"/>
              <w:jc w:val="center"/>
            </w:pPr>
            <w:r>
              <w:rPr>
                <w:rFonts w:ascii="Times New Roman" w:hAnsi="Times New Roman"/>
                <w:b/>
                <w:sz w:val="16"/>
              </w:rPr>
              <w:t>Type / scale</w:t>
            </w:r>
          </w:p>
        </w:tc>
        <w:tc>
          <w:tcPr>
            <w:tcW w:w="1728" w:type="dxa"/>
            <w:vAlign w:val="center"/>
            <w:tcMar>
              <w:top w:w="80" w:type="dxa"/>
              <w:start w:w="90" w:type="dxa"/>
              <w:bottom w:w="80" w:type="dxa"/>
              <w:end w:w="90" w:type="dxa"/>
            </w:tcMar>
            <w:shd w:fill="D9EAF7"/>
          </w:tcPr>
          <w:p>
            <w:pPr>
              <w:spacing w:before="0" w:after="0" w:line="240" w:lineRule="auto"/>
              <w:jc w:val="center"/>
            </w:pPr>
            <w:r>
              <w:rPr>
                <w:rFonts w:ascii="Times New Roman" w:hAnsi="Times New Roman"/>
                <w:b/>
                <w:sz w:val="16"/>
              </w:rPr>
              <w:t>Selected value</w:t>
            </w:r>
          </w:p>
        </w:tc>
      </w:tr>
      <w:tr w:rsidR="00CD2C19" w14:paraId="07C2D468"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t>TabPFN (not tuned)</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n_estimators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{4, 8, 16, 32}</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Discrete grid</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4</w:t>
            </w:r>
          </w:p>
        </w:tc>
      </w:tr>
      <w:tr w:rsidR="00CD2C19" w14:paraId="5F8A3365"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t>Random Forest</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n_estimators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[100, 600], step 50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150</w:t>
            </w:r>
          </w:p>
        </w:tc>
      </w:tr>
      <w:tr w:rsidR="00CD2C19" w14:paraId="734452FD"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max_depth</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{None, 5, 10, 15, 20}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Categorical</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None</w:t>
            </w:r>
          </w:p>
        </w:tc>
      </w:tr>
      <w:tr w:rsidR="00CD2C19" w14:paraId="6ACECF1E"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min_samples_split</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 15]</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5</w:t>
            </w:r>
          </w:p>
        </w:tc>
      </w:tr>
      <w:tr w:rsidR="00CD2C19" w14:paraId="6F49739E"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min_samples_leaf</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 8]</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w:t>
            </w:r>
          </w:p>
        </w:tc>
      </w:tr>
      <w:tr w:rsidR="00CD2C19" w14:paraId="04D0E254"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max_features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{sqrt, log2, 0.5, 0.8}</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Categorical</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0.5</w:t>
            </w:r>
          </w:p>
        </w:tc>
      </w:tr>
      <w:tr w:rsidR="00CD2C19" w14:paraId="30B831CC"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t>Extra Trees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n_estimators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[100, 600], step 50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200</w:t>
            </w:r>
          </w:p>
        </w:tc>
      </w:tr>
      <w:tr w:rsidR="00CD2C19" w14:paraId="766104C9"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max_depth</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{None, 5, 10, 15, 20}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Categorical</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15</w:t>
            </w:r>
          </w:p>
        </w:tc>
      </w:tr>
      <w:tr w:rsidR="00CD2C19" w14:paraId="6B1071F3"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min_samples_split</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 15]</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w:t>
            </w:r>
          </w:p>
        </w:tc>
      </w:tr>
      <w:tr w:rsidR="00CD2C19" w14:paraId="09592DE4"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min_samples_leaf</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 8]</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w:t>
            </w:r>
          </w:p>
        </w:tc>
      </w:tr>
      <w:tr w:rsidR="00CD2C19" w14:paraId="5FC4CDB0"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max_features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{sqrt, log2, 0.5, 0.8}</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Categorical</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0.8</w:t>
            </w:r>
          </w:p>
        </w:tc>
      </w:tr>
      <w:tr w:rsidR="00CD2C19" w14:paraId="7D1983D2"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t>SVR (ν-SVR, RBF)</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nu</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[0.01, 0.99]</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0.8351</w:t>
            </w:r>
          </w:p>
        </w:tc>
      </w:tr>
      <w:tr w:rsidR="00CD2C19" w14:paraId="312342ED"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C</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[0.1, 300]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30.6938</w:t>
            </w:r>
          </w:p>
        </w:tc>
      </w:tr>
      <w:tr w:rsidR="00CD2C19" w14:paraId="232D2847"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gamma</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[1×10⁻⁴,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0.006369</w:t>
            </w:r>
          </w:p>
        </w:tc>
      </w:tr>
      <w:tr w:rsidR="00CD2C19" w14:paraId="69DE0559"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t>HistGradient- Boosting</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max_iter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[100, 800], step 50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700</w:t>
            </w:r>
          </w:p>
        </w:tc>
      </w:tr>
      <w:tr w:rsidR="00CD2C19" w14:paraId="3E2B53A5"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max_depth</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 12]</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4</w:t>
            </w:r>
          </w:p>
        </w:tc>
      </w:tr>
      <w:tr w:rsidR="00CD2C19" w14:paraId="7CC21DA1"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learning_rate</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[0.005, 0.3]</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0.005084</w:t>
            </w:r>
          </w:p>
        </w:tc>
      </w:tr>
      <w:tr w:rsidR="00CD2C19" w14:paraId="795C23CF"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min_samples_leaf</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[5, 40]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17</w:t>
            </w:r>
          </w:p>
        </w:tc>
      </w:tr>
      <w:tr w:rsidR="00CD2C19" w14:paraId="22BB90FB"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l2_regularization</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[1×10⁻⁴,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0.010742</w:t>
            </w:r>
          </w:p>
        </w:tc>
      </w:tr>
      <w:tr w:rsidR="00CD2C19" w14:paraId="40770447"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max_leaf_nodes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[10, 80]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54</w:t>
            </w:r>
          </w:p>
        </w:tc>
      </w:tr>
      <w:tr w:rsidR="00CD2C19" w14:paraId="57DD1A9C"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t>XGBoost</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n_estimators</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[100, 600], step 50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350</w:t>
            </w:r>
          </w:p>
        </w:tc>
      </w:tr>
      <w:tr w:rsidR="00CD2C19" w14:paraId="1AA0A9C0"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max_depth</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[2,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9</w:t>
            </w:r>
          </w:p>
        </w:tc>
      </w:tr>
      <w:tr w:rsidR="00CD2C19" w14:paraId="2D6101C8"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learning_rate</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[0.005, 0.3]</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0.012106</w:t>
            </w:r>
          </w:p>
        </w:tc>
      </w:tr>
      <w:tr w:rsidR="00CD2C19" w14:paraId="2C86E9F0"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subsample</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[0.5,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0.5225</w:t>
            </w:r>
          </w:p>
        </w:tc>
      </w:tr>
      <w:tr w:rsidR="00CD2C19" w14:paraId="5A0A756F"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colsample_bytree</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[0.5,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0.7585</w:t>
            </w:r>
          </w:p>
        </w:tc>
      </w:tr>
      <w:tr w:rsidR="00CD2C19" w14:paraId="3C4D65E2"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reg_alpha</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[1×10⁻⁴,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0.083665</w:t>
            </w:r>
          </w:p>
        </w:tc>
      </w:tr>
      <w:tr w:rsidR="00CD2C19" w14:paraId="7CEF1A0E"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reg_lambda</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[1×10⁻⁴, 10]</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Float, log-uniform</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0.027204</w:t>
            </w:r>
          </w:p>
        </w:tc>
      </w:tr>
      <w:tr w:rsidR="00CD2C19" w14:paraId="2EB8B34E" w14:textId="77777777">
        <w:tc>
          <w:tcPr>
            <w:tcW w:w="1728" w:type="dxa"/>
            <w:vAlign w:val="center"/>
            <w:tcMar>
              <w:top w:w="80" w:type="dxa"/>
              <w:start w:w="90" w:type="dxa"/>
              <w:bottom w:w="80" w:type="dxa"/>
              <w:end w:w="90" w:type="dxa"/>
            </w:tcMar>
          </w:tcPr>
          <w:p>
            <w:pPr>
              <w:spacing w:before="0" w:after="0" w:line="240" w:lineRule="auto"/>
              <w:jc w:val="left"/>
            </w:pPr>
            <w:r>
              <w:rPr>
                <w:rFonts w:ascii="Times New Roman" w:hAnsi="Times New Roman"/>
                <w:b w:val="0"/>
                <w:sz w:val="16"/>
              </w:rPr>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min_child_weight</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[1, 8]</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Integer, linear</w:t>
            </w:r>
          </w:p>
        </w:tc>
        <w:tc>
          <w:tcPr>
            <w:tcW w:w="1728" w:type="dxa"/>
            <w:vAlign w:val="center"/>
            <w:tcMar>
              <w:top w:w="80" w:type="dxa"/>
              <w:start w:w="90" w:type="dxa"/>
              <w:bottom w:w="80" w:type="dxa"/>
              <w:end w:w="90" w:type="dxa"/>
            </w:tcMar>
          </w:tcPr>
          <w:p>
            <w:pPr>
              <w:spacing w:before="0" w:after="0" w:line="240" w:lineRule="auto"/>
              <w:jc w:val="center"/>
            </w:pPr>
            <w:r>
              <w:rPr>
                <w:rFonts w:ascii="Times New Roman" w:hAnsi="Times New Roman"/>
                <w:b w:val="0"/>
                <w:sz w:val="16"/>
              </w:rPr>
              <w:t>7</w:t>
            </w:r>
          </w:p>
        </w:tc>
      </w:tr>
    </w:tbl>
    <w:p w14:paraId="7EC3754C" w14:textId="77777777" w:rsidR="00CD2C19" w:rsidRDefault="00631C19">
      <w:pPr>
        <w:spacing w:before="120" w:after="0" w:line="240" w:lineRule="auto"/>
        <w:jc w:val="left"/>
      </w:pPr>
      <w:r>
        <w:rPr>
          <w:rFonts w:ascii="Times New Roman" w:hAnsi="Times New Roman"/>
          <w:i/>
          <w:sz w:val="18"/>
        </w:rPr>
        <w:t xml:space="preserve">Note: </w:t>
      </w:r>
      <w:r>
        <w:rPr>
          <w:rFonts w:ascii="Times New Roman" w:hAnsi="Times New Roman"/>
          <w:sz w:val="18"/>
        </w:rPr>
        <w:t>The five baseline models were optimized with Optuna (TPE sampler, seed = 42; 100 trials; five-fold cross-validation). Square brackets denote continuous or integer ranges; braces denote categorical or discrete sets. Parameters not listed were left at package defaults with random_state = 42. The selected values apply to the reference S2 configuration. S1 and S3 were optimized separately under the same protocol.</w:t>
      </w:r>
    </w:p>
    <w:p>
      <w:pPr>
        <w:spacing w:before="80" w:after="0" w:line="240" w:lineRule="auto"/>
        <w:jc w:val="both"/>
      </w:pPr>
      <w:r>
        <w:rPr>
          <w:rFonts w:ascii="Times New Roman" w:hAnsi="Times New Roman"/>
          <w:b/>
          <w:i w:val="0"/>
          <w:sz w:val="17"/>
        </w:rPr>
        <w:t xml:space="preserve">Interpretation: </w:t>
      </w:r>
      <w:r>
        <w:rPr>
          <w:rFonts w:ascii="Times New Roman" w:hAnsi="Times New Roman"/>
          <w:b w:val="0"/>
          <w:i w:val="0"/>
          <w:sz w:val="17"/>
        </w:rPr>
        <w:t>Table S2 reports the search domain, sampling scale, and selected value for each reported hyperparameter. Together with the preprocessing, data-split, software-version, random-seed, and optimization details in the manuscript, it supports reproducibility; the table is not by itself a complete end-to-end specification. Log-uniform sampling was used for the learning rate, C, γ, and regularization coefficients because these parameters span several orders of magnitude, thereby giving balanced coverage to multiplicative intervals. None of the Optuna-selected values for the five baseline models fell exactly on a search boundary. The HistGradientBoosting max_iter value of 700 is close to the upper bound of 800 and is consistent with its low learning_rate of 0.005084, since smaller boosting steps generally require more iterations; this does not establish 700 as optimal outside the evaluated data and protocol. SVR was implemented as ν-SVR with a radial basis function kernel, so ν, C, and γ, rather than ε, were optimized. TabPFN was not optimized with Optuna; only n_estimators, representing the ensemble size, was assessed on the discrete grid {4, 8, 16, 32}, with 4 selected. Because 4 is the lower grid boundary, the no-boundary statement applies only to the five Optuna-tuned baseline models.</w:t>
      </w:r>
    </w:p>
    <w:sectPr w:rsidR="00CD2C19"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172B"/>
    <w:rsid w:val="00603150"/>
    <w:rsid w:val="00631C19"/>
    <w:rsid w:val="008310C2"/>
    <w:rsid w:val="00A5434E"/>
    <w:rsid w:val="00AA1D8D"/>
    <w:rsid w:val="00B47730"/>
    <w:rsid w:val="00CB0664"/>
    <w:rsid w:val="00CD2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ACDF3"/>
  <w14:defaultImageDpi w14:val="300"/>
  <w15:docId w15:val="{4BF471FE-FD4D-4FCB-B2C7-952D36F3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92CDC-502A-4432-8E0B-D578A8A1A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321</Words>
  <Characters>1835</Characters>
  <Application>Microsoft Office Word</Application>
  <DocSecurity>0</DocSecurity>
  <Lines>15</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ASUS-WORKSTATION</cp:lastModifiedBy>
  <cp:revision>4</cp:revision>
  <dcterms:created xsi:type="dcterms:W3CDTF">2026-08-06T16:02:00Z</dcterms:created>
  <dcterms:modified xsi:type="dcterms:W3CDTF">2026-08-06T16:04:00Z</dcterms:modified>
  <cp:category/>
</cp:coreProperties>
</file>