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Times New Roman" w:hAnsi="Times New Roman"/>
          <w:b/>
          <w:sz w:val="20"/>
        </w:rPr>
        <w:t>Supplementary Table S3. Computational cost on the reported workstation (20-thread CPU, NVIDIA RTX 4050 Laptop GPU with 6 GB, Windows 11).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Model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Hyperparameter search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Search time (s)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5-fold CV (s)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Final fit (s)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Prediction (s)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Hardware</w:t>
            </w:r>
          </w:p>
        </w:tc>
      </w:tr>
      <w:tr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TabPFN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No Optuna search; four-value n_estimators grid reported in Table S2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0.0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4.73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0.226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0.288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GPU</w:t>
            </w:r>
          </w:p>
        </w:tc>
      </w:tr>
      <w:tr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SVR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Optuna TPE, 100 trials × 5-fold CV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11.7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0.12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0.021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0.006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CPU</w:t>
            </w:r>
          </w:p>
        </w:tc>
      </w:tr>
      <w:tr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ExtraTrees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Optuna TPE, 100 trials × 5-fold CV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118.1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0.84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0.138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0.038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CPU</w:t>
            </w:r>
          </w:p>
        </w:tc>
      </w:tr>
      <w:tr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RandomForest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Optuna TPE, 100 trials × 5-fold CV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160.2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0.95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0.152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0.036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CPU</w:t>
            </w:r>
          </w:p>
        </w:tc>
      </w:tr>
      <w:tr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XGBoost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Optuna TPE, 100 trials × 5-fold CV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182.0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1.02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0.218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0.007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CPU</w:t>
            </w:r>
          </w:p>
        </w:tc>
      </w:tr>
      <w:tr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HGB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Optuna TPE, 100 trials × 5-fold CV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1341.8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15.92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3.412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0.080</w:t>
            </w:r>
          </w:p>
        </w:tc>
        <w:tc>
          <w:tcPr>
            <w:tcW w:type="dxa" w:w="21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CPU</w:t>
            </w:r>
          </w:p>
        </w:tc>
      </w:tr>
    </w:tbl>
    <w:p>
      <w:pPr>
        <w:spacing w:before="120" w:after="0" w:line="240" w:lineRule="auto"/>
        <w:jc w:val="both"/>
      </w:pPr>
      <w:r>
        <w:rPr>
          <w:rFonts w:ascii="Times New Roman" w:hAnsi="Times New Roman"/>
          <w:b w:val="0"/>
          <w:i/>
          <w:sz w:val="18"/>
        </w:rPr>
        <w:t xml:space="preserve">Note: </w:t>
      </w:r>
      <w:r>
        <w:rPr>
          <w:rFonts w:ascii="Times New Roman" w:hAnsi="Times New Roman"/>
          <w:b w:val="0"/>
          <w:i w:val="0"/>
          <w:sz w:val="18"/>
        </w:rPr>
        <w:t>The five baseline searches together required 1813.8 s (approximately 30.2 min). For TabPFN, a search time of 0.0 s denotes the absence of an Optuna/TPE search and excludes the four-value n_estimators comparison documented in Supplementary Table S2. Software: Python 3.13.0, PyTorch 2.7.1 (CUDA 11.8), tabpfn 7.1.1, scikit-learn 1.7.2, XGBoost 3.1.2, and Optuna 4.8.0. TabPFN was run on the GPU; the baseline models were run on the CPU, so absolute timing comparisons are hardware dependent.</w:t>
      </w:r>
    </w:p>
    <w:p>
      <w:pPr>
        <w:spacing w:before="120" w:after="0" w:line="240" w:lineRule="auto"/>
        <w:jc w:val="both"/>
      </w:pPr>
      <w:r>
        <w:rPr>
          <w:rFonts w:ascii="Times New Roman" w:hAnsi="Times New Roman"/>
          <w:b/>
          <w:i w:val="0"/>
          <w:sz w:val="18"/>
        </w:rPr>
        <w:t xml:space="preserve">Interpretation: </w:t>
      </w:r>
      <w:r>
        <w:rPr>
          <w:rFonts w:ascii="Times New Roman" w:hAnsi="Times New Roman"/>
          <w:b w:val="0"/>
          <w:i w:val="0"/>
          <w:sz w:val="18"/>
        </w:rPr>
        <w:t>Table S3 separates the reported computational cost into hyperparameter search, five-fold cross-validation, final fitting, and prediction. On the reported workstation, TabPFN required 0.226 s for final fitting and 0.288 s for prediction, whereas the five 100-trial baseline searches summed to 1813.8 s; HistGradientBoosting accounted for 1341.8 s (approximately 22.4 min). The table does not isolate the causal contribution of individual hyperparameters to runtime. The comparatively iteration-intensive HistGradientBoosting search space, including max_iter values up to 800, is a plausible contributor to its cost, but it should not be presented as the sole demonstrated cause. Dividing 1813.8 s by TabPFN's final-fit-plus-prediction time of 0.514 s gives approximately 3529. This is a descriptive workflow-level contrast between the combined search burden of all five baselines and one TabPFN fit-and-prediction run, not a 3500-fold model-level speedup. If TabPFN's reported 4.73-s five-fold cross-validation time is also included, the corresponding arithmetic ratio is approximately 346. TabPFN's prediction time exceeding its fit time is consistent with its pretrained in-context operation: fit does not perform dataset-specific gradient optimization, whereas prediction invokes transformer forward computation conditioned on the training data. Consequently, these measurements characterize the end-to-end workflow on this specific workstation and protocol; they do not establish hardware-independent computational superiority.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