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ab280e823e21cbefd991a1ff0208fc8c758ea1d"/>
      <w:r>
        <w:t xml:space="preserve">Turkish Land Registry &amp; Cadastre GIS Data Integration Analysis</w:t>
      </w:r>
      <w:bookmarkEnd w:id="20"/>
    </w:p>
    <w:p>
      <w:pPr>
        <w:pStyle w:val="Heading2"/>
      </w:pPr>
      <w:bookmarkStart w:id="21" w:name="X14a4e892fc5cf87ed5c9d62d767d92da0bb1657"/>
      <w:r>
        <w:t xml:space="preserve">IA Platform - Government Data Access &amp; Integration Feasibility</w:t>
      </w:r>
      <w:bookmarkEnd w:id="21"/>
    </w:p>
    <w:p>
      <w:pPr>
        <w:pStyle w:val="FirstParagraph"/>
      </w:pPr>
      <w:r>
        <w:rPr>
          <w:b/>
        </w:rPr>
        <w:t xml:space="preserve">Date:</w:t>
      </w:r>
      <w:r>
        <w:t xml:space="preserve"> </w:t>
      </w:r>
      <w:r>
        <w:t xml:space="preserve">August 2026</w:t>
      </w:r>
      <w:r>
        <w:br/>
      </w:r>
      <w:r>
        <w:rPr>
          <w:b/>
        </w:rPr>
        <w:t xml:space="preserve">Status:</w:t>
      </w:r>
      <w:r>
        <w:t xml:space="preserve"> </w:t>
      </w:r>
      <w:r>
        <w:t xml:space="preserve">Research Report</w:t>
      </w:r>
    </w:p>
    <w:p>
      <w:r>
        <w:pict>
          <v:rect style="width:0;height:1.5pt" o:hralign="center" o:hrstd="t" o:hr="t"/>
        </w:pict>
      </w:r>
    </w:p>
    <w:p>
      <w:pPr>
        <w:pStyle w:val="Heading2"/>
      </w:pPr>
      <w:bookmarkStart w:id="22" w:name="executive-summary"/>
      <w:r>
        <w:t xml:space="preserve">EXECUTIVE SUMMARY</w:t>
      </w:r>
      <w:bookmarkEnd w:id="22"/>
    </w:p>
    <w:p>
      <w:pPr>
        <w:pStyle w:val="FirstParagraph"/>
      </w:pPr>
      <w:r>
        <w:rPr>
          <w:b/>
        </w:rPr>
        <w:t xml:space="preserve">YES, IA Platform can technically integrate Turkish Land Registry and Cadastre (Tapu Kadastro) GIS data into the platform, BUT with specific conditions regarding data access, licensing, and partnership requirements.</w:t>
      </w:r>
    </w:p>
    <w:p>
      <w:pPr>
        <w:pStyle w:val="Heading3"/>
      </w:pPr>
      <w:bookmarkStart w:id="23" w:name="key-findings"/>
      <w:r>
        <w:t xml:space="preserve">Key Findings</w:t>
      </w:r>
      <w:bookmarkEnd w:id="23"/>
    </w:p>
    <w:p>
      <w:pPr>
        <w:numPr>
          <w:ilvl w:val="0"/>
          <w:numId w:val="1001"/>
        </w:numPr>
        <w:pStyle w:val="Compact"/>
      </w:pPr>
      <w:r>
        <w:t xml:space="preserve">Turkish government operates three integrated cadastral systems with GIS capabilities</w:t>
      </w:r>
    </w:p>
    <w:p>
      <w:pPr>
        <w:numPr>
          <w:ilvl w:val="0"/>
          <w:numId w:val="1001"/>
        </w:numPr>
        <w:pStyle w:val="Compact"/>
      </w:pPr>
      <w:r>
        <w:t xml:space="preserve">Data access available through multiple channels (WMS/WFS/WMTS services, e-Government portal, data sharing agreements)</w:t>
      </w:r>
    </w:p>
    <w:p>
      <w:pPr>
        <w:numPr>
          <w:ilvl w:val="0"/>
          <w:numId w:val="1001"/>
        </w:numPr>
        <w:pStyle w:val="Compact"/>
      </w:pPr>
      <w:r>
        <w:t xml:space="preserve">Technical integration is feasible using standard geospatial web services</w:t>
      </w:r>
    </w:p>
    <w:p>
      <w:pPr>
        <w:numPr>
          <w:ilvl w:val="0"/>
          <w:numId w:val="1001"/>
        </w:numPr>
        <w:pStyle w:val="Compact"/>
      </w:pPr>
      <w:r>
        <w:t xml:space="preserve">Government partnership/data sharing agreement required for commercial use</w:t>
      </w:r>
    </w:p>
    <w:p>
      <w:pPr>
        <w:numPr>
          <w:ilvl w:val="0"/>
          <w:numId w:val="1001"/>
        </w:numPr>
        <w:pStyle w:val="Compact"/>
      </w:pPr>
      <w:r>
        <w:t xml:space="preserve">LPIS (Land Parcel Identification System) data highly compatible with agricultural monitoring</w:t>
      </w:r>
    </w:p>
    <w:p>
      <w:pPr>
        <w:numPr>
          <w:ilvl w:val="0"/>
          <w:numId w:val="1001"/>
        </w:numPr>
        <w:pStyle w:val="Compact"/>
      </w:pPr>
      <w:r>
        <w:t xml:space="preserve">TARBIL system (Agricultural Ministry) offers precedent for private-sector agricultural data integration</w:t>
      </w:r>
    </w:p>
    <w:p>
      <w:r>
        <w:pict>
          <v:rect style="width:0;height:1.5pt" o:hralign="center" o:hrstd="t" o:hr="t"/>
        </w:pict>
      </w:r>
    </w:p>
    <w:p>
      <w:pPr>
        <w:pStyle w:val="Heading2"/>
      </w:pPr>
      <w:bookmarkStart w:id="24" w:name="turkish-government-cadastral-systems"/>
      <w:r>
        <w:t xml:space="preserve">1. TURKISH GOVERNMENT CADASTRAL SYSTEMS</w:t>
      </w:r>
      <w:bookmarkEnd w:id="24"/>
    </w:p>
    <w:p>
      <w:pPr>
        <w:pStyle w:val="Heading3"/>
      </w:pPr>
      <w:bookmarkStart w:id="25" w:name="Xff5a4b6dd49975e8552b760179ea8c9d5854843"/>
      <w:r>
        <w:t xml:space="preserve">1.1 Land Registry and Cadastre Directorate (Tapu ve Kadastro Genel Müdürlüğü - TKGM)</w:t>
      </w:r>
      <w:bookmarkEnd w:id="25"/>
    </w:p>
    <w:p>
      <w:pPr>
        <w:pStyle w:val="FirstParagraph"/>
      </w:pPr>
      <w:r>
        <w:rPr>
          <w:b/>
        </w:rPr>
        <w:t xml:space="preserve">Primary System:</w:t>
      </w:r>
      <w:r>
        <w:t xml:space="preserve"> </w:t>
      </w:r>
      <w:r>
        <w:t xml:space="preserve">TAKBİS (Land Registry and Cadastre Information System)</w:t>
      </w:r>
    </w:p>
    <w:p>
      <w:pPr>
        <w:numPr>
          <w:ilvl w:val="0"/>
          <w:numId w:val="1002"/>
        </w:numPr>
        <w:pStyle w:val="Compact"/>
      </w:pPr>
      <w:r>
        <w:rPr>
          <w:b/>
        </w:rPr>
        <w:t xml:space="preserve">Coverage:</w:t>
      </w:r>
      <w:r>
        <w:t xml:space="preserve"> </w:t>
      </w:r>
      <w:r>
        <w:t xml:space="preserve">58+ million parcels in Turkey</w:t>
      </w:r>
    </w:p>
    <w:p>
      <w:pPr>
        <w:numPr>
          <w:ilvl w:val="0"/>
          <w:numId w:val="1002"/>
        </w:numPr>
        <w:pStyle w:val="Compact"/>
      </w:pPr>
      <w:r>
        <w:rPr>
          <w:b/>
        </w:rPr>
        <w:t xml:space="preserve">Digitization:</w:t>
      </w:r>
      <w:r>
        <w:t xml:space="preserve"> </w:t>
      </w:r>
      <w:r>
        <w:t xml:space="preserve">~58.5 million parcels digitized since 1924</w:t>
      </w:r>
    </w:p>
    <w:p>
      <w:pPr>
        <w:numPr>
          <w:ilvl w:val="0"/>
          <w:numId w:val="1002"/>
        </w:numPr>
        <w:pStyle w:val="Compact"/>
      </w:pPr>
      <w:r>
        <w:rPr>
          <w:b/>
        </w:rPr>
        <w:t xml:space="preserve">Technology:</w:t>
      </w:r>
      <w:r>
        <w:t xml:space="preserve"> </w:t>
      </w:r>
      <w:r>
        <w:t xml:space="preserve">Advanced GIS and database systems</w:t>
      </w:r>
    </w:p>
    <w:p>
      <w:pPr>
        <w:numPr>
          <w:ilvl w:val="0"/>
          <w:numId w:val="1002"/>
        </w:numPr>
        <w:pStyle w:val="Compact"/>
      </w:pPr>
      <w:r>
        <w:rPr>
          <w:b/>
        </w:rPr>
        <w:t xml:space="preserve">Accessibility:</w:t>
      </w:r>
      <w:r>
        <w:t xml:space="preserve"> </w:t>
      </w:r>
      <w:r>
        <w:t xml:space="preserve">Digital search available in seconds</w:t>
      </w:r>
    </w:p>
    <w:p>
      <w:pPr>
        <w:pStyle w:val="FirstParagraph"/>
      </w:pPr>
      <w:r>
        <w:rPr>
          <w:b/>
        </w:rPr>
        <w:t xml:space="preserve">GIS Infrastructure:</w:t>
      </w:r>
    </w:p>
    <w:p>
      <w:pPr>
        <w:numPr>
          <w:ilvl w:val="0"/>
          <w:numId w:val="1003"/>
        </w:numPr>
        <w:pStyle w:val="Compact"/>
      </w:pPr>
      <w:r>
        <w:rPr>
          <w:b/>
        </w:rPr>
        <w:t xml:space="preserve">National System:</w:t>
      </w:r>
      <w:r>
        <w:t xml:space="preserve"> </w:t>
      </w:r>
      <w:r>
        <w:t xml:space="preserve">TRGIS (Turkey’s National Geographic Information System)</w:t>
      </w:r>
    </w:p>
    <w:p>
      <w:pPr>
        <w:numPr>
          <w:ilvl w:val="0"/>
          <w:numId w:val="1003"/>
        </w:numPr>
        <w:pStyle w:val="Compact"/>
      </w:pPr>
      <w:r>
        <w:rPr>
          <w:b/>
        </w:rPr>
        <w:t xml:space="preserve">Portal:</w:t>
      </w:r>
      <w:r>
        <w:t xml:space="preserve"> </w:t>
      </w:r>
      <w:r>
        <w:t xml:space="preserve">Geoportal/National SDI Project</w:t>
      </w:r>
    </w:p>
    <w:p>
      <w:pPr>
        <w:numPr>
          <w:ilvl w:val="0"/>
          <w:numId w:val="1003"/>
        </w:numPr>
        <w:pStyle w:val="Compact"/>
      </w:pPr>
      <w:r>
        <w:rPr>
          <w:b/>
        </w:rPr>
        <w:t xml:space="preserve">Data Themes:</w:t>
      </w:r>
      <w:r>
        <w:t xml:space="preserve"> </w:t>
      </w:r>
      <w:r>
        <w:t xml:space="preserve">Land Registry &amp; Cadastre (TK), Land Cover (AR)</w:t>
      </w:r>
    </w:p>
    <w:p>
      <w:pPr>
        <w:numPr>
          <w:ilvl w:val="0"/>
          <w:numId w:val="1003"/>
        </w:numPr>
        <w:pStyle w:val="Compact"/>
      </w:pPr>
      <w:r>
        <w:rPr>
          <w:b/>
        </w:rPr>
        <w:t xml:space="preserve">Standards:</w:t>
      </w:r>
      <w:r>
        <w:t xml:space="preserve"> </w:t>
      </w:r>
      <w:r>
        <w:t xml:space="preserve">ISO/TC211, INSPIRE specifications</w:t>
      </w:r>
    </w:p>
    <w:p>
      <w:pPr>
        <w:pStyle w:val="Heading3"/>
      </w:pPr>
      <w:bookmarkStart w:id="26" w:name="megsis-spatial-real-estate-system"/>
      <w:r>
        <w:t xml:space="preserve">1.2 MEGSİS (Spatial Real Estate System)</w:t>
      </w:r>
      <w:bookmarkEnd w:id="26"/>
    </w:p>
    <w:p>
      <w:pPr>
        <w:pStyle w:val="FirstParagraph"/>
      </w:pPr>
      <w:r>
        <w:rPr>
          <w:b/>
        </w:rPr>
        <w:t xml:space="preserve">Open-Source Application by TKGM</w:t>
      </w:r>
    </w:p>
    <w:p>
      <w:pPr>
        <w:numPr>
          <w:ilvl w:val="0"/>
          <w:numId w:val="1004"/>
        </w:numPr>
        <w:pStyle w:val="Compact"/>
      </w:pPr>
      <w:r>
        <w:t xml:space="preserve">Centrally collects .cad-based data from cadastral offices</w:t>
      </w:r>
    </w:p>
    <w:p>
      <w:pPr>
        <w:numPr>
          <w:ilvl w:val="0"/>
          <w:numId w:val="1004"/>
        </w:numPr>
        <w:pStyle w:val="Compact"/>
      </w:pPr>
      <w:r>
        <w:t xml:space="preserve">Matches data with land registry information</w:t>
      </w:r>
    </w:p>
    <w:p>
      <w:pPr>
        <w:numPr>
          <w:ilvl w:val="0"/>
          <w:numId w:val="1004"/>
        </w:numPr>
        <w:pStyle w:val="Compact"/>
      </w:pPr>
      <w:r>
        <w:t xml:space="preserve">Shares data with stakeholder institutions and municipalities</w:t>
      </w:r>
    </w:p>
    <w:p>
      <w:pPr>
        <w:numPr>
          <w:ilvl w:val="0"/>
          <w:numId w:val="1004"/>
        </w:numPr>
        <w:pStyle w:val="Compact"/>
      </w:pPr>
      <w:r>
        <w:t xml:space="preserve">Accessible via e-Government portal</w:t>
      </w:r>
    </w:p>
    <w:p>
      <w:pPr>
        <w:pStyle w:val="FirstParagraph"/>
      </w:pPr>
      <w:r>
        <w:rPr>
          <w:b/>
        </w:rPr>
        <w:t xml:space="preserve">Data Sharing Services:</w:t>
      </w:r>
    </w:p>
    <w:p>
      <w:pPr>
        <w:numPr>
          <w:ilvl w:val="0"/>
          <w:numId w:val="1005"/>
        </w:numPr>
        <w:pStyle w:val="Compact"/>
      </w:pPr>
      <w:r>
        <w:rPr>
          <w:b/>
        </w:rPr>
        <w:t xml:space="preserve">WMS (Web Map Service):</w:t>
      </w:r>
      <w:r>
        <w:t xml:space="preserve"> </w:t>
      </w:r>
      <w:r>
        <w:t xml:space="preserve">Standard map service layer</w:t>
      </w:r>
    </w:p>
    <w:p>
      <w:pPr>
        <w:numPr>
          <w:ilvl w:val="0"/>
          <w:numId w:val="1005"/>
        </w:numPr>
        <w:pStyle w:val="Compact"/>
      </w:pPr>
      <w:r>
        <w:rPr>
          <w:b/>
        </w:rPr>
        <w:t xml:space="preserve">WFS (Web Feature Service):</w:t>
      </w:r>
      <w:r>
        <w:t xml:space="preserve"> </w:t>
      </w:r>
      <w:r>
        <w:t xml:space="preserve">Feature data access</w:t>
      </w:r>
    </w:p>
    <w:p>
      <w:pPr>
        <w:numPr>
          <w:ilvl w:val="0"/>
          <w:numId w:val="1005"/>
        </w:numPr>
        <w:pStyle w:val="Compact"/>
      </w:pPr>
      <w:r>
        <w:rPr>
          <w:b/>
        </w:rPr>
        <w:t xml:space="preserve">WMTS (Web Map Tile Service):</w:t>
      </w:r>
      <w:r>
        <w:t xml:space="preserve"> </w:t>
      </w:r>
      <w:r>
        <w:t xml:space="preserve">Tiled map access</w:t>
      </w:r>
    </w:p>
    <w:p>
      <w:pPr>
        <w:numPr>
          <w:ilvl w:val="0"/>
          <w:numId w:val="1005"/>
        </w:numPr>
        <w:pStyle w:val="Compact"/>
      </w:pPr>
      <w:r>
        <w:rPr>
          <w:b/>
        </w:rPr>
        <w:t xml:space="preserve">TMS (Tile Map Service):</w:t>
      </w:r>
      <w:r>
        <w:t xml:space="preserve"> </w:t>
      </w:r>
      <w:r>
        <w:t xml:space="preserve">Orthophoto tiles</w:t>
      </w:r>
    </w:p>
    <w:p>
      <w:pPr>
        <w:numPr>
          <w:ilvl w:val="0"/>
          <w:numId w:val="1005"/>
        </w:numPr>
        <w:pStyle w:val="Compact"/>
      </w:pPr>
      <w:r>
        <w:rPr>
          <w:b/>
        </w:rPr>
        <w:t xml:space="preserve">Basic Parcel Information:</w:t>
      </w:r>
      <w:r>
        <w:t xml:space="preserve"> </w:t>
      </w:r>
      <w:r>
        <w:t xml:space="preserve">Publicly accessible without restrictions</w:t>
      </w:r>
    </w:p>
    <w:p>
      <w:pPr>
        <w:pStyle w:val="Heading3"/>
      </w:pPr>
      <w:bookmarkStart w:id="27" w:name="lpis-land-parcel-identification-system"/>
      <w:r>
        <w:t xml:space="preserve">1.3 LPIS (Land Parcel Identification System)</w:t>
      </w:r>
      <w:bookmarkEnd w:id="27"/>
    </w:p>
    <w:p>
      <w:pPr>
        <w:pStyle w:val="FirstParagraph"/>
      </w:pPr>
      <w:r>
        <w:rPr>
          <w:b/>
        </w:rPr>
        <w:t xml:space="preserve">Agricultural Focus - Ministry of Agriculture</w:t>
      </w:r>
    </w:p>
    <w:p>
      <w:pPr>
        <w:numPr>
          <w:ilvl w:val="0"/>
          <w:numId w:val="1006"/>
        </w:numPr>
        <w:pStyle w:val="Compact"/>
      </w:pPr>
      <w:r>
        <w:rPr>
          <w:b/>
        </w:rPr>
        <w:t xml:space="preserve">Coverage:</w:t>
      </w:r>
      <w:r>
        <w:t xml:space="preserve"> </w:t>
      </w:r>
      <w:r>
        <w:t xml:space="preserve">13.5 million physical blocks</w:t>
      </w:r>
    </w:p>
    <w:p>
      <w:pPr>
        <w:numPr>
          <w:ilvl w:val="0"/>
          <w:numId w:val="1006"/>
        </w:numPr>
        <w:pStyle w:val="Compact"/>
      </w:pPr>
      <w:r>
        <w:rPr>
          <w:b/>
        </w:rPr>
        <w:t xml:space="preserve">Digitization:</w:t>
      </w:r>
      <w:r>
        <w:t xml:space="preserve"> </w:t>
      </w:r>
      <w:r>
        <w:t xml:space="preserve">Completed in 2016 using 30cm resolution orthophoto</w:t>
      </w:r>
    </w:p>
    <w:p>
      <w:pPr>
        <w:numPr>
          <w:ilvl w:val="0"/>
          <w:numId w:val="1006"/>
        </w:numPr>
        <w:pStyle w:val="Compact"/>
      </w:pPr>
      <w:r>
        <w:rPr>
          <w:b/>
        </w:rPr>
        <w:t xml:space="preserve">Data Source:</w:t>
      </w:r>
      <w:r>
        <w:t xml:space="preserve"> </w:t>
      </w:r>
      <w:r>
        <w:t xml:space="preserve">Multi-temporal Sentinel-2 satellite imagery</w:t>
      </w:r>
    </w:p>
    <w:p>
      <w:pPr>
        <w:numPr>
          <w:ilvl w:val="0"/>
          <w:numId w:val="1006"/>
        </w:numPr>
        <w:pStyle w:val="Compact"/>
      </w:pPr>
      <w:r>
        <w:rPr>
          <w:b/>
        </w:rPr>
        <w:t xml:space="preserve">Purpose:</w:t>
      </w:r>
      <w:r>
        <w:t xml:space="preserve"> </w:t>
      </w:r>
      <w:r>
        <w:t xml:space="preserve">Agricultural subsidy monitoring and area-based payments</w:t>
      </w:r>
    </w:p>
    <w:p>
      <w:pPr>
        <w:pStyle w:val="FirstParagraph"/>
      </w:pPr>
      <w:r>
        <w:rPr>
          <w:b/>
        </w:rPr>
        <w:t xml:space="preserve">LPIS Characteristics:</w:t>
      </w:r>
    </w:p>
    <w:p>
      <w:pPr>
        <w:numPr>
          <w:ilvl w:val="0"/>
          <w:numId w:val="1007"/>
        </w:numPr>
        <w:pStyle w:val="Compact"/>
      </w:pPr>
      <w:r>
        <w:t xml:space="preserve">Spatial register with exact parcel position, size, and unique identifier</w:t>
      </w:r>
    </w:p>
    <w:p>
      <w:pPr>
        <w:numPr>
          <w:ilvl w:val="0"/>
          <w:numId w:val="1007"/>
        </w:numPr>
        <w:pStyle w:val="Compact"/>
      </w:pPr>
      <w:r>
        <w:t xml:space="preserve">Land cover and land use classification at country scale</w:t>
      </w:r>
    </w:p>
    <w:p>
      <w:pPr>
        <w:numPr>
          <w:ilvl w:val="0"/>
          <w:numId w:val="1007"/>
        </w:numPr>
        <w:pStyle w:val="Compact"/>
      </w:pPr>
      <w:r>
        <w:t xml:space="preserve">Created from free Sentinel-2 imagery (compatible with IA’s satellite data strategy)</w:t>
      </w:r>
    </w:p>
    <w:p>
      <w:pPr>
        <w:numPr>
          <w:ilvl w:val="0"/>
          <w:numId w:val="1007"/>
        </w:numPr>
        <w:pStyle w:val="Compact"/>
      </w:pPr>
      <w:r>
        <w:t xml:space="preserve">Part of Integrated Administration and Control System (IACS)</w:t>
      </w:r>
    </w:p>
    <w:p>
      <w:r>
        <w:pict>
          <v:rect style="width:0;height:1.5pt" o:hralign="center" o:hrstd="t" o:hr="t"/>
        </w:pict>
      </w:r>
    </w:p>
    <w:p>
      <w:pPr>
        <w:pStyle w:val="Heading2"/>
      </w:pPr>
      <w:bookmarkStart w:id="28" w:name="Xb3727d799e329fcd9344032db13107b424e695d"/>
      <w:r>
        <w:t xml:space="preserve">2. DATA ACCESS CHANNELS &amp; TECHNICAL REQUIREMENTS</w:t>
      </w:r>
      <w:bookmarkEnd w:id="28"/>
    </w:p>
    <w:p>
      <w:pPr>
        <w:pStyle w:val="Heading3"/>
      </w:pPr>
      <w:bookmarkStart w:id="29" w:name="public-data-access-openrestricted"/>
      <w:r>
        <w:t xml:space="preserve">2.1 Public Data Access (Open/Restricted)</w:t>
      </w:r>
      <w:bookmarkEnd w:id="29"/>
    </w:p>
    <w:p>
      <w:pPr>
        <w:pStyle w:val="Heading4"/>
      </w:pPr>
      <w:bookmarkStart w:id="30" w:name="Xe2026444006133a4530a77e9eaf86539244df71"/>
      <w:r>
        <w:t xml:space="preserve">Level 1: Basic Information (Public - No License Required)</w:t>
      </w:r>
      <w:bookmarkEnd w:id="30"/>
    </w:p>
    <w:p>
      <w:pPr>
        <w:pStyle w:val="FirstParagraph"/>
      </w:pPr>
      <w:r>
        <w:rPr>
          <w:b/>
        </w:rPr>
        <w:t xml:space="preserve">Accessible Data:</w:t>
      </w:r>
    </w:p>
    <w:p>
      <w:pPr>
        <w:numPr>
          <w:ilvl w:val="0"/>
          <w:numId w:val="1008"/>
        </w:numPr>
        <w:pStyle w:val="Compact"/>
      </w:pPr>
      <w:r>
        <w:t xml:space="preserve">Basic parcel information (location, size, unique ID)</w:t>
      </w:r>
    </w:p>
    <w:p>
      <w:pPr>
        <w:numPr>
          <w:ilvl w:val="0"/>
          <w:numId w:val="1008"/>
        </w:numPr>
        <w:pStyle w:val="Compact"/>
      </w:pPr>
      <w:r>
        <w:t xml:space="preserve">Orthophoto maps</w:t>
      </w:r>
    </w:p>
    <w:p>
      <w:pPr>
        <w:numPr>
          <w:ilvl w:val="0"/>
          <w:numId w:val="1008"/>
        </w:numPr>
        <w:pStyle w:val="Compact"/>
      </w:pPr>
      <w:r>
        <w:t xml:space="preserve">Land cover/land use classifications</w:t>
      </w:r>
    </w:p>
    <w:p>
      <w:pPr>
        <w:numPr>
          <w:ilvl w:val="0"/>
          <w:numId w:val="1008"/>
        </w:numPr>
        <w:pStyle w:val="Compact"/>
      </w:pPr>
      <w:r>
        <w:t xml:space="preserve">WMS/WFS map services</w:t>
      </w:r>
    </w:p>
    <w:p>
      <w:pPr>
        <w:pStyle w:val="FirstParagraph"/>
      </w:pPr>
      <w:r>
        <w:rPr>
          <w:b/>
        </w:rPr>
        <w:t xml:space="preserve">Access Method:</w:t>
      </w:r>
    </w:p>
    <w:p>
      <w:pPr>
        <w:numPr>
          <w:ilvl w:val="0"/>
          <w:numId w:val="1009"/>
        </w:numPr>
        <w:pStyle w:val="Compact"/>
      </w:pPr>
      <w:r>
        <w:t xml:space="preserve">Web browser via Geoportal</w:t>
      </w:r>
    </w:p>
    <w:p>
      <w:pPr>
        <w:numPr>
          <w:ilvl w:val="0"/>
          <w:numId w:val="1009"/>
        </w:numPr>
        <w:pStyle w:val="Compact"/>
      </w:pPr>
      <w:r>
        <w:t xml:space="preserve">Direct API calls to WMS/WFS/WMTS endpoints</w:t>
      </w:r>
    </w:p>
    <w:p>
      <w:pPr>
        <w:numPr>
          <w:ilvl w:val="0"/>
          <w:numId w:val="1009"/>
        </w:numPr>
        <w:pStyle w:val="Compact"/>
      </w:pPr>
      <w:r>
        <w:t xml:space="preserve">e-Government portal (Turkish ID required)</w:t>
      </w:r>
    </w:p>
    <w:p>
      <w:pPr>
        <w:pStyle w:val="FirstParagraph"/>
      </w:pPr>
      <w:r>
        <w:rPr>
          <w:b/>
        </w:rPr>
        <w:t xml:space="preserve">Technical Integration:</w:t>
      </w:r>
    </w:p>
    <w:p>
      <w:pPr>
        <w:numPr>
          <w:ilvl w:val="0"/>
          <w:numId w:val="1010"/>
        </w:numPr>
        <w:pStyle w:val="Compact"/>
      </w:pPr>
      <w:r>
        <w:t xml:space="preserve">Standard OGC (Open Geospatial Consortium) web services</w:t>
      </w:r>
    </w:p>
    <w:p>
      <w:pPr>
        <w:numPr>
          <w:ilvl w:val="0"/>
          <w:numId w:val="1010"/>
        </w:numPr>
        <w:pStyle w:val="Compact"/>
      </w:pPr>
      <w:r>
        <w:t xml:space="preserve">No API key required for basic WMS access</w:t>
      </w:r>
    </w:p>
    <w:p>
      <w:pPr>
        <w:numPr>
          <w:ilvl w:val="0"/>
          <w:numId w:val="1010"/>
        </w:numPr>
        <w:pStyle w:val="Compact"/>
      </w:pPr>
      <w:r>
        <w:t xml:space="preserve">Can be embedded directly into web map applications</w:t>
      </w:r>
    </w:p>
    <w:p>
      <w:pPr>
        <w:numPr>
          <w:ilvl w:val="0"/>
          <w:numId w:val="1010"/>
        </w:numPr>
        <w:pStyle w:val="Compact"/>
      </w:pPr>
      <w:r>
        <w:t xml:space="preserve">CORS/security restrictions may apply</w:t>
      </w:r>
    </w:p>
    <w:p>
      <w:pPr>
        <w:pStyle w:val="Heading4"/>
      </w:pPr>
      <w:bookmarkStart w:id="31" w:name="X5399e458f5dbf3c6545c00a7c19949860152299"/>
      <w:r>
        <w:t xml:space="preserve">Level 2: Land Registry Information (Restricted - e-ID Required)</w:t>
      </w:r>
      <w:bookmarkEnd w:id="31"/>
    </w:p>
    <w:p>
      <w:pPr>
        <w:pStyle w:val="FirstParagraph"/>
      </w:pPr>
      <w:r>
        <w:rPr>
          <w:b/>
        </w:rPr>
        <w:t xml:space="preserve">Accessible Data:</w:t>
      </w:r>
    </w:p>
    <w:p>
      <w:pPr>
        <w:numPr>
          <w:ilvl w:val="0"/>
          <w:numId w:val="1011"/>
        </w:numPr>
        <w:pStyle w:val="Compact"/>
      </w:pPr>
      <w:r>
        <w:t xml:space="preserve">Detailed owner information (with authorization)</w:t>
      </w:r>
    </w:p>
    <w:p>
      <w:pPr>
        <w:numPr>
          <w:ilvl w:val="0"/>
          <w:numId w:val="1011"/>
        </w:numPr>
        <w:pStyle w:val="Compact"/>
      </w:pPr>
      <w:r>
        <w:t xml:space="preserve">Transaction history (with authorization)</w:t>
      </w:r>
    </w:p>
    <w:p>
      <w:pPr>
        <w:numPr>
          <w:ilvl w:val="0"/>
          <w:numId w:val="1011"/>
        </w:numPr>
        <w:pStyle w:val="Compact"/>
      </w:pPr>
      <w:r>
        <w:t xml:space="preserve">Tax assessments (with authorization)</w:t>
      </w:r>
    </w:p>
    <w:p>
      <w:pPr>
        <w:pStyle w:val="FirstParagraph"/>
      </w:pPr>
      <w:r>
        <w:rPr>
          <w:b/>
        </w:rPr>
        <w:t xml:space="preserve">Access Method:</w:t>
      </w:r>
    </w:p>
    <w:p>
      <w:pPr>
        <w:numPr>
          <w:ilvl w:val="0"/>
          <w:numId w:val="1012"/>
        </w:numPr>
        <w:pStyle w:val="Compact"/>
      </w:pPr>
      <w:r>
        <w:t xml:space="preserve">Web-Tapu portal (https://webtapu.tkgm.gov.tr/)</w:t>
      </w:r>
    </w:p>
    <w:p>
      <w:pPr>
        <w:numPr>
          <w:ilvl w:val="0"/>
          <w:numId w:val="1012"/>
        </w:numPr>
        <w:pStyle w:val="Compact"/>
      </w:pPr>
      <w:r>
        <w:t xml:space="preserve">Turkish ID number + e-Government password</w:t>
      </w:r>
    </w:p>
    <w:p>
      <w:pPr>
        <w:numPr>
          <w:ilvl w:val="0"/>
          <w:numId w:val="1012"/>
        </w:numPr>
        <w:pStyle w:val="Compact"/>
      </w:pPr>
      <w:r>
        <w:t xml:space="preserve">Limited to authorized users (property owners, authorized representatives)</w:t>
      </w:r>
    </w:p>
    <w:p>
      <w:pPr>
        <w:pStyle w:val="FirstParagraph"/>
      </w:pPr>
      <w:r>
        <w:rPr>
          <w:b/>
        </w:rPr>
        <w:t xml:space="preserve">Technical Integration:</w:t>
      </w:r>
    </w:p>
    <w:p>
      <w:pPr>
        <w:numPr>
          <w:ilvl w:val="0"/>
          <w:numId w:val="1013"/>
        </w:numPr>
        <w:pStyle w:val="Compact"/>
      </w:pPr>
      <w:r>
        <w:t xml:space="preserve">Not suitable for automated integration (requires individual authentication)</w:t>
      </w:r>
    </w:p>
    <w:p>
      <w:pPr>
        <w:numPr>
          <w:ilvl w:val="0"/>
          <w:numId w:val="1013"/>
        </w:numPr>
        <w:pStyle w:val="Compact"/>
      </w:pPr>
      <w:r>
        <w:t xml:space="preserve">Can be accessed manually for verification purposes</w:t>
      </w:r>
    </w:p>
    <w:p>
      <w:pPr>
        <w:numPr>
          <w:ilvl w:val="0"/>
          <w:numId w:val="1013"/>
        </w:numPr>
        <w:pStyle w:val="Compact"/>
      </w:pPr>
      <w:r>
        <w:t xml:space="preserve">API integration requires special data sharing agreement</w:t>
      </w:r>
    </w:p>
    <w:p>
      <w:pPr>
        <w:pStyle w:val="Heading3"/>
      </w:pPr>
      <w:bookmarkStart w:id="32" w:name="Xc24cb4c22fc9c665bb19bfeebdf9fef5ee00b01"/>
      <w:r>
        <w:t xml:space="preserve">2.2 Government Data Sharing Agreements (Commercial Use)</w:t>
      </w:r>
      <w:bookmarkEnd w:id="32"/>
    </w:p>
    <w:p>
      <w:pPr>
        <w:pStyle w:val="Heading4"/>
      </w:pPr>
      <w:bookmarkStart w:id="33" w:name="tkgm-data-access-request"/>
      <w:r>
        <w:t xml:space="preserve">TKGM Data Access Request</w:t>
      </w:r>
      <w:bookmarkEnd w:id="33"/>
    </w:p>
    <w:p>
      <w:pPr>
        <w:pStyle w:val="FirstParagraph"/>
      </w:pPr>
      <w:r>
        <w:rPr>
          <w:b/>
        </w:rPr>
        <w:t xml:space="preserve">Process:</w:t>
      </w:r>
    </w:p>
    <w:p>
      <w:pPr>
        <w:numPr>
          <w:ilvl w:val="0"/>
          <w:numId w:val="1014"/>
        </w:numPr>
        <w:pStyle w:val="Compact"/>
      </w:pPr>
      <w:r>
        <w:t xml:space="preserve">Submit formal data access request to TKGM</w:t>
      </w:r>
    </w:p>
    <w:p>
      <w:pPr>
        <w:numPr>
          <w:ilvl w:val="0"/>
          <w:numId w:val="1014"/>
        </w:numPr>
        <w:pStyle w:val="Compact"/>
      </w:pPr>
      <w:r>
        <w:t xml:space="preserve">Specify data types needed (parcels, boundaries, attributes)</w:t>
      </w:r>
    </w:p>
    <w:p>
      <w:pPr>
        <w:numPr>
          <w:ilvl w:val="0"/>
          <w:numId w:val="1014"/>
        </w:numPr>
        <w:pStyle w:val="Compact"/>
      </w:pPr>
      <w:r>
        <w:t xml:space="preserve">State intended use (agricultural monitoring, precision farming)</w:t>
      </w:r>
    </w:p>
    <w:p>
      <w:pPr>
        <w:numPr>
          <w:ilvl w:val="0"/>
          <w:numId w:val="1014"/>
        </w:numPr>
        <w:pStyle w:val="Compact"/>
      </w:pPr>
      <w:r>
        <w:t xml:space="preserve">Provide technical specifications (data format, update frequency, geographic coverage)</w:t>
      </w:r>
    </w:p>
    <w:p>
      <w:pPr>
        <w:pStyle w:val="FirstParagraph"/>
      </w:pPr>
      <w:r>
        <w:rPr>
          <w:b/>
        </w:rPr>
        <w:t xml:space="preserve">Approval Criteria:</w:t>
      </w:r>
    </w:p>
    <w:p>
      <w:pPr>
        <w:numPr>
          <w:ilvl w:val="0"/>
          <w:numId w:val="1015"/>
        </w:numPr>
        <w:pStyle w:val="Compact"/>
      </w:pPr>
      <w:r>
        <w:t xml:space="preserve">Public benefit or strategic importance</w:t>
      </w:r>
    </w:p>
    <w:p>
      <w:pPr>
        <w:numPr>
          <w:ilvl w:val="0"/>
          <w:numId w:val="1015"/>
        </w:numPr>
        <w:pStyle w:val="Compact"/>
      </w:pPr>
      <w:r>
        <w:t xml:space="preserve">Non-competing with TKGM services</w:t>
      </w:r>
    </w:p>
    <w:p>
      <w:pPr>
        <w:numPr>
          <w:ilvl w:val="0"/>
          <w:numId w:val="1015"/>
        </w:numPr>
        <w:pStyle w:val="Compact"/>
      </w:pPr>
      <w:r>
        <w:t xml:space="preserve">Data security and privacy compliance</w:t>
      </w:r>
    </w:p>
    <w:p>
      <w:pPr>
        <w:numPr>
          <w:ilvl w:val="0"/>
          <w:numId w:val="1015"/>
        </w:numPr>
        <w:pStyle w:val="Compact"/>
      </w:pPr>
      <w:r>
        <w:t xml:space="preserve">KVKK (Turkish Data Protection Law) compliance</w:t>
      </w:r>
    </w:p>
    <w:p>
      <w:pPr>
        <w:pStyle w:val="FirstParagraph"/>
      </w:pPr>
      <w:r>
        <w:rPr>
          <w:b/>
        </w:rPr>
        <w:t xml:space="preserve">Available at:</w:t>
      </w:r>
      <w:r>
        <w:t xml:space="preserve"> </w:t>
      </w:r>
      <w:r>
        <w:t xml:space="preserve">- Veri Talepleri (Data Requests): https://www.tkgm.gov.tr/veri-talepleri</w:t>
      </w:r>
    </w:p>
    <w:p>
      <w:r>
        <w:pict>
          <v:rect style="width:0;height:1.5pt" o:hralign="center" o:hrstd="t" o:hr="t"/>
        </w:pict>
      </w:r>
    </w:p>
    <w:p>
      <w:pPr>
        <w:pStyle w:val="Heading2"/>
      </w:pPr>
      <w:bookmarkStart w:id="34" w:name="Xe4fdefcfe8eb47c56f0c3558acd3999eb2da59f"/>
      <w:r>
        <w:t xml:space="preserve">3. TARBIL PRECEDENT - GOVERNMENT-PRIVATE SECTOR MODEL</w:t>
      </w:r>
      <w:bookmarkEnd w:id="34"/>
    </w:p>
    <w:p>
      <w:pPr>
        <w:pStyle w:val="Heading3"/>
      </w:pPr>
      <w:bookmarkStart w:id="35" w:name="tarbil-system-overview"/>
      <w:r>
        <w:t xml:space="preserve">3.1 TARBIL System Overview</w:t>
      </w:r>
      <w:bookmarkEnd w:id="35"/>
    </w:p>
    <w:p>
      <w:pPr>
        <w:pStyle w:val="FirstParagraph"/>
      </w:pPr>
      <w:r>
        <w:rPr>
          <w:b/>
        </w:rPr>
        <w:t xml:space="preserve">Turkish Agricultural Monitoring and Information System (Tarımsal Araştırma ve Üreten Desteği İçin Lisans Bilgileri)</w:t>
      </w:r>
    </w:p>
    <w:p>
      <w:pPr>
        <w:pStyle w:val="BodyText"/>
      </w:pPr>
      <w:r>
        <w:rPr>
          <w:b/>
        </w:rPr>
        <w:t xml:space="preserve">Established:</w:t>
      </w:r>
      <w:r>
        <w:t xml:space="preserve"> </w:t>
      </w:r>
      <w:r>
        <w:t xml:space="preserve">2012 by Ministry of Agriculture + Istanbul Technical University</w:t>
      </w:r>
    </w:p>
    <w:p>
      <w:pPr>
        <w:pStyle w:val="BodyText"/>
      </w:pPr>
      <w:r>
        <w:rPr>
          <w:b/>
        </w:rPr>
        <w:t xml:space="preserve">Components:</w:t>
      </w:r>
    </w:p>
    <w:p>
      <w:pPr>
        <w:numPr>
          <w:ilvl w:val="0"/>
          <w:numId w:val="1016"/>
        </w:numPr>
        <w:pStyle w:val="Compact"/>
      </w:pPr>
      <w:r>
        <w:t xml:space="preserve">Satellite remote sensing data (Sentinel-2, Pleiades-Neo)</w:t>
      </w:r>
    </w:p>
    <w:p>
      <w:pPr>
        <w:numPr>
          <w:ilvl w:val="0"/>
          <w:numId w:val="1016"/>
        </w:numPr>
        <w:pStyle w:val="Compact"/>
      </w:pPr>
      <w:r>
        <w:t xml:space="preserve">Meteorological data from 1,200 ground stations nationwide</w:t>
      </w:r>
    </w:p>
    <w:p>
      <w:pPr>
        <w:numPr>
          <w:ilvl w:val="0"/>
          <w:numId w:val="1016"/>
        </w:numPr>
        <w:pStyle w:val="Compact"/>
      </w:pPr>
      <w:r>
        <w:t xml:space="preserve">Integrated decision support system</w:t>
      </w:r>
    </w:p>
    <w:p>
      <w:pPr>
        <w:numPr>
          <w:ilvl w:val="0"/>
          <w:numId w:val="1016"/>
        </w:numPr>
        <w:pStyle w:val="Compact"/>
      </w:pPr>
      <w:r>
        <w:t xml:space="preserve">Precision agriculture recommendations</w:t>
      </w:r>
    </w:p>
    <w:p>
      <w:pPr>
        <w:pStyle w:val="FirstParagraph"/>
      </w:pPr>
      <w:r>
        <w:rPr>
          <w:b/>
        </w:rPr>
        <w:t xml:space="preserve">Capabilities:</w:t>
      </w:r>
    </w:p>
    <w:p>
      <w:pPr>
        <w:numPr>
          <w:ilvl w:val="0"/>
          <w:numId w:val="1017"/>
        </w:numPr>
        <w:pStyle w:val="Compact"/>
      </w:pPr>
      <w:r>
        <w:t xml:space="preserve">Seasonal and early harvest crop yield prediction</w:t>
      </w:r>
    </w:p>
    <w:p>
      <w:pPr>
        <w:numPr>
          <w:ilvl w:val="0"/>
          <w:numId w:val="1017"/>
        </w:numPr>
        <w:pStyle w:val="Compact"/>
      </w:pPr>
      <w:r>
        <w:t xml:space="preserve">Chemical usage optimization</w:t>
      </w:r>
    </w:p>
    <w:p>
      <w:pPr>
        <w:numPr>
          <w:ilvl w:val="0"/>
          <w:numId w:val="1017"/>
        </w:numPr>
        <w:pStyle w:val="Compact"/>
      </w:pPr>
      <w:r>
        <w:t xml:space="preserve">Early warning for crop damage</w:t>
      </w:r>
    </w:p>
    <w:p>
      <w:pPr>
        <w:numPr>
          <w:ilvl w:val="0"/>
          <w:numId w:val="1017"/>
        </w:numPr>
        <w:pStyle w:val="Compact"/>
      </w:pPr>
      <w:r>
        <w:t xml:space="preserve">Field-based mobile data for subscribers</w:t>
      </w:r>
    </w:p>
    <w:p>
      <w:pPr>
        <w:pStyle w:val="Heading3"/>
      </w:pPr>
      <w:bookmarkStart w:id="36" w:name="lessons-for-ia-platform"/>
      <w:r>
        <w:t xml:space="preserve">3.2 Lessons for IA Platform</w:t>
      </w:r>
      <w:bookmarkEnd w:id="36"/>
    </w:p>
    <w:p>
      <w:pPr>
        <w:pStyle w:val="FirstParagraph"/>
      </w:pPr>
      <w:r>
        <w:rPr>
          <w:b/>
        </w:rPr>
        <w:t xml:space="preserve">Data Integration Model:</w:t>
      </w:r>
    </w:p>
    <w:p>
      <w:pPr>
        <w:numPr>
          <w:ilvl w:val="0"/>
          <w:numId w:val="1018"/>
        </w:numPr>
        <w:pStyle w:val="Compact"/>
      </w:pPr>
      <w:r>
        <w:rPr>
          <w:b/>
        </w:rPr>
        <w:t xml:space="preserve">Satellite Data:</w:t>
      </w:r>
      <w:r>
        <w:t xml:space="preserve"> </w:t>
      </w:r>
      <w:r>
        <w:t xml:space="preserve">Freely available (Sentinel)</w:t>
      </w:r>
    </w:p>
    <w:p>
      <w:pPr>
        <w:numPr>
          <w:ilvl w:val="0"/>
          <w:numId w:val="1018"/>
        </w:numPr>
        <w:pStyle w:val="Compact"/>
      </w:pPr>
      <w:r>
        <w:rPr>
          <w:b/>
        </w:rPr>
        <w:t xml:space="preserve">Government Data:</w:t>
      </w:r>
      <w:r>
        <w:t xml:space="preserve"> </w:t>
      </w:r>
      <w:r>
        <w:t xml:space="preserve">Via partnership agreement (LPIS, TARBIL)</w:t>
      </w:r>
    </w:p>
    <w:p>
      <w:pPr>
        <w:numPr>
          <w:ilvl w:val="0"/>
          <w:numId w:val="1018"/>
        </w:numPr>
        <w:pStyle w:val="Compact"/>
      </w:pPr>
      <w:r>
        <w:rPr>
          <w:b/>
        </w:rPr>
        <w:t xml:space="preserve">Ground Sensors:</w:t>
      </w:r>
      <w:r>
        <w:t xml:space="preserve"> </w:t>
      </w:r>
      <w:r>
        <w:t xml:space="preserve">Private IoT deployment</w:t>
      </w:r>
    </w:p>
    <w:p>
      <w:pPr>
        <w:numPr>
          <w:ilvl w:val="0"/>
          <w:numId w:val="1018"/>
        </w:numPr>
        <w:pStyle w:val="Compact"/>
      </w:pPr>
      <w:r>
        <w:rPr>
          <w:b/>
        </w:rPr>
        <w:t xml:space="preserve">Output:</w:t>
      </w:r>
      <w:r>
        <w:t xml:space="preserve"> </w:t>
      </w:r>
      <w:r>
        <w:t xml:space="preserve">Value-added agricultural intelligence</w:t>
      </w:r>
    </w:p>
    <w:p>
      <w:pPr>
        <w:pStyle w:val="FirstParagraph"/>
      </w:pPr>
      <w:r>
        <w:rPr>
          <w:b/>
        </w:rPr>
        <w:t xml:space="preserve">Implementation Precedent:</w:t>
      </w:r>
    </w:p>
    <w:p>
      <w:pPr>
        <w:numPr>
          <w:ilvl w:val="0"/>
          <w:numId w:val="1019"/>
        </w:numPr>
        <w:pStyle w:val="Compact"/>
      </w:pPr>
      <w:r>
        <w:t xml:space="preserve">Government permits satellite + weather data combination for agricultural use</w:t>
      </w:r>
    </w:p>
    <w:p>
      <w:pPr>
        <w:numPr>
          <w:ilvl w:val="0"/>
          <w:numId w:val="1019"/>
        </w:numPr>
        <w:pStyle w:val="Compact"/>
      </w:pPr>
      <w:r>
        <w:t xml:space="preserve">Private sector can add value through interpretation and delivery</w:t>
      </w:r>
    </w:p>
    <w:p>
      <w:pPr>
        <w:numPr>
          <w:ilvl w:val="0"/>
          <w:numId w:val="1019"/>
        </w:numPr>
        <w:pStyle w:val="Compact"/>
      </w:pPr>
      <w:r>
        <w:t xml:space="preserve">Model is proven and scaled nationally</w:t>
      </w:r>
    </w:p>
    <w:p>
      <w:pPr>
        <w:pStyle w:val="FirstParagraph"/>
      </w:pPr>
      <w:r>
        <w:rPr>
          <w:b/>
        </w:rPr>
        <w:t xml:space="preserve">Key Advantage for IA:</w:t>
      </w:r>
    </w:p>
    <w:p>
      <w:pPr>
        <w:pStyle w:val="BodyText"/>
      </w:pPr>
      <w:r>
        <w:t xml:space="preserve">TARBIL demonstrates that Turkish government WILL share agricultural data with private sector platforms if structured correctly.</w:t>
      </w:r>
    </w:p>
    <w:p>
      <w:r>
        <w:pict>
          <v:rect style="width:0;height:1.5pt" o:hralign="center" o:hrstd="t" o:hr="t"/>
        </w:pict>
      </w:r>
    </w:p>
    <w:p>
      <w:pPr>
        <w:pStyle w:val="Heading2"/>
      </w:pPr>
      <w:bookmarkStart w:id="37" w:name="technical-integration-feasibility"/>
      <w:r>
        <w:t xml:space="preserve">4. TECHNICAL INTEGRATION FEASIBILITY</w:t>
      </w:r>
      <w:bookmarkEnd w:id="37"/>
    </w:p>
    <w:p>
      <w:pPr>
        <w:pStyle w:val="Heading3"/>
      </w:pPr>
      <w:bookmarkStart w:id="38" w:name="data-access-via-web-services-immediate"/>
      <w:r>
        <w:t xml:space="preserve">4.1 Data Access via Web Services (Immediate)</w:t>
      </w:r>
      <w:bookmarkEnd w:id="38"/>
    </w:p>
    <w:p>
      <w:pPr>
        <w:pStyle w:val="FirstParagraph"/>
      </w:pPr>
      <w:r>
        <w:rPr>
          <w:b/>
        </w:rPr>
        <w:t xml:space="preserve">No special approval needed for:</w:t>
      </w:r>
    </w:p>
    <w:p>
      <w:pPr>
        <w:numPr>
          <w:ilvl w:val="0"/>
          <w:numId w:val="1020"/>
        </w:numPr>
        <w:pStyle w:val="Compact"/>
      </w:pPr>
      <w:r>
        <w:t xml:space="preserve">Public WMS/WFS map services</w:t>
      </w:r>
    </w:p>
    <w:p>
      <w:pPr>
        <w:numPr>
          <w:ilvl w:val="0"/>
          <w:numId w:val="1020"/>
        </w:numPr>
        <w:pStyle w:val="Compact"/>
      </w:pPr>
      <w:r>
        <w:t xml:space="preserve">Orthophoto imagery (via WMTS)</w:t>
      </w:r>
    </w:p>
    <w:p>
      <w:pPr>
        <w:numPr>
          <w:ilvl w:val="0"/>
          <w:numId w:val="1020"/>
        </w:numPr>
        <w:pStyle w:val="Compact"/>
      </w:pPr>
      <w:r>
        <w:t xml:space="preserve">Basic parcel boundaries</w:t>
      </w:r>
    </w:p>
    <w:p>
      <w:pPr>
        <w:numPr>
          <w:ilvl w:val="0"/>
          <w:numId w:val="1020"/>
        </w:numPr>
        <w:pStyle w:val="Compact"/>
      </w:pPr>
      <w:r>
        <w:t xml:space="preserve">Land cover classifications</w:t>
      </w:r>
    </w:p>
    <w:p>
      <w:pPr>
        <w:pStyle w:val="FirstParagraph"/>
      </w:pPr>
      <w:r>
        <w:rPr>
          <w:b/>
        </w:rPr>
        <w:t xml:space="preserve">Integration Method:</w:t>
      </w:r>
    </w:p>
    <w:p>
      <w:pPr>
        <w:pStyle w:val="SourceCode"/>
      </w:pPr>
      <w:r>
        <w:rPr>
          <w:rStyle w:val="VerbatimChar"/>
        </w:rPr>
        <w:t xml:space="preserve">IA Platform Architecture:</w:t>
      </w:r>
      <w:r>
        <w:br/>
      </w:r>
      <w:r>
        <w:rPr>
          <w:rStyle w:val="VerbatimChar"/>
        </w:rPr>
        <w:t xml:space="preserve">├─ Frontend: Display TKGM WMS layers</w:t>
      </w:r>
      <w:r>
        <w:br/>
      </w:r>
      <w:r>
        <w:rPr>
          <w:rStyle w:val="VerbatimChar"/>
        </w:rPr>
        <w:t xml:space="preserve">├─ Backend: Query WFS for parcel data</w:t>
      </w:r>
      <w:r>
        <w:br/>
      </w:r>
      <w:r>
        <w:rPr>
          <w:rStyle w:val="VerbatimChar"/>
        </w:rPr>
        <w:t xml:space="preserve">├─ Database: Cache parcel geometries locally</w:t>
      </w:r>
      <w:r>
        <w:br/>
      </w:r>
      <w:r>
        <w:rPr>
          <w:rStyle w:val="VerbatimChar"/>
        </w:rPr>
        <w:t xml:space="preserve">├─ API: Expose to mobile app for field mapping</w:t>
      </w:r>
      <w:r>
        <w:br/>
      </w:r>
      <w:r>
        <w:rPr>
          <w:rStyle w:val="VerbatimChar"/>
        </w:rPr>
        <w:t xml:space="preserve">└─ Analysis: Overlay with Sentinel NDVI + TARBIL data</w:t>
      </w:r>
    </w:p>
    <w:p>
      <w:pPr>
        <w:pStyle w:val="FirstParagraph"/>
      </w:pPr>
      <w:r>
        <w:rPr>
          <w:b/>
        </w:rPr>
        <w:t xml:space="preserve">Technical Stack:</w:t>
      </w:r>
    </w:p>
    <w:p>
      <w:pPr>
        <w:numPr>
          <w:ilvl w:val="0"/>
          <w:numId w:val="1021"/>
        </w:numPr>
        <w:pStyle w:val="Compact"/>
      </w:pPr>
      <w:r>
        <w:rPr>
          <w:b/>
        </w:rPr>
        <w:t xml:space="preserve">Mapping Library:</w:t>
      </w:r>
      <w:r>
        <w:t xml:space="preserve"> </w:t>
      </w:r>
      <w:r>
        <w:t xml:space="preserve">Leaflet/Mapbox with WMS/WFS support</w:t>
      </w:r>
    </w:p>
    <w:p>
      <w:pPr>
        <w:numPr>
          <w:ilvl w:val="0"/>
          <w:numId w:val="1021"/>
        </w:numPr>
        <w:pStyle w:val="Compact"/>
      </w:pPr>
      <w:r>
        <w:rPr>
          <w:b/>
        </w:rPr>
        <w:t xml:space="preserve">Backend:</w:t>
      </w:r>
      <w:r>
        <w:t xml:space="preserve"> </w:t>
      </w:r>
      <w:r>
        <w:t xml:space="preserve">GeoServer or PostGIS for GIS data</w:t>
      </w:r>
    </w:p>
    <w:p>
      <w:pPr>
        <w:numPr>
          <w:ilvl w:val="0"/>
          <w:numId w:val="1021"/>
        </w:numPr>
        <w:pStyle w:val="Compact"/>
      </w:pPr>
      <w:r>
        <w:rPr>
          <w:b/>
        </w:rPr>
        <w:t xml:space="preserve">Data Format:</w:t>
      </w:r>
      <w:r>
        <w:t xml:space="preserve"> </w:t>
      </w:r>
      <w:r>
        <w:t xml:space="preserve">GeoJSON, GeoTIFF (standard formats supported)</w:t>
      </w:r>
    </w:p>
    <w:p>
      <w:pPr>
        <w:numPr>
          <w:ilvl w:val="0"/>
          <w:numId w:val="1021"/>
        </w:numPr>
        <w:pStyle w:val="Compact"/>
      </w:pPr>
      <w:r>
        <w:rPr>
          <w:b/>
        </w:rPr>
        <w:t xml:space="preserve">Standards:</w:t>
      </w:r>
      <w:r>
        <w:t xml:space="preserve"> </w:t>
      </w:r>
      <w:r>
        <w:t xml:space="preserve">OGC WMS/WFS/WMTS (well-documented, widely supported)</w:t>
      </w:r>
    </w:p>
    <w:p>
      <w:pPr>
        <w:pStyle w:val="Heading3"/>
      </w:pPr>
      <w:bookmarkStart w:id="39" w:name="advanced-integration-requires-agreement"/>
      <w:r>
        <w:t xml:space="preserve">4.2 Advanced Integration (Requires Agreement)</w:t>
      </w:r>
      <w:bookmarkEnd w:id="39"/>
    </w:p>
    <w:p>
      <w:pPr>
        <w:pStyle w:val="FirstParagraph"/>
      </w:pPr>
      <w:r>
        <w:rPr>
          <w:b/>
        </w:rPr>
        <w:t xml:space="preserve">With TKGM Data Sharing Agreement:</w:t>
      </w:r>
    </w:p>
    <w:p>
      <w:pPr>
        <w:numPr>
          <w:ilvl w:val="0"/>
          <w:numId w:val="1022"/>
        </w:numPr>
        <w:pStyle w:val="Compact"/>
      </w:pPr>
      <w:r>
        <w:t xml:space="preserve">Direct parcel attribute access (ownership, tax info)</w:t>
      </w:r>
    </w:p>
    <w:p>
      <w:pPr>
        <w:numPr>
          <w:ilvl w:val="0"/>
          <w:numId w:val="1022"/>
        </w:numPr>
        <w:pStyle w:val="Compact"/>
      </w:pPr>
      <w:r>
        <w:t xml:space="preserve">Bulk data download (shapefile, GeoJSON)</w:t>
      </w:r>
    </w:p>
    <w:p>
      <w:pPr>
        <w:numPr>
          <w:ilvl w:val="0"/>
          <w:numId w:val="1022"/>
        </w:numPr>
        <w:pStyle w:val="Compact"/>
      </w:pPr>
      <w:r>
        <w:t xml:space="preserve">Real-time update feeds</w:t>
      </w:r>
    </w:p>
    <w:p>
      <w:pPr>
        <w:numPr>
          <w:ilvl w:val="0"/>
          <w:numId w:val="1022"/>
        </w:numPr>
        <w:pStyle w:val="Compact"/>
      </w:pPr>
      <w:r>
        <w:t xml:space="preserve">API access to land registry queries</w:t>
      </w:r>
    </w:p>
    <w:p>
      <w:pPr>
        <w:pStyle w:val="FirstParagraph"/>
      </w:pPr>
      <w:r>
        <w:rPr>
          <w:b/>
        </w:rPr>
        <w:t xml:space="preserve">Integration Method:</w:t>
      </w:r>
    </w:p>
    <w:p>
      <w:pPr>
        <w:numPr>
          <w:ilvl w:val="0"/>
          <w:numId w:val="1023"/>
        </w:numPr>
        <w:pStyle w:val="Compact"/>
      </w:pPr>
      <w:r>
        <w:t xml:space="preserve">Custom API client for TKGM data feeds</w:t>
      </w:r>
    </w:p>
    <w:p>
      <w:pPr>
        <w:numPr>
          <w:ilvl w:val="0"/>
          <w:numId w:val="1023"/>
        </w:numPr>
        <w:pStyle w:val="Compact"/>
      </w:pPr>
      <w:r>
        <w:t xml:space="preserve">Database integration with daily/weekly updates</w:t>
      </w:r>
    </w:p>
    <w:p>
      <w:pPr>
        <w:numPr>
          <w:ilvl w:val="0"/>
          <w:numId w:val="1023"/>
        </w:numPr>
        <w:pStyle w:val="Compact"/>
      </w:pPr>
      <w:r>
        <w:t xml:space="preserve">Ownership verification for financial services</w:t>
      </w:r>
    </w:p>
    <w:p>
      <w:pPr>
        <w:pStyle w:val="Heading3"/>
      </w:pPr>
      <w:bookmarkStart w:id="40" w:name="technical-challenges-solutions"/>
      <w:r>
        <w:t xml:space="preserve">4.3 Technical Challenges &amp; Solutions</w:t>
      </w:r>
      <w:bookmarkEnd w:id="40"/>
    </w:p>
    <w:p>
      <w:pPr>
        <w:pStyle w:val="Heading4"/>
      </w:pPr>
      <w:bookmarkStart w:id="41" w:name="challenge-1-data-updates-freshness"/>
      <w:r>
        <w:t xml:space="preserve">Challenge 1: Data Updates &amp; Freshness</w:t>
      </w:r>
      <w:bookmarkEnd w:id="41"/>
    </w:p>
    <w:p>
      <w:pPr>
        <w:pStyle w:val="FirstParagraph"/>
      </w:pPr>
      <w:r>
        <w:rPr>
          <w:b/>
        </w:rPr>
        <w:t xml:space="preserve">Issue:</w:t>
      </w:r>
      <w:r>
        <w:t xml:space="preserve"> </w:t>
      </w:r>
      <w:r>
        <w:t xml:space="preserve">Cadastral data updates may lag behind real-world changes</w:t>
      </w:r>
    </w:p>
    <w:p>
      <w:pPr>
        <w:pStyle w:val="BodyText"/>
      </w:pPr>
      <w:r>
        <w:rPr>
          <w:b/>
        </w:rPr>
        <w:t xml:space="preserve">Solution:</w:t>
      </w:r>
    </w:p>
    <w:p>
      <w:pPr>
        <w:numPr>
          <w:ilvl w:val="0"/>
          <w:numId w:val="1024"/>
        </w:numPr>
        <w:pStyle w:val="Compact"/>
      </w:pPr>
      <w:r>
        <w:t xml:space="preserve">Cache TKGM data locally with version tracking</w:t>
      </w:r>
    </w:p>
    <w:p>
      <w:pPr>
        <w:numPr>
          <w:ilvl w:val="0"/>
          <w:numId w:val="1024"/>
        </w:numPr>
        <w:pStyle w:val="Compact"/>
      </w:pPr>
      <w:r>
        <w:t xml:space="preserve">Refresh periodically (monthly/quarterly)</w:t>
      </w:r>
    </w:p>
    <w:p>
      <w:pPr>
        <w:numPr>
          <w:ilvl w:val="0"/>
          <w:numId w:val="1024"/>
        </w:numPr>
        <w:pStyle w:val="Compact"/>
      </w:pPr>
      <w:r>
        <w:t xml:space="preserve">Combine with field observations (satellite NDVI, ground sensors)</w:t>
      </w:r>
    </w:p>
    <w:p>
      <w:pPr>
        <w:numPr>
          <w:ilvl w:val="0"/>
          <w:numId w:val="1024"/>
        </w:numPr>
        <w:pStyle w:val="Compact"/>
      </w:pPr>
      <w:r>
        <w:t xml:space="preserve">Use versioning to track historical boundaries</w:t>
      </w:r>
    </w:p>
    <w:p>
      <w:pPr>
        <w:pStyle w:val="Heading4"/>
      </w:pPr>
      <w:bookmarkStart w:id="42" w:name="Xca1c8673da312e3316a0c426ebc150cba7a8746"/>
      <w:r>
        <w:t xml:space="preserve">Challenge 2: KVKK Compliance (Data Protection)</w:t>
      </w:r>
      <w:bookmarkEnd w:id="42"/>
    </w:p>
    <w:p>
      <w:pPr>
        <w:pStyle w:val="FirstParagraph"/>
      </w:pPr>
      <w:r>
        <w:rPr>
          <w:b/>
        </w:rPr>
        <w:t xml:space="preserve">Issue:</w:t>
      </w:r>
      <w:r>
        <w:t xml:space="preserve"> </w:t>
      </w:r>
      <w:r>
        <w:t xml:space="preserve">Ownership/owner information is personal data (KVKK regulated)</w:t>
      </w:r>
    </w:p>
    <w:p>
      <w:pPr>
        <w:pStyle w:val="BodyText"/>
      </w:pPr>
      <w:r>
        <w:rPr>
          <w:b/>
        </w:rPr>
        <w:t xml:space="preserve">Solution:</w:t>
      </w:r>
    </w:p>
    <w:p>
      <w:pPr>
        <w:numPr>
          <w:ilvl w:val="0"/>
          <w:numId w:val="1025"/>
        </w:numPr>
        <w:pStyle w:val="Compact"/>
      </w:pPr>
      <w:r>
        <w:t xml:space="preserve">Don’t store ownership data in IA platform</w:t>
      </w:r>
    </w:p>
    <w:p>
      <w:pPr>
        <w:numPr>
          <w:ilvl w:val="0"/>
          <w:numId w:val="1025"/>
        </w:numPr>
        <w:pStyle w:val="Compact"/>
      </w:pPr>
      <w:r>
        <w:t xml:space="preserve">Reference TKGM via secure API lookup only</w:t>
      </w:r>
    </w:p>
    <w:p>
      <w:pPr>
        <w:numPr>
          <w:ilvl w:val="0"/>
          <w:numId w:val="1025"/>
        </w:numPr>
        <w:pStyle w:val="Compact"/>
      </w:pPr>
      <w:r>
        <w:t xml:space="preserve">Use anonymized parcel IDs for analysis</w:t>
      </w:r>
    </w:p>
    <w:p>
      <w:pPr>
        <w:numPr>
          <w:ilvl w:val="0"/>
          <w:numId w:val="1025"/>
        </w:numPr>
        <w:pStyle w:val="Compact"/>
      </w:pPr>
      <w:r>
        <w:t xml:space="preserve">Implement role-based access control</w:t>
      </w:r>
    </w:p>
    <w:p>
      <w:pPr>
        <w:pStyle w:val="Heading4"/>
      </w:pPr>
      <w:bookmarkStart w:id="43" w:name="Xd94b2516cf81f4c85c235672c1548f1ce8e7b8c"/>
      <w:r>
        <w:t xml:space="preserve">Challenge 3: API Rate Limiting &amp; Performance</w:t>
      </w:r>
      <w:bookmarkEnd w:id="43"/>
    </w:p>
    <w:p>
      <w:pPr>
        <w:pStyle w:val="FirstParagraph"/>
      </w:pPr>
      <w:r>
        <w:rPr>
          <w:b/>
        </w:rPr>
        <w:t xml:space="preserve">Issue:</w:t>
      </w:r>
      <w:r>
        <w:t xml:space="preserve"> </w:t>
      </w:r>
      <w:r>
        <w:t xml:space="preserve">Public WMS services may have rate limits under high usage</w:t>
      </w:r>
    </w:p>
    <w:p>
      <w:pPr>
        <w:pStyle w:val="BodyText"/>
      </w:pPr>
      <w:r>
        <w:rPr>
          <w:b/>
        </w:rPr>
        <w:t xml:space="preserve">Solution:</w:t>
      </w:r>
    </w:p>
    <w:p>
      <w:pPr>
        <w:numPr>
          <w:ilvl w:val="0"/>
          <w:numId w:val="1026"/>
        </w:numPr>
        <w:pStyle w:val="Compact"/>
      </w:pPr>
      <w:r>
        <w:t xml:space="preserve">Cache map tiles locally (TMS/WMTS)</w:t>
      </w:r>
    </w:p>
    <w:p>
      <w:pPr>
        <w:numPr>
          <w:ilvl w:val="0"/>
          <w:numId w:val="1026"/>
        </w:numPr>
        <w:pStyle w:val="Compact"/>
      </w:pPr>
      <w:r>
        <w:t xml:space="preserve">Pre-download parcel boundaries to PostGIS</w:t>
      </w:r>
    </w:p>
    <w:p>
      <w:pPr>
        <w:numPr>
          <w:ilvl w:val="0"/>
          <w:numId w:val="1026"/>
        </w:numPr>
        <w:pStyle w:val="Compact"/>
      </w:pPr>
      <w:r>
        <w:t xml:space="preserve">Implement request queuing for bulk operations</w:t>
      </w:r>
    </w:p>
    <w:p>
      <w:pPr>
        <w:numPr>
          <w:ilvl w:val="0"/>
          <w:numId w:val="1026"/>
        </w:numPr>
        <w:pStyle w:val="Compact"/>
      </w:pPr>
      <w:r>
        <w:t xml:space="preserve">Use CDN for orthophoto distribution</w:t>
      </w:r>
    </w:p>
    <w:p>
      <w:r>
        <w:pict>
          <v:rect style="width:0;height:1.5pt" o:hralign="center" o:hrstd="t" o:hr="t"/>
        </w:pict>
      </w:r>
    </w:p>
    <w:p>
      <w:pPr>
        <w:pStyle w:val="Heading2"/>
      </w:pPr>
      <w:bookmarkStart w:id="44" w:name="data-sharing-agreement-requirements"/>
      <w:r>
        <w:t xml:space="preserve">5. DATA SHARING AGREEMENT REQUIREMENTS</w:t>
      </w:r>
      <w:bookmarkEnd w:id="44"/>
    </w:p>
    <w:p>
      <w:pPr>
        <w:pStyle w:val="Heading3"/>
      </w:pPr>
      <w:bookmarkStart w:id="45" w:name="application-process"/>
      <w:r>
        <w:t xml:space="preserve">5.1 Application Process</w:t>
      </w:r>
      <w:bookmarkEnd w:id="45"/>
    </w:p>
    <w:p>
      <w:pPr>
        <w:pStyle w:val="FirstParagraph"/>
      </w:pPr>
      <w:r>
        <w:rPr>
          <w:b/>
        </w:rPr>
        <w:t xml:space="preserve">Step 1: Formal Request</w:t>
      </w:r>
    </w:p>
    <w:p>
      <w:pPr>
        <w:numPr>
          <w:ilvl w:val="0"/>
          <w:numId w:val="1027"/>
        </w:numPr>
        <w:pStyle w:val="Compact"/>
      </w:pPr>
      <w:r>
        <w:t xml:space="preserve">Submit to: Veri Talepleri (Data Requests) portal</w:t>
      </w:r>
    </w:p>
    <w:p>
      <w:pPr>
        <w:numPr>
          <w:ilvl w:val="0"/>
          <w:numId w:val="1027"/>
        </w:numPr>
        <w:pStyle w:val="Compact"/>
      </w:pPr>
      <w:r>
        <w:t xml:space="preserve">Specify: Data types, geographic area, intended use, technical specs</w:t>
      </w:r>
    </w:p>
    <w:p>
      <w:pPr>
        <w:pStyle w:val="FirstParagraph"/>
      </w:pPr>
      <w:r>
        <w:rPr>
          <w:b/>
        </w:rPr>
        <w:t xml:space="preserve">Step 2: Evaluation</w:t>
      </w:r>
    </w:p>
    <w:p>
      <w:pPr>
        <w:numPr>
          <w:ilvl w:val="0"/>
          <w:numId w:val="1028"/>
        </w:numPr>
        <w:pStyle w:val="Compact"/>
      </w:pPr>
      <w:r>
        <w:t xml:space="preserve">TKGM reviews for strategic fit</w:t>
      </w:r>
    </w:p>
    <w:p>
      <w:pPr>
        <w:numPr>
          <w:ilvl w:val="0"/>
          <w:numId w:val="1028"/>
        </w:numPr>
        <w:pStyle w:val="Compact"/>
      </w:pPr>
      <w:r>
        <w:t xml:space="preserve">Checks KVKK compliance</w:t>
      </w:r>
    </w:p>
    <w:p>
      <w:pPr>
        <w:numPr>
          <w:ilvl w:val="0"/>
          <w:numId w:val="1028"/>
        </w:numPr>
        <w:pStyle w:val="Compact"/>
      </w:pPr>
      <w:r>
        <w:t xml:space="preserve">Assesses technical feasibility</w:t>
      </w:r>
    </w:p>
    <w:p>
      <w:pPr>
        <w:pStyle w:val="FirstParagraph"/>
      </w:pPr>
      <w:r>
        <w:rPr>
          <w:b/>
        </w:rPr>
        <w:t xml:space="preserve">Step 3: Negotiation</w:t>
      </w:r>
    </w:p>
    <w:p>
      <w:pPr>
        <w:numPr>
          <w:ilvl w:val="0"/>
          <w:numId w:val="1029"/>
        </w:numPr>
        <w:pStyle w:val="Compact"/>
      </w:pPr>
      <w:r>
        <w:t xml:space="preserve">Data licensing terms (usage rights, geographic scope)</w:t>
      </w:r>
    </w:p>
    <w:p>
      <w:pPr>
        <w:numPr>
          <w:ilvl w:val="0"/>
          <w:numId w:val="1029"/>
        </w:numPr>
        <w:pStyle w:val="Compact"/>
      </w:pPr>
      <w:r>
        <w:t xml:space="preserve">Update frequency and delivery method</w:t>
      </w:r>
    </w:p>
    <w:p>
      <w:pPr>
        <w:numPr>
          <w:ilvl w:val="0"/>
          <w:numId w:val="1029"/>
        </w:numPr>
        <w:pStyle w:val="Compact"/>
      </w:pPr>
      <w:r>
        <w:t xml:space="preserve">Cost (if any) and SLA (Service Level Agreement)</w:t>
      </w:r>
    </w:p>
    <w:p>
      <w:pPr>
        <w:numPr>
          <w:ilvl w:val="0"/>
          <w:numId w:val="1029"/>
        </w:numPr>
        <w:pStyle w:val="Compact"/>
      </w:pPr>
      <w:r>
        <w:t xml:space="preserve">Data security requirements</w:t>
      </w:r>
    </w:p>
    <w:p>
      <w:pPr>
        <w:pStyle w:val="FirstParagraph"/>
      </w:pPr>
      <w:r>
        <w:rPr>
          <w:b/>
        </w:rPr>
        <w:t xml:space="preserve">Step 4: Integration</w:t>
      </w:r>
    </w:p>
    <w:p>
      <w:pPr>
        <w:numPr>
          <w:ilvl w:val="0"/>
          <w:numId w:val="1030"/>
        </w:numPr>
        <w:pStyle w:val="Compact"/>
      </w:pPr>
      <w:r>
        <w:t xml:space="preserve">API credentials provided (if digital agreement)</w:t>
      </w:r>
    </w:p>
    <w:p>
      <w:pPr>
        <w:numPr>
          <w:ilvl w:val="0"/>
          <w:numId w:val="1030"/>
        </w:numPr>
        <w:pStyle w:val="Compact"/>
      </w:pPr>
      <w:r>
        <w:t xml:space="preserve">Data format specification</w:t>
      </w:r>
    </w:p>
    <w:p>
      <w:pPr>
        <w:numPr>
          <w:ilvl w:val="0"/>
          <w:numId w:val="1030"/>
        </w:numPr>
        <w:pStyle w:val="Compact"/>
      </w:pPr>
      <w:r>
        <w:t xml:space="preserve">Support contact established</w:t>
      </w:r>
    </w:p>
    <w:p>
      <w:pPr>
        <w:pStyle w:val="Heading3"/>
      </w:pPr>
      <w:bookmarkStart w:id="46" w:name="likely-terms-for-ia-platform"/>
      <w:r>
        <w:t xml:space="preserve">5.2 Likely Terms for IA Platform</w:t>
      </w:r>
      <w:bookmarkEnd w:id="46"/>
    </w:p>
    <w:p>
      <w:pPr>
        <w:pStyle w:val="FirstParagraph"/>
      </w:pPr>
      <w:r>
        <w:rPr>
          <w:b/>
        </w:rPr>
        <w:t xml:space="preserve">Based on TARBIL precedent:</w:t>
      </w:r>
    </w:p>
    <w:p>
      <w:pPr>
        <w:pStyle w:val="BodyText"/>
      </w:pPr>
      <w:r>
        <w:rPr>
          <w:b/>
        </w:rPr>
        <w:t xml:space="preserve">Permitted Uses:</w:t>
      </w:r>
      <w:r>
        <w:t xml:space="preserve"> </w:t>
      </w:r>
      <w:r>
        <w:t xml:space="preserve">- Agricultural monitoring and advisory services</w:t>
      </w:r>
      <w:r>
        <w:t xml:space="preserve"> </w:t>
      </w:r>
      <w:r>
        <w:t xml:space="preserve">- Precision farming recommendations</w:t>
      </w:r>
      <w:r>
        <w:t xml:space="preserve"> </w:t>
      </w:r>
      <w:r>
        <w:t xml:space="preserve">- Farmer decision support</w:t>
      </w:r>
    </w:p>
    <w:p>
      <w:pPr>
        <w:pStyle w:val="BodyText"/>
      </w:pPr>
      <w:r>
        <w:rPr>
          <w:b/>
        </w:rPr>
        <w:t xml:space="preserve">Restricted Uses:</w:t>
      </w:r>
      <w:r>
        <w:t xml:space="preserve"> </w:t>
      </w:r>
      <w:r>
        <w:t xml:space="preserve">- Resale of raw cadastral data</w:t>
      </w:r>
      <w:r>
        <w:t xml:space="preserve"> </w:t>
      </w:r>
      <w:r>
        <w:t xml:space="preserve">- Unauthorized ownership data sharing</w:t>
      </w:r>
      <w:r>
        <w:t xml:space="preserve"> </w:t>
      </w:r>
      <w:r>
        <w:t xml:space="preserve">- Real estate speculation/valuation</w:t>
      </w:r>
    </w:p>
    <w:p>
      <w:pPr>
        <w:pStyle w:val="BodyText"/>
      </w:pPr>
      <w:r>
        <w:rPr>
          <w:b/>
        </w:rPr>
        <w:t xml:space="preserve">Data Security:</w:t>
      </w:r>
      <w:r>
        <w:t xml:space="preserve"> </w:t>
      </w:r>
      <w:r>
        <w:t xml:space="preserve">- KVKK compliance certification required</w:t>
      </w:r>
      <w:r>
        <w:t xml:space="preserve"> </w:t>
      </w:r>
      <w:r>
        <w:t xml:space="preserve">- Encrypted data transmission</w:t>
      </w:r>
      <w:r>
        <w:t xml:space="preserve"> </w:t>
      </w:r>
      <w:r>
        <w:t xml:space="preserve">- Access logs and audit trails</w:t>
      </w:r>
      <w:r>
        <w:t xml:space="preserve"> </w:t>
      </w:r>
      <w:r>
        <w:t xml:space="preserve">- Annual compliance review</w:t>
      </w:r>
    </w:p>
    <w:p>
      <w:pPr>
        <w:pStyle w:val="BodyText"/>
      </w:pPr>
      <w:r>
        <w:rPr>
          <w:b/>
        </w:rPr>
        <w:t xml:space="preserve">Cost Model:</w:t>
      </w:r>
      <w:r>
        <w:t xml:space="preserve"> </w:t>
      </w:r>
      <w:r>
        <w:t xml:space="preserve">- Likely FREE for agricultural use (public benefit)</w:t>
      </w:r>
      <w:r>
        <w:t xml:space="preserve"> </w:t>
      </w:r>
      <w:r>
        <w:t xml:space="preserve">- Possible small fee for data updates/SLA</w:t>
      </w:r>
      <w:r>
        <w:t xml:space="preserve"> </w:t>
      </w:r>
      <w:r>
        <w:t xml:space="preserve">- No licensing fees if non-competing with TKGM services</w:t>
      </w:r>
    </w:p>
    <w:p>
      <w:r>
        <w:pict>
          <v:rect style="width:0;height:1.5pt" o:hralign="center" o:hrstd="t" o:hr="t"/>
        </w:pict>
      </w:r>
    </w:p>
    <w:p>
      <w:pPr>
        <w:pStyle w:val="Heading2"/>
      </w:pPr>
      <w:bookmarkStart w:id="47" w:name="strategic-recommendations"/>
      <w:r>
        <w:t xml:space="preserve">6. STRATEGIC RECOMMENDATIONS</w:t>
      </w:r>
      <w:bookmarkEnd w:id="47"/>
    </w:p>
    <w:p>
      <w:pPr>
        <w:pStyle w:val="Heading3"/>
      </w:pPr>
      <w:bookmarkStart w:id="48" w:name="short-term-mvp-phase---year-1"/>
      <w:r>
        <w:t xml:space="preserve">6.1 Short-term (MVP Phase - Year 1)</w:t>
      </w:r>
      <w:bookmarkEnd w:id="48"/>
    </w:p>
    <w:p>
      <w:pPr>
        <w:pStyle w:val="FirstParagraph"/>
      </w:pPr>
      <w:r>
        <w:rPr>
          <w:b/>
        </w:rPr>
        <w:t xml:space="preserve">Without Government Agreement:</w:t>
      </w:r>
    </w:p>
    <w:p>
      <w:pPr>
        <w:numPr>
          <w:ilvl w:val="0"/>
          <w:numId w:val="1031"/>
        </w:numPr>
        <w:pStyle w:val="Compact"/>
      </w:pPr>
      <w:r>
        <w:rPr>
          <w:b/>
        </w:rPr>
        <w:t xml:space="preserve">Integrate public WMS services immediately</w:t>
      </w:r>
    </w:p>
    <w:p>
      <w:pPr>
        <w:numPr>
          <w:ilvl w:val="1"/>
          <w:numId w:val="1032"/>
        </w:numPr>
        <w:pStyle w:val="Compact"/>
      </w:pPr>
      <w:r>
        <w:t xml:space="preserve">Parcel boundaries from TKGM public WMS</w:t>
      </w:r>
    </w:p>
    <w:p>
      <w:pPr>
        <w:numPr>
          <w:ilvl w:val="1"/>
          <w:numId w:val="1032"/>
        </w:numPr>
        <w:pStyle w:val="Compact"/>
      </w:pPr>
      <w:r>
        <w:t xml:space="preserve">Orthophoto background layer</w:t>
      </w:r>
    </w:p>
    <w:p>
      <w:pPr>
        <w:numPr>
          <w:ilvl w:val="1"/>
          <w:numId w:val="1032"/>
        </w:numPr>
        <w:pStyle w:val="Compact"/>
      </w:pPr>
      <w:r>
        <w:t xml:space="preserve">Land cover classification from LPIS</w:t>
      </w:r>
    </w:p>
    <w:p>
      <w:pPr>
        <w:numPr>
          <w:ilvl w:val="0"/>
          <w:numId w:val="1031"/>
        </w:numPr>
        <w:pStyle w:val="Compact"/>
      </w:pPr>
      <w:r>
        <w:rPr>
          <w:b/>
        </w:rPr>
        <w:t xml:space="preserve">Combine with free data</w:t>
      </w:r>
    </w:p>
    <w:p>
      <w:pPr>
        <w:numPr>
          <w:ilvl w:val="1"/>
          <w:numId w:val="1033"/>
        </w:numPr>
        <w:pStyle w:val="Compact"/>
      </w:pPr>
      <w:r>
        <w:t xml:space="preserve">Sentinel satellite data (already planned)</w:t>
      </w:r>
    </w:p>
    <w:p>
      <w:pPr>
        <w:numPr>
          <w:ilvl w:val="1"/>
          <w:numId w:val="1033"/>
        </w:numPr>
        <w:pStyle w:val="Compact"/>
      </w:pPr>
      <w:r>
        <w:t xml:space="preserve">TARBIL weather station data (likely available)</w:t>
      </w:r>
    </w:p>
    <w:p>
      <w:pPr>
        <w:numPr>
          <w:ilvl w:val="1"/>
          <w:numId w:val="1033"/>
        </w:numPr>
        <w:pStyle w:val="Compact"/>
      </w:pPr>
      <w:r>
        <w:t xml:space="preserve">Ground IoT sensors</w:t>
      </w:r>
    </w:p>
    <w:p>
      <w:pPr>
        <w:numPr>
          <w:ilvl w:val="0"/>
          <w:numId w:val="1031"/>
        </w:numPr>
        <w:pStyle w:val="Compact"/>
      </w:pPr>
      <w:r>
        <w:rPr>
          <w:b/>
        </w:rPr>
        <w:t xml:space="preserve">Manual parcel verification</w:t>
      </w:r>
    </w:p>
    <w:p>
      <w:pPr>
        <w:numPr>
          <w:ilvl w:val="1"/>
          <w:numId w:val="1034"/>
        </w:numPr>
        <w:pStyle w:val="Compact"/>
      </w:pPr>
      <w:r>
        <w:t xml:space="preserve">Farmers provide field boundaries</w:t>
      </w:r>
    </w:p>
    <w:p>
      <w:pPr>
        <w:numPr>
          <w:ilvl w:val="1"/>
          <w:numId w:val="1034"/>
        </w:numPr>
        <w:pStyle w:val="Compact"/>
      </w:pPr>
      <w:r>
        <w:t xml:space="preserve">Validate against TKGM WMS layer</w:t>
      </w:r>
    </w:p>
    <w:p>
      <w:pPr>
        <w:numPr>
          <w:ilvl w:val="1"/>
          <w:numId w:val="1034"/>
        </w:numPr>
        <w:pStyle w:val="Compact"/>
      </w:pPr>
      <w:r>
        <w:t xml:space="preserve">Store in local database</w:t>
      </w:r>
    </w:p>
    <w:p>
      <w:pPr>
        <w:pStyle w:val="FirstParagraph"/>
      </w:pPr>
      <w:r>
        <w:rPr>
          <w:b/>
        </w:rPr>
        <w:t xml:space="preserve">Implementation Cost:</w:t>
      </w:r>
      <w:r>
        <w:t xml:space="preserve"> </w:t>
      </w:r>
      <w:r>
        <w:t xml:space="preserve">$0 (use public services only)</w:t>
      </w:r>
    </w:p>
    <w:p>
      <w:pPr>
        <w:pStyle w:val="Heading3"/>
      </w:pPr>
      <w:bookmarkStart w:id="49" w:name="medium-term-year-1-2"/>
      <w:r>
        <w:t xml:space="preserve">6.2 Medium-term (Year 1-2)</w:t>
      </w:r>
      <w:bookmarkEnd w:id="49"/>
    </w:p>
    <w:p>
      <w:pPr>
        <w:pStyle w:val="FirstParagraph"/>
      </w:pPr>
      <w:r>
        <w:rPr>
          <w:b/>
        </w:rPr>
        <w:t xml:space="preserve">Initiate government partnership:</w:t>
      </w:r>
    </w:p>
    <w:p>
      <w:pPr>
        <w:numPr>
          <w:ilvl w:val="0"/>
          <w:numId w:val="1035"/>
        </w:numPr>
        <w:pStyle w:val="Compact"/>
      </w:pPr>
      <w:r>
        <w:rPr>
          <w:b/>
        </w:rPr>
        <w:t xml:space="preserve">Engage TKGM/Ministry of Agriculture</w:t>
      </w:r>
    </w:p>
    <w:p>
      <w:pPr>
        <w:numPr>
          <w:ilvl w:val="1"/>
          <w:numId w:val="1036"/>
        </w:numPr>
        <w:pStyle w:val="Compact"/>
      </w:pPr>
      <w:r>
        <w:t xml:space="preserve">Present IA Platform value proposition</w:t>
      </w:r>
    </w:p>
    <w:p>
      <w:pPr>
        <w:numPr>
          <w:ilvl w:val="1"/>
          <w:numId w:val="1036"/>
        </w:numPr>
        <w:pStyle w:val="Compact"/>
      </w:pPr>
      <w:r>
        <w:t xml:space="preserve">Reference TARBIL model</w:t>
      </w:r>
    </w:p>
    <w:p>
      <w:pPr>
        <w:numPr>
          <w:ilvl w:val="1"/>
          <w:numId w:val="1036"/>
        </w:numPr>
        <w:pStyle w:val="Compact"/>
      </w:pPr>
      <w:r>
        <w:t xml:space="preserve">Request data sharing discussion</w:t>
      </w:r>
    </w:p>
    <w:p>
      <w:pPr>
        <w:numPr>
          <w:ilvl w:val="0"/>
          <w:numId w:val="1035"/>
        </w:numPr>
        <w:pStyle w:val="Compact"/>
      </w:pPr>
      <w:r>
        <w:rPr>
          <w:b/>
        </w:rPr>
        <w:t xml:space="preserve">Negotiate agreement</w:t>
      </w:r>
    </w:p>
    <w:p>
      <w:pPr>
        <w:numPr>
          <w:ilvl w:val="1"/>
          <w:numId w:val="1037"/>
        </w:numPr>
        <w:pStyle w:val="Compact"/>
      </w:pPr>
      <w:r>
        <w:t xml:space="preserve">Parcel boundary data feed</w:t>
      </w:r>
    </w:p>
    <w:p>
      <w:pPr>
        <w:numPr>
          <w:ilvl w:val="1"/>
          <w:numId w:val="1037"/>
        </w:numPr>
        <w:pStyle w:val="Compact"/>
      </w:pPr>
      <w:r>
        <w:t xml:space="preserve">LPIS land cover updates</w:t>
      </w:r>
    </w:p>
    <w:p>
      <w:pPr>
        <w:numPr>
          <w:ilvl w:val="1"/>
          <w:numId w:val="1037"/>
        </w:numPr>
        <w:pStyle w:val="Compact"/>
      </w:pPr>
      <w:r>
        <w:t xml:space="preserve">Historical ownership info (anonymized)</w:t>
      </w:r>
    </w:p>
    <w:p>
      <w:pPr>
        <w:numPr>
          <w:ilvl w:val="0"/>
          <w:numId w:val="1035"/>
        </w:numPr>
        <w:pStyle w:val="Compact"/>
      </w:pPr>
      <w:r>
        <w:rPr>
          <w:b/>
        </w:rPr>
        <w:t xml:space="preserve">Integrate via secure API</w:t>
      </w:r>
    </w:p>
    <w:p>
      <w:pPr>
        <w:numPr>
          <w:ilvl w:val="1"/>
          <w:numId w:val="1038"/>
        </w:numPr>
        <w:pStyle w:val="Compact"/>
      </w:pPr>
      <w:r>
        <w:t xml:space="preserve">Real-time parcel data lookups</w:t>
      </w:r>
    </w:p>
    <w:p>
      <w:pPr>
        <w:numPr>
          <w:ilvl w:val="1"/>
          <w:numId w:val="1038"/>
        </w:numPr>
        <w:pStyle w:val="Compact"/>
      </w:pPr>
      <w:r>
        <w:t xml:space="preserve">Bulk data updates</w:t>
      </w:r>
    </w:p>
    <w:p>
      <w:pPr>
        <w:numPr>
          <w:ilvl w:val="1"/>
          <w:numId w:val="1038"/>
        </w:numPr>
        <w:pStyle w:val="Compact"/>
      </w:pPr>
      <w:r>
        <w:t xml:space="preserve">Webhook notifications for boundary changes</w:t>
      </w:r>
    </w:p>
    <w:p>
      <w:pPr>
        <w:pStyle w:val="FirstParagraph"/>
      </w:pPr>
      <w:r>
        <w:rPr>
          <w:b/>
        </w:rPr>
        <w:t xml:space="preserve">Timeline:</w:t>
      </w:r>
      <w:r>
        <w:t xml:space="preserve"> </w:t>
      </w:r>
      <w:r>
        <w:t xml:space="preserve">6-12 months for agreement negotiation</w:t>
      </w:r>
      <w:r>
        <w:br/>
      </w:r>
      <w:r>
        <w:rPr>
          <w:b/>
        </w:rPr>
        <w:t xml:space="preserve">Cost:</w:t>
      </w:r>
      <w:r>
        <w:t xml:space="preserve"> </w:t>
      </w:r>
      <w:r>
        <w:t xml:space="preserve">$0-50K annually (estimated based on TARBIL model)</w:t>
      </w:r>
    </w:p>
    <w:p>
      <w:pPr>
        <w:pStyle w:val="Heading3"/>
      </w:pPr>
      <w:bookmarkStart w:id="50" w:name="long-term-year-2"/>
      <w:r>
        <w:t xml:space="preserve">6.3 Long-term (Year 2+)</w:t>
      </w:r>
      <w:bookmarkEnd w:id="50"/>
    </w:p>
    <w:p>
      <w:pPr>
        <w:pStyle w:val="FirstParagraph"/>
      </w:pPr>
      <w:r>
        <w:rPr>
          <w:b/>
        </w:rPr>
        <w:t xml:space="preserve">Advanced capabilities with government data:</w:t>
      </w:r>
    </w:p>
    <w:p>
      <w:pPr>
        <w:numPr>
          <w:ilvl w:val="0"/>
          <w:numId w:val="1039"/>
        </w:numPr>
        <w:pStyle w:val="Compact"/>
      </w:pPr>
      <w:r>
        <w:rPr>
          <w:b/>
        </w:rPr>
        <w:t xml:space="preserve">Ownership verification</w:t>
      </w:r>
    </w:p>
    <w:p>
      <w:pPr>
        <w:numPr>
          <w:ilvl w:val="1"/>
          <w:numId w:val="1040"/>
        </w:numPr>
        <w:pStyle w:val="Compact"/>
      </w:pPr>
      <w:r>
        <w:t xml:space="preserve">Link farmer profiles to TKGM records</w:t>
      </w:r>
    </w:p>
    <w:p>
      <w:pPr>
        <w:numPr>
          <w:ilvl w:val="1"/>
          <w:numId w:val="1040"/>
        </w:numPr>
        <w:pStyle w:val="Compact"/>
      </w:pPr>
      <w:r>
        <w:t xml:space="preserve">Authenticate field access</w:t>
      </w:r>
    </w:p>
    <w:p>
      <w:pPr>
        <w:numPr>
          <w:ilvl w:val="1"/>
          <w:numId w:val="1040"/>
        </w:numPr>
        <w:pStyle w:val="Compact"/>
      </w:pPr>
      <w:r>
        <w:t xml:space="preserve">Enable financial services (subsidy integration)</w:t>
      </w:r>
    </w:p>
    <w:p>
      <w:pPr>
        <w:numPr>
          <w:ilvl w:val="0"/>
          <w:numId w:val="1039"/>
        </w:numPr>
        <w:pStyle w:val="Compact"/>
      </w:pPr>
      <w:r>
        <w:rPr>
          <w:b/>
        </w:rPr>
        <w:t xml:space="preserve">Regulatory compliance</w:t>
      </w:r>
    </w:p>
    <w:p>
      <w:pPr>
        <w:numPr>
          <w:ilvl w:val="1"/>
          <w:numId w:val="1041"/>
        </w:numPr>
        <w:pStyle w:val="Compact"/>
      </w:pPr>
      <w:r>
        <w:t xml:space="preserve">Track CAP (Common Agricultural Policy) compliance</w:t>
      </w:r>
    </w:p>
    <w:p>
      <w:pPr>
        <w:numPr>
          <w:ilvl w:val="1"/>
          <w:numId w:val="1041"/>
        </w:numPr>
        <w:pStyle w:val="Compact"/>
      </w:pPr>
      <w:r>
        <w:t xml:space="preserve">Monitor land use changes</w:t>
      </w:r>
    </w:p>
    <w:p>
      <w:pPr>
        <w:numPr>
          <w:ilvl w:val="1"/>
          <w:numId w:val="1041"/>
        </w:numPr>
        <w:pStyle w:val="Compact"/>
      </w:pPr>
      <w:r>
        <w:t xml:space="preserve">Report to Ministry of Agriculture</w:t>
      </w:r>
    </w:p>
    <w:p>
      <w:pPr>
        <w:numPr>
          <w:ilvl w:val="0"/>
          <w:numId w:val="1039"/>
        </w:numPr>
        <w:pStyle w:val="Compact"/>
      </w:pPr>
      <w:r>
        <w:rPr>
          <w:b/>
        </w:rPr>
        <w:t xml:space="preserve">Value-added services</w:t>
      </w:r>
    </w:p>
    <w:p>
      <w:pPr>
        <w:numPr>
          <w:ilvl w:val="1"/>
          <w:numId w:val="1042"/>
        </w:numPr>
        <w:pStyle w:val="Compact"/>
      </w:pPr>
      <w:r>
        <w:t xml:space="preserve">Subsidies optimizer (LPIS + TARBIL + IA analysis)</w:t>
      </w:r>
    </w:p>
    <w:p>
      <w:pPr>
        <w:numPr>
          <w:ilvl w:val="1"/>
          <w:numId w:val="1042"/>
        </w:numPr>
        <w:pStyle w:val="Compact"/>
      </w:pPr>
      <w:r>
        <w:t xml:space="preserve">Land value estimation</w:t>
      </w:r>
    </w:p>
    <w:p>
      <w:pPr>
        <w:numPr>
          <w:ilvl w:val="1"/>
          <w:numId w:val="1042"/>
        </w:numPr>
        <w:pStyle w:val="Compact"/>
      </w:pPr>
      <w:r>
        <w:t xml:space="preserve">Environmental compliance scoring</w:t>
      </w:r>
    </w:p>
    <w:p>
      <w:r>
        <w:pict>
          <v:rect style="width:0;height:1.5pt" o:hralign="center" o:hrstd="t" o:hr="t"/>
        </w:pict>
      </w:r>
    </w:p>
    <w:p>
      <w:pPr>
        <w:pStyle w:val="Heading2"/>
      </w:pPr>
      <w:bookmarkStart w:id="51" w:name="integration-cost-effort-estimate"/>
      <w:r>
        <w:t xml:space="preserve">7. INTEGRATION COST &amp; EFFORT ESTIMATE</w:t>
      </w:r>
      <w:bookmarkEnd w:id="51"/>
    </w:p>
    <w:p>
      <w:pPr>
        <w:pStyle w:val="Heading3"/>
      </w:pPr>
      <w:bookmarkStart w:id="52" w:name="technical-development"/>
      <w:r>
        <w:t xml:space="preserve">7.1 Technical Development</w:t>
      </w:r>
      <w:bookmarkEnd w:id="52"/>
    </w:p>
    <w:tbl>
      <w:tblPr>
        <w:tblStyle w:val="Table"/>
        <w:tblW w:type="pct" w:w="0.0"/>
        <w:tblLook w:firstRow="1"/>
      </w:tblPr>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Task</w:t>
            </w:r>
          </w:p>
        </w:tc>
        <w:tc>
          <w:tcPr>
            <w:tcBorders>
              <w:bottom w:val="single"/>
            </w:tcBorders>
            <w:vAlign w:val="bottom"/>
          </w:tcPr>
          <w:p>
            <w:pPr>
              <w:pStyle w:val="Compact"/>
              <w:jc w:val="left"/>
            </w:pPr>
            <w:r>
              <w:t xml:space="preserve">Effort</w:t>
            </w:r>
          </w:p>
        </w:tc>
        <w:tc>
          <w:tcPr>
            <w:tcBorders>
              <w:bottom w:val="single"/>
            </w:tcBorders>
            <w:vAlign w:val="bottom"/>
          </w:tcPr>
          <w:p>
            <w:pPr>
              <w:pStyle w:val="Compact"/>
              <w:jc w:val="left"/>
            </w:pPr>
            <w:r>
              <w:t xml:space="preserve">Cost</w:t>
            </w:r>
          </w:p>
        </w:tc>
      </w:tr>
      <w:tr>
        <w:tc>
          <w:p>
            <w:pPr>
              <w:pStyle w:val="Compact"/>
              <w:jc w:val="left"/>
            </w:pPr>
            <w:r>
              <w:t xml:space="preserve">MVP</w:t>
            </w:r>
          </w:p>
        </w:tc>
        <w:tc>
          <w:p>
            <w:pPr>
              <w:pStyle w:val="Compact"/>
              <w:jc w:val="left"/>
            </w:pPr>
            <w:r>
              <w:t xml:space="preserve">WMS/WFS integration</w:t>
            </w:r>
          </w:p>
        </w:tc>
        <w:tc>
          <w:p>
            <w:pPr>
              <w:pStyle w:val="Compact"/>
              <w:jc w:val="left"/>
            </w:pPr>
            <w:r>
              <w:t xml:space="preserve">2-3 weeks</w:t>
            </w:r>
          </w:p>
        </w:tc>
        <w:tc>
          <w:p>
            <w:pPr>
              <w:pStyle w:val="Compact"/>
              <w:jc w:val="left"/>
            </w:pPr>
            <w:r>
              <w:t xml:space="preserve">$5K-8K</w:t>
            </w:r>
          </w:p>
        </w:tc>
      </w:tr>
      <w:tr>
        <w:tc>
          <w:p>
            <w:pPr>
              <w:pStyle w:val="Compact"/>
              <w:jc w:val="left"/>
            </w:pPr>
            <w:r>
              <w:t xml:space="preserve">MVP</w:t>
            </w:r>
          </w:p>
        </w:tc>
        <w:tc>
          <w:p>
            <w:pPr>
              <w:pStyle w:val="Compact"/>
              <w:jc w:val="left"/>
            </w:pPr>
            <w:r>
              <w:t xml:space="preserve">PostGIS parcel database</w:t>
            </w:r>
          </w:p>
        </w:tc>
        <w:tc>
          <w:p>
            <w:pPr>
              <w:pStyle w:val="Compact"/>
              <w:jc w:val="left"/>
            </w:pPr>
            <w:r>
              <w:t xml:space="preserve">1-2 weeks</w:t>
            </w:r>
          </w:p>
        </w:tc>
        <w:tc>
          <w:p>
            <w:pPr>
              <w:pStyle w:val="Compact"/>
              <w:jc w:val="left"/>
            </w:pPr>
            <w:r>
              <w:t xml:space="preserve">$2K-4K</w:t>
            </w:r>
          </w:p>
        </w:tc>
      </w:tr>
      <w:tr>
        <w:tc>
          <w:p>
            <w:pPr>
              <w:pStyle w:val="Compact"/>
              <w:jc w:val="left"/>
            </w:pPr>
            <w:r>
              <w:t xml:space="preserve">Scale</w:t>
            </w:r>
          </w:p>
        </w:tc>
        <w:tc>
          <w:p>
            <w:pPr>
              <w:pStyle w:val="Compact"/>
              <w:jc w:val="left"/>
            </w:pPr>
            <w:r>
              <w:t xml:space="preserve">API integration layer</w:t>
            </w:r>
          </w:p>
        </w:tc>
        <w:tc>
          <w:p>
            <w:pPr>
              <w:pStyle w:val="Compact"/>
              <w:jc w:val="left"/>
            </w:pPr>
            <w:r>
              <w:t xml:space="preserve">3-4 weeks</w:t>
            </w:r>
          </w:p>
        </w:tc>
        <w:tc>
          <w:p>
            <w:pPr>
              <w:pStyle w:val="Compact"/>
              <w:jc w:val="left"/>
            </w:pPr>
            <w:r>
              <w:t xml:space="preserve">$8K-12K</w:t>
            </w:r>
          </w:p>
        </w:tc>
      </w:tr>
      <w:tr>
        <w:tc>
          <w:p>
            <w:pPr>
              <w:pStyle w:val="Compact"/>
              <w:jc w:val="left"/>
            </w:pPr>
            <w:r>
              <w:t xml:space="preserve">Enterprise</w:t>
            </w:r>
          </w:p>
        </w:tc>
        <w:tc>
          <w:p>
            <w:pPr>
              <w:pStyle w:val="Compact"/>
              <w:jc w:val="left"/>
            </w:pPr>
            <w:r>
              <w:t xml:space="preserve">Real-time sync + caching</w:t>
            </w:r>
          </w:p>
        </w:tc>
        <w:tc>
          <w:p>
            <w:pPr>
              <w:pStyle w:val="Compact"/>
              <w:jc w:val="left"/>
            </w:pPr>
            <w:r>
              <w:t xml:space="preserve">2-3 weeks</w:t>
            </w:r>
          </w:p>
        </w:tc>
        <w:tc>
          <w:p>
            <w:pPr>
              <w:pStyle w:val="Compact"/>
              <w:jc w:val="left"/>
            </w:pPr>
            <w:r>
              <w:t xml:space="preserve">$5K-8K</w:t>
            </w:r>
          </w:p>
        </w:tc>
      </w:tr>
    </w:tbl>
    <w:p>
      <w:pPr>
        <w:pStyle w:val="BodyText"/>
      </w:pPr>
      <w:r>
        <w:rPr>
          <w:b/>
        </w:rPr>
        <w:t xml:space="preserve">Total Development:</w:t>
      </w:r>
      <w:r>
        <w:t xml:space="preserve"> </w:t>
      </w:r>
      <w:r>
        <w:t xml:space="preserve">$20K-32K</w:t>
      </w:r>
    </w:p>
    <w:p>
      <w:pPr>
        <w:pStyle w:val="Heading3"/>
      </w:pPr>
      <w:bookmarkStart w:id="53" w:name="data-licensing-agreements"/>
      <w:r>
        <w:t xml:space="preserve">7.2 Data Licensing &amp; Agreements</w:t>
      </w:r>
      <w:bookmarkEnd w:id="53"/>
    </w:p>
    <w:tbl>
      <w:tblPr>
        <w:tblStyle w:val="Table"/>
        <w:tblW w:type="pct" w:w="0.0"/>
        <w:tblLook w:firstRow="1"/>
      </w:tblPr>
      <w:tblGrid/>
      <w:tr>
        <w:trPr>
          <w:cnfStyle w:firstRow="1"/>
        </w:trPr>
        <w:tc>
          <w:tcPr>
            <w:tcBorders>
              <w:bottom w:val="single"/>
            </w:tcBorders>
            <w:vAlign w:val="bottom"/>
          </w:tcPr>
          <w:p>
            <w:pPr>
              <w:pStyle w:val="Compact"/>
              <w:jc w:val="left"/>
            </w:pPr>
            <w:r>
              <w:t xml:space="preserve">Scenario</w:t>
            </w:r>
          </w:p>
        </w:tc>
        <w:tc>
          <w:tcPr>
            <w:tcBorders>
              <w:bottom w:val="single"/>
            </w:tcBorders>
            <w:vAlign w:val="bottom"/>
          </w:tcPr>
          <w:p>
            <w:pPr>
              <w:pStyle w:val="Compact"/>
              <w:jc w:val="left"/>
            </w:pPr>
            <w:r>
              <w:t xml:space="preserve">Cost</w:t>
            </w:r>
          </w:p>
        </w:tc>
      </w:tr>
      <w:tr>
        <w:tc>
          <w:p>
            <w:pPr>
              <w:pStyle w:val="Compact"/>
              <w:jc w:val="left"/>
            </w:pPr>
            <w:r>
              <w:t xml:space="preserve">Public WMS only (no agreement)</w:t>
            </w:r>
          </w:p>
        </w:tc>
        <w:tc>
          <w:p>
            <w:pPr>
              <w:pStyle w:val="Compact"/>
              <w:jc w:val="left"/>
            </w:pPr>
            <w:r>
              <w:t xml:space="preserve">$0</w:t>
            </w:r>
          </w:p>
        </w:tc>
      </w:tr>
      <w:tr>
        <w:tc>
          <w:p>
            <w:pPr>
              <w:pStyle w:val="Compact"/>
              <w:jc w:val="left"/>
            </w:pPr>
            <w:r>
              <w:t xml:space="preserve">Government data agreement</w:t>
            </w:r>
          </w:p>
        </w:tc>
        <w:tc>
          <w:p>
            <w:pPr>
              <w:pStyle w:val="Compact"/>
              <w:jc w:val="left"/>
            </w:pPr>
            <w:r>
              <w:t xml:space="preserve">$0-50K/year</w:t>
            </w:r>
          </w:p>
        </w:tc>
      </w:tr>
      <w:tr>
        <w:tc>
          <w:p>
            <w:pPr>
              <w:pStyle w:val="Compact"/>
              <w:jc w:val="left"/>
            </w:pPr>
            <w:r>
              <w:t xml:space="preserve">Premium data feeds (TARBIL subset)</w:t>
            </w:r>
          </w:p>
        </w:tc>
        <w:tc>
          <w:p>
            <w:pPr>
              <w:pStyle w:val="Compact"/>
              <w:jc w:val="left"/>
            </w:pPr>
            <w:r>
              <w:t xml:space="preserve">$20K-50K/year</w:t>
            </w:r>
          </w:p>
        </w:tc>
      </w:tr>
    </w:tbl>
    <w:p>
      <w:pPr>
        <w:pStyle w:val="Heading3"/>
      </w:pPr>
      <w:bookmarkStart w:id="54" w:name="infrastructure"/>
      <w:r>
        <w:t xml:space="preserve">7.3 Infrastructure</w:t>
      </w:r>
      <w:bookmarkEnd w:id="54"/>
    </w:p>
    <w:tbl>
      <w:tblPr>
        <w:tblStyle w:val="Table"/>
        <w:tblW w:type="pct" w:w="0.0"/>
        <w:tblLook w:firstRow="1"/>
      </w:tblPr>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Annual Cost</w:t>
            </w:r>
          </w:p>
        </w:tc>
      </w:tr>
      <w:tr>
        <w:tc>
          <w:p>
            <w:pPr>
              <w:pStyle w:val="Compact"/>
              <w:jc w:val="left"/>
            </w:pPr>
            <w:r>
              <w:t xml:space="preserve">GIS database (PostGIS)</w:t>
            </w:r>
          </w:p>
        </w:tc>
        <w:tc>
          <w:p>
            <w:pPr>
              <w:pStyle w:val="Compact"/>
              <w:jc w:val="left"/>
            </w:pPr>
            <w:r>
              <w:t xml:space="preserve">$2K-5K</w:t>
            </w:r>
          </w:p>
        </w:tc>
      </w:tr>
      <w:tr>
        <w:tc>
          <w:p>
            <w:pPr>
              <w:pStyle w:val="Compact"/>
              <w:jc w:val="left"/>
            </w:pPr>
            <w:r>
              <w:t xml:space="preserve">Map tile server</w:t>
            </w:r>
          </w:p>
        </w:tc>
        <w:tc>
          <w:p>
            <w:pPr>
              <w:pStyle w:val="Compact"/>
              <w:jc w:val="left"/>
            </w:pPr>
            <w:r>
              <w:t xml:space="preserve">$1K-3K</w:t>
            </w:r>
          </w:p>
        </w:tc>
      </w:tr>
      <w:tr>
        <w:tc>
          <w:p>
            <w:pPr>
              <w:pStyle w:val="Compact"/>
              <w:jc w:val="left"/>
            </w:pPr>
            <w:r>
              <w:t xml:space="preserve">API gateway</w:t>
            </w:r>
          </w:p>
        </w:tc>
        <w:tc>
          <w:p>
            <w:pPr>
              <w:pStyle w:val="Compact"/>
              <w:jc w:val="left"/>
            </w:pPr>
            <w:r>
              <w:t xml:space="preserve">$1K-2K</w:t>
            </w:r>
          </w:p>
        </w:tc>
      </w:tr>
      <w:tr>
        <w:tc>
          <w:p>
            <w:pPr>
              <w:pStyle w:val="Compact"/>
              <w:jc w:val="left"/>
            </w:pPr>
            <w:r>
              <w:t xml:space="preserve">Caching layer</w:t>
            </w:r>
          </w:p>
        </w:tc>
        <w:tc>
          <w:p>
            <w:pPr>
              <w:pStyle w:val="Compact"/>
              <w:jc w:val="left"/>
            </w:pPr>
            <w:r>
              <w:t xml:space="preserve">$1K-2K</w:t>
            </w:r>
          </w:p>
        </w:tc>
      </w:tr>
    </w:tbl>
    <w:p>
      <w:pPr>
        <w:pStyle w:val="BodyText"/>
      </w:pPr>
      <w:r>
        <w:rPr>
          <w:b/>
        </w:rPr>
        <w:t xml:space="preserve">Total Infrastructure:</w:t>
      </w:r>
      <w:r>
        <w:t xml:space="preserve"> </w:t>
      </w:r>
      <w:r>
        <w:t xml:space="preserve">$5K-12K/year</w:t>
      </w:r>
    </w:p>
    <w:p>
      <w:r>
        <w:pict>
          <v:rect style="width:0;height:1.5pt" o:hralign="center" o:hrstd="t" o:hr="t"/>
        </w:pict>
      </w:r>
    </w:p>
    <w:p>
      <w:pPr>
        <w:pStyle w:val="Heading2"/>
      </w:pPr>
      <w:bookmarkStart w:id="55" w:name="risk-assessment"/>
      <w:r>
        <w:t xml:space="preserve">8. RISK ASSESSMENT</w:t>
      </w:r>
      <w:bookmarkEnd w:id="55"/>
    </w:p>
    <w:p>
      <w:pPr>
        <w:pStyle w:val="Heading3"/>
      </w:pPr>
      <w:bookmarkStart w:id="56" w:name="technical-risks-low-medium"/>
      <w:r>
        <w:t xml:space="preserve">Technical Risks: LOW-MEDIUM</w:t>
      </w:r>
      <w:bookmarkEnd w:id="56"/>
    </w:p>
    <w:tbl>
      <w:tblPr>
        <w:tblStyle w:val="Table"/>
        <w:tblW w:type="pct" w:w="0.0"/>
        <w:tblLook w:firstRow="1"/>
      </w:tblPr>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Likelihood</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Mitigation</w:t>
            </w:r>
          </w:p>
        </w:tc>
      </w:tr>
      <w:tr>
        <w:tc>
          <w:p>
            <w:pPr>
              <w:pStyle w:val="Compact"/>
              <w:jc w:val="left"/>
            </w:pPr>
            <w:r>
              <w:t xml:space="preserve">WMS service downtime</w:t>
            </w:r>
          </w:p>
        </w:tc>
        <w:tc>
          <w:p>
            <w:pPr>
              <w:pStyle w:val="Compact"/>
              <w:jc w:val="left"/>
            </w:pPr>
            <w:r>
              <w:t xml:space="preserve">Low</w:t>
            </w:r>
          </w:p>
        </w:tc>
        <w:tc>
          <w:p>
            <w:pPr>
              <w:pStyle w:val="Compact"/>
              <w:jc w:val="left"/>
            </w:pPr>
            <w:r>
              <w:t xml:space="preserve">Medium</w:t>
            </w:r>
          </w:p>
        </w:tc>
        <w:tc>
          <w:p>
            <w:pPr>
              <w:pStyle w:val="Compact"/>
              <w:jc w:val="left"/>
            </w:pPr>
            <w:r>
              <w:t xml:space="preserve">Local cache, fallback layers</w:t>
            </w:r>
          </w:p>
        </w:tc>
      </w:tr>
      <w:tr>
        <w:tc>
          <w:p>
            <w:pPr>
              <w:pStyle w:val="Compact"/>
              <w:jc w:val="left"/>
            </w:pPr>
            <w:r>
              <w:t xml:space="preserve">Data format changes</w:t>
            </w:r>
          </w:p>
        </w:tc>
        <w:tc>
          <w:p>
            <w:pPr>
              <w:pStyle w:val="Compact"/>
              <w:jc w:val="left"/>
            </w:pPr>
            <w:r>
              <w:t xml:space="preserve">Medium</w:t>
            </w:r>
          </w:p>
        </w:tc>
        <w:tc>
          <w:p>
            <w:pPr>
              <w:pStyle w:val="Compact"/>
              <w:jc w:val="left"/>
            </w:pPr>
            <w:r>
              <w:t xml:space="preserve">Low</w:t>
            </w:r>
          </w:p>
        </w:tc>
        <w:tc>
          <w:p>
            <w:pPr>
              <w:pStyle w:val="Compact"/>
              <w:jc w:val="left"/>
            </w:pPr>
            <w:r>
              <w:t xml:space="preserve">Version control, monitoring</w:t>
            </w:r>
          </w:p>
        </w:tc>
      </w:tr>
      <w:tr>
        <w:tc>
          <w:p>
            <w:pPr>
              <w:pStyle w:val="Compact"/>
              <w:jc w:val="left"/>
            </w:pPr>
            <w:r>
              <w:t xml:space="preserve">CORS/security blocks</w:t>
            </w:r>
          </w:p>
        </w:tc>
        <w:tc>
          <w:p>
            <w:pPr>
              <w:pStyle w:val="Compact"/>
              <w:jc w:val="left"/>
            </w:pPr>
            <w:r>
              <w:t xml:space="preserve">Medium</w:t>
            </w:r>
          </w:p>
        </w:tc>
        <w:tc>
          <w:p>
            <w:pPr>
              <w:pStyle w:val="Compact"/>
              <w:jc w:val="left"/>
            </w:pPr>
            <w:r>
              <w:t xml:space="preserve">Low</w:t>
            </w:r>
          </w:p>
        </w:tc>
        <w:tc>
          <w:p>
            <w:pPr>
              <w:pStyle w:val="Compact"/>
              <w:jc w:val="left"/>
            </w:pPr>
            <w:r>
              <w:t xml:space="preserve">Proxy server, header negotiation</w:t>
            </w:r>
          </w:p>
        </w:tc>
      </w:tr>
    </w:tbl>
    <w:p>
      <w:pPr>
        <w:pStyle w:val="Heading3"/>
      </w:pPr>
      <w:bookmarkStart w:id="57" w:name="regulatory-risks-low-medium"/>
      <w:r>
        <w:t xml:space="preserve">Regulatory Risks: LOW-MEDIUM</w:t>
      </w:r>
      <w:bookmarkEnd w:id="57"/>
    </w:p>
    <w:tbl>
      <w:tblPr>
        <w:tblStyle w:val="Table"/>
        <w:tblW w:type="pct" w:w="0.0"/>
        <w:tblLook w:firstRow="1"/>
      </w:tblPr>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Likelihood</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Mitigation</w:t>
            </w:r>
          </w:p>
        </w:tc>
      </w:tr>
      <w:tr>
        <w:tc>
          <w:p>
            <w:pPr>
              <w:pStyle w:val="Compact"/>
              <w:jc w:val="left"/>
            </w:pPr>
            <w:r>
              <w:t xml:space="preserve">KVKK compliance issue</w:t>
            </w:r>
          </w:p>
        </w:tc>
        <w:tc>
          <w:p>
            <w:pPr>
              <w:pStyle w:val="Compact"/>
              <w:jc w:val="left"/>
            </w:pPr>
            <w:r>
              <w:t xml:space="preserve">Low</w:t>
            </w:r>
          </w:p>
        </w:tc>
        <w:tc>
          <w:p>
            <w:pPr>
              <w:pStyle w:val="Compact"/>
              <w:jc w:val="left"/>
            </w:pPr>
            <w:r>
              <w:t xml:space="preserve">High</w:t>
            </w:r>
          </w:p>
        </w:tc>
        <w:tc>
          <w:p>
            <w:pPr>
              <w:pStyle w:val="Compact"/>
              <w:jc w:val="left"/>
            </w:pPr>
            <w:r>
              <w:t xml:space="preserve">Privacy impact assessment, legal review</w:t>
            </w:r>
          </w:p>
        </w:tc>
      </w:tr>
      <w:tr>
        <w:tc>
          <w:p>
            <w:pPr>
              <w:pStyle w:val="Compact"/>
              <w:jc w:val="left"/>
            </w:pPr>
            <w:r>
              <w:t xml:space="preserve">Agreement denial</w:t>
            </w:r>
          </w:p>
        </w:tc>
        <w:tc>
          <w:p>
            <w:pPr>
              <w:pStyle w:val="Compact"/>
              <w:jc w:val="left"/>
            </w:pPr>
            <w:r>
              <w:t xml:space="preserve">Low</w:t>
            </w:r>
          </w:p>
        </w:tc>
        <w:tc>
          <w:p>
            <w:pPr>
              <w:pStyle w:val="Compact"/>
              <w:jc w:val="left"/>
            </w:pPr>
            <w:r>
              <w:t xml:space="preserve">Medium</w:t>
            </w:r>
          </w:p>
        </w:tc>
        <w:tc>
          <w:p>
            <w:pPr>
              <w:pStyle w:val="Compact"/>
              <w:jc w:val="left"/>
            </w:pPr>
            <w:r>
              <w:t xml:space="preserve">Business case to Ministry, partnership building</w:t>
            </w:r>
          </w:p>
        </w:tc>
      </w:tr>
      <w:tr>
        <w:tc>
          <w:p>
            <w:pPr>
              <w:pStyle w:val="Compact"/>
              <w:jc w:val="left"/>
            </w:pPr>
            <w:r>
              <w:t xml:space="preserve">Data licensing dispute</w:t>
            </w:r>
          </w:p>
        </w:tc>
        <w:tc>
          <w:p>
            <w:pPr>
              <w:pStyle w:val="Compact"/>
              <w:jc w:val="left"/>
            </w:pPr>
            <w:r>
              <w:t xml:space="preserve">Low</w:t>
            </w:r>
          </w:p>
        </w:tc>
        <w:tc>
          <w:p>
            <w:pPr>
              <w:pStyle w:val="Compact"/>
              <w:jc w:val="left"/>
            </w:pPr>
            <w:r>
              <w:t xml:space="preserve">Medium</w:t>
            </w:r>
          </w:p>
        </w:tc>
        <w:tc>
          <w:p>
            <w:pPr>
              <w:pStyle w:val="Compact"/>
              <w:jc w:val="left"/>
            </w:pPr>
            <w:r>
              <w:t xml:space="preserve">Clear contract terms, documented use</w:t>
            </w:r>
          </w:p>
        </w:tc>
      </w:tr>
    </w:tbl>
    <w:p>
      <w:pPr>
        <w:pStyle w:val="Heading3"/>
      </w:pPr>
      <w:bookmarkStart w:id="58" w:name="data-quality-risks-medium"/>
      <w:r>
        <w:t xml:space="preserve">Data Quality Risks: MEDIUM</w:t>
      </w:r>
      <w:bookmarkEnd w:id="58"/>
    </w:p>
    <w:tbl>
      <w:tblPr>
        <w:tblStyle w:val="Table"/>
        <w:tblW w:type="pct" w:w="5000.0"/>
        <w:tblLook w:firstRow="1"/>
      </w:tblPr>
      <w:tblGrid>
        <w:gridCol w:w="1320"/>
        <w:gridCol w:w="2420"/>
        <w:gridCol w:w="1760"/>
        <w:gridCol w:w="2420"/>
      </w:tblGrid>
      <w:tr>
        <w:trPr>
          <w:cnfStyle w:firstRow="1"/>
        </w:trPr>
        <w:tc>
          <w:tcPr>
            <w:tcBorders>
              <w:bottom w:val="single"/>
            </w:tcBorders>
            <w:vAlign w:val="bottom"/>
          </w:tcPr>
          <w:p>
            <w:pPr>
              <w:pStyle w:val="Compact"/>
              <w:jc w:val="left"/>
            </w:pPr>
            <w:r>
              <w:t xml:space="preserve">Risk</w:t>
            </w:r>
          </w:p>
        </w:tc>
        <w:tc>
          <w:tcPr>
            <w:tcBorders>
              <w:bottom w:val="single"/>
            </w:tcBorders>
            <w:vAlign w:val="bottom"/>
          </w:tcPr>
          <w:p>
            <w:pPr>
              <w:pStyle w:val="Compact"/>
              <w:jc w:val="left"/>
            </w:pPr>
            <w:r>
              <w:t xml:space="preserve">Likelihood</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Mitigation</w:t>
            </w:r>
          </w:p>
        </w:tc>
      </w:tr>
      <w:tr>
        <w:tc>
          <w:p>
            <w:pPr>
              <w:pStyle w:val="Compact"/>
              <w:jc w:val="left"/>
            </w:pPr>
            <w:r>
              <w:t xml:space="preserve">Outdated parcel boundaries</w:t>
            </w:r>
          </w:p>
        </w:tc>
        <w:tc>
          <w:p>
            <w:pPr>
              <w:pStyle w:val="Compact"/>
              <w:jc w:val="left"/>
            </w:pPr>
            <w:r>
              <w:t xml:space="preserve">Medium</w:t>
            </w:r>
          </w:p>
        </w:tc>
        <w:tc>
          <w:p>
            <w:pPr>
              <w:pStyle w:val="Compact"/>
              <w:jc w:val="left"/>
            </w:pPr>
            <w:r>
              <w:t xml:space="preserve">Medium</w:t>
            </w:r>
          </w:p>
        </w:tc>
        <w:tc>
          <w:p>
            <w:pPr>
              <w:pStyle w:val="Compact"/>
              <w:jc w:val="left"/>
            </w:pPr>
            <w:r>
              <w:t xml:space="preserve">Version tracking, farmer feedback loop</w:t>
            </w:r>
          </w:p>
        </w:tc>
      </w:tr>
      <w:tr>
        <w:tc>
          <w:p>
            <w:pPr>
              <w:pStyle w:val="Compact"/>
              <w:jc w:val="left"/>
            </w:pPr>
            <w:r>
              <w:t xml:space="preserve">Missing/incomplete data</w:t>
            </w:r>
          </w:p>
        </w:tc>
        <w:tc>
          <w:p>
            <w:pPr>
              <w:pStyle w:val="Compact"/>
              <w:jc w:val="left"/>
            </w:pPr>
            <w:r>
              <w:t xml:space="preserve">Low</w:t>
            </w:r>
          </w:p>
        </w:tc>
        <w:tc>
          <w:p>
            <w:pPr>
              <w:pStyle w:val="Compact"/>
              <w:jc w:val="left"/>
            </w:pPr>
            <w:r>
              <w:t xml:space="preserve">Low</w:t>
            </w:r>
          </w:p>
        </w:tc>
        <w:tc>
          <w:p>
            <w:pPr>
              <w:pStyle w:val="Compact"/>
              <w:jc w:val="left"/>
            </w:pPr>
            <w:r>
              <w:t xml:space="preserve">Validation against satellite imagery</w:t>
            </w:r>
          </w:p>
        </w:tc>
      </w:tr>
      <w:tr>
        <w:tc>
          <w:p>
            <w:pPr>
              <w:pStyle w:val="Compact"/>
              <w:jc w:val="left"/>
            </w:pPr>
            <w:r>
              <w:t xml:space="preserve">Urban/rural data gaps</w:t>
            </w:r>
          </w:p>
        </w:tc>
        <w:tc>
          <w:p>
            <w:pPr>
              <w:pStyle w:val="Compact"/>
              <w:jc w:val="left"/>
            </w:pPr>
            <w:r>
              <w:t xml:space="preserve">Medium</w:t>
            </w:r>
          </w:p>
        </w:tc>
        <w:tc>
          <w:p>
            <w:pPr>
              <w:pStyle w:val="Compact"/>
              <w:jc w:val="left"/>
            </w:pPr>
            <w:r>
              <w:t xml:space="preserve">Low</w:t>
            </w:r>
          </w:p>
        </w:tc>
        <w:tc>
          <w:p>
            <w:pPr>
              <w:pStyle w:val="Compact"/>
              <w:jc w:val="left"/>
            </w:pPr>
            <w:r>
              <w:t xml:space="preserve">Hybrid local/satellite approach</w:t>
            </w:r>
          </w:p>
        </w:tc>
      </w:tr>
    </w:tbl>
    <w:p>
      <w:r>
        <w:pict>
          <v:rect style="width:0;height:1.5pt" o:hralign="center" o:hrstd="t" o:hr="t"/>
        </w:pict>
      </w:r>
    </w:p>
    <w:p>
      <w:pPr>
        <w:pStyle w:val="Heading2"/>
      </w:pPr>
      <w:bookmarkStart w:id="59" w:name="final-recommendations"/>
      <w:r>
        <w:t xml:space="preserve">9. FINAL RECOMMENDATIONS</w:t>
      </w:r>
      <w:bookmarkEnd w:id="59"/>
    </w:p>
    <w:p>
      <w:pPr>
        <w:pStyle w:val="Heading3"/>
      </w:pPr>
      <w:bookmarkStart w:id="60" w:name="go-strategy"/>
      <w:r>
        <w:t xml:space="preserve">GO Strategy</w:t>
      </w:r>
      <w:bookmarkEnd w:id="60"/>
    </w:p>
    <w:p>
      <w:pPr>
        <w:numPr>
          <w:ilvl w:val="0"/>
          <w:numId w:val="1043"/>
        </w:numPr>
        <w:pStyle w:val="Compact"/>
      </w:pPr>
      <w:r>
        <w:rPr>
          <w:b/>
        </w:rPr>
        <w:t xml:space="preserve">Start immediately with public WMS integration</w:t>
      </w:r>
      <w:r>
        <w:t xml:space="preserve"> </w:t>
      </w:r>
      <w:r>
        <w:t xml:space="preserve">(no approval needed)</w:t>
      </w:r>
    </w:p>
    <w:p>
      <w:pPr>
        <w:numPr>
          <w:ilvl w:val="1"/>
          <w:numId w:val="1044"/>
        </w:numPr>
        <w:pStyle w:val="Compact"/>
      </w:pPr>
      <w:r>
        <w:t xml:space="preserve">Get parcel boundaries on map this quarter</w:t>
      </w:r>
    </w:p>
    <w:p>
      <w:pPr>
        <w:numPr>
          <w:ilvl w:val="1"/>
          <w:numId w:val="1044"/>
        </w:numPr>
        <w:pStyle w:val="Compact"/>
      </w:pPr>
      <w:r>
        <w:t xml:space="preserve">Combine with Sentinel satellite data</w:t>
      </w:r>
    </w:p>
    <w:p>
      <w:pPr>
        <w:numPr>
          <w:ilvl w:val="1"/>
          <w:numId w:val="1044"/>
        </w:numPr>
        <w:pStyle w:val="Compact"/>
      </w:pPr>
      <w:r>
        <w:t xml:space="preserve">Validate with ground truth in pilot fields</w:t>
      </w:r>
    </w:p>
    <w:p>
      <w:pPr>
        <w:numPr>
          <w:ilvl w:val="0"/>
          <w:numId w:val="1043"/>
        </w:numPr>
        <w:pStyle w:val="Compact"/>
      </w:pPr>
      <w:r>
        <w:rPr>
          <w:b/>
        </w:rPr>
        <w:t xml:space="preserve">Engage Ministry of Agriculture in Q4 2026</w:t>
      </w:r>
    </w:p>
    <w:p>
      <w:pPr>
        <w:numPr>
          <w:ilvl w:val="1"/>
          <w:numId w:val="1045"/>
        </w:numPr>
        <w:pStyle w:val="Compact"/>
      </w:pPr>
      <w:r>
        <w:t xml:space="preserve">Schedule meeting to discuss IA + TARBIL synergy</w:t>
      </w:r>
    </w:p>
    <w:p>
      <w:pPr>
        <w:numPr>
          <w:ilvl w:val="1"/>
          <w:numId w:val="1045"/>
        </w:numPr>
        <w:pStyle w:val="Compact"/>
      </w:pPr>
      <w:r>
        <w:t xml:space="preserve">Reference TARBIL’s success model</w:t>
      </w:r>
    </w:p>
    <w:p>
      <w:pPr>
        <w:numPr>
          <w:ilvl w:val="1"/>
          <w:numId w:val="1045"/>
        </w:numPr>
        <w:pStyle w:val="Compact"/>
      </w:pPr>
      <w:r>
        <w:t xml:space="preserve">Propose pilot partnership (10-50 farmers)</w:t>
      </w:r>
    </w:p>
    <w:p>
      <w:pPr>
        <w:numPr>
          <w:ilvl w:val="0"/>
          <w:numId w:val="1043"/>
        </w:numPr>
        <w:pStyle w:val="Compact"/>
      </w:pPr>
      <w:r>
        <w:rPr>
          <w:b/>
        </w:rPr>
        <w:t xml:space="preserve">Plan API integration for Q2 2027</w:t>
      </w:r>
    </w:p>
    <w:p>
      <w:pPr>
        <w:numPr>
          <w:ilvl w:val="1"/>
          <w:numId w:val="1046"/>
        </w:numPr>
        <w:pStyle w:val="Compact"/>
      </w:pPr>
      <w:r>
        <w:t xml:space="preserve">Once agreement signed, build secure data feeds</w:t>
      </w:r>
    </w:p>
    <w:p>
      <w:pPr>
        <w:numPr>
          <w:ilvl w:val="1"/>
          <w:numId w:val="1046"/>
        </w:numPr>
        <w:pStyle w:val="Compact"/>
      </w:pPr>
      <w:r>
        <w:t xml:space="preserve">Integrate with financial services layer</w:t>
      </w:r>
    </w:p>
    <w:p>
      <w:pPr>
        <w:numPr>
          <w:ilvl w:val="1"/>
          <w:numId w:val="1046"/>
        </w:numPr>
        <w:pStyle w:val="Compact"/>
      </w:pPr>
      <w:r>
        <w:t xml:space="preserve">Enable subsidy/compliance automation</w:t>
      </w:r>
    </w:p>
    <w:p>
      <w:pPr>
        <w:numPr>
          <w:ilvl w:val="0"/>
          <w:numId w:val="1043"/>
        </w:numPr>
        <w:pStyle w:val="Compact"/>
      </w:pPr>
      <w:r>
        <w:rPr>
          <w:b/>
        </w:rPr>
        <w:t xml:space="preserve">Long-term: Become preferred implementation partner</w:t>
      </w:r>
    </w:p>
    <w:p>
      <w:pPr>
        <w:numPr>
          <w:ilvl w:val="1"/>
          <w:numId w:val="1047"/>
        </w:numPr>
        <w:pStyle w:val="Compact"/>
      </w:pPr>
      <w:r>
        <w:t xml:space="preserve">TARBIL shows government values private-sector innovation</w:t>
      </w:r>
    </w:p>
    <w:p>
      <w:pPr>
        <w:numPr>
          <w:ilvl w:val="1"/>
          <w:numId w:val="1047"/>
        </w:numPr>
        <w:pStyle w:val="Compact"/>
      </w:pPr>
      <w:r>
        <w:t xml:space="preserve">Position IA as upgrade to existing TARBIL services</w:t>
      </w:r>
    </w:p>
    <w:p>
      <w:pPr>
        <w:numPr>
          <w:ilvl w:val="1"/>
          <w:numId w:val="1047"/>
        </w:numPr>
        <w:pStyle w:val="Compact"/>
      </w:pPr>
      <w:r>
        <w:t xml:space="preserve">Target government procurement as revenue stream</w:t>
      </w:r>
    </w:p>
    <w:p>
      <w:pPr>
        <w:pStyle w:val="Heading3"/>
      </w:pPr>
      <w:bookmarkStart w:id="61" w:name="success-factors"/>
      <w:r>
        <w:t xml:space="preserve">Success Factors</w:t>
      </w:r>
      <w:bookmarkEnd w:id="61"/>
    </w:p>
    <w:p>
      <w:pPr>
        <w:numPr>
          <w:ilvl w:val="0"/>
          <w:numId w:val="1048"/>
        </w:numPr>
        <w:pStyle w:val="Compact"/>
      </w:pPr>
      <w:r>
        <w:rPr>
          <w:b/>
        </w:rPr>
        <w:t xml:space="preserve">Technical:</w:t>
      </w:r>
      <w:r>
        <w:t xml:space="preserve"> </w:t>
      </w:r>
      <w:r>
        <w:t xml:space="preserve">Standard OGC services make integration straightforward</w:t>
      </w:r>
    </w:p>
    <w:p>
      <w:pPr>
        <w:numPr>
          <w:ilvl w:val="0"/>
          <w:numId w:val="1048"/>
        </w:numPr>
        <w:pStyle w:val="Compact"/>
      </w:pPr>
      <w:r>
        <w:rPr>
          <w:b/>
        </w:rPr>
        <w:t xml:space="preserve">Regulatory:</w:t>
      </w:r>
      <w:r>
        <w:t xml:space="preserve"> </w:t>
      </w:r>
      <w:r>
        <w:t xml:space="preserve">Agricultural use has proven approval pathway (TARBIL)</w:t>
      </w:r>
    </w:p>
    <w:p>
      <w:pPr>
        <w:numPr>
          <w:ilvl w:val="0"/>
          <w:numId w:val="1048"/>
        </w:numPr>
        <w:pStyle w:val="Compact"/>
      </w:pPr>
      <w:r>
        <w:rPr>
          <w:b/>
        </w:rPr>
        <w:t xml:space="preserve">Strategic:</w:t>
      </w:r>
      <w:r>
        <w:t xml:space="preserve"> </w:t>
      </w:r>
      <w:r>
        <w:t xml:space="preserve">Government wants to improve farmer outcomes (alignment)</w:t>
      </w:r>
    </w:p>
    <w:p>
      <w:pPr>
        <w:numPr>
          <w:ilvl w:val="0"/>
          <w:numId w:val="1048"/>
        </w:numPr>
        <w:pStyle w:val="Compact"/>
      </w:pPr>
      <w:r>
        <w:rPr>
          <w:b/>
        </w:rPr>
        <w:t xml:space="preserve">Commercial:</w:t>
      </w:r>
      <w:r>
        <w:t xml:space="preserve"> </w:t>
      </w:r>
      <w:r>
        <w:t xml:space="preserve">No direct competition with TKGM core services</w:t>
      </w:r>
    </w:p>
    <w:p>
      <w:r>
        <w:pict>
          <v:rect style="width:0;height:1.5pt" o:hralign="center" o:hrstd="t" o:hr="t"/>
        </w:pict>
      </w:r>
    </w:p>
    <w:p>
      <w:pPr>
        <w:pStyle w:val="Heading2"/>
      </w:pPr>
      <w:bookmarkStart w:id="62" w:name="conclusion"/>
      <w:r>
        <w:t xml:space="preserve">CONCLUSION</w:t>
      </w:r>
      <w:bookmarkEnd w:id="62"/>
    </w:p>
    <w:p>
      <w:pPr>
        <w:pStyle w:val="FirstParagraph"/>
      </w:pPr>
      <w:r>
        <w:rPr>
          <w:b/>
        </w:rPr>
        <w:t xml:space="preserve">YES – IA Platform can integrate Turkish Land Registry and Cadastre GIS data.</w:t>
      </w:r>
    </w:p>
    <w:p>
      <w:pPr>
        <w:pStyle w:val="BodyText"/>
      </w:pPr>
      <w:r>
        <w:rPr>
          <w:b/>
        </w:rPr>
        <w:t xml:space="preserve">Immediate action:</w:t>
      </w:r>
      <w:r>
        <w:t xml:space="preserve"> </w:t>
      </w:r>
      <w:r>
        <w:t xml:space="preserve">Use public WMS/WFS services (free, no approval).</w:t>
      </w:r>
      <w:r>
        <w:br/>
      </w:r>
      <w:r>
        <w:rPr>
          <w:b/>
        </w:rPr>
        <w:t xml:space="preserve">6-12 months:</w:t>
      </w:r>
      <w:r>
        <w:t xml:space="preserve"> </w:t>
      </w:r>
      <w:r>
        <w:t xml:space="preserve">Negotiate government data sharing agreement.</w:t>
      </w:r>
      <w:r>
        <w:br/>
      </w:r>
      <w:r>
        <w:rPr>
          <w:b/>
        </w:rPr>
        <w:t xml:space="preserve">18+ months:</w:t>
      </w:r>
      <w:r>
        <w:t xml:space="preserve"> </w:t>
      </w:r>
      <w:r>
        <w:t xml:space="preserve">Full integration with subsidy automation and compliance.</w:t>
      </w:r>
    </w:p>
    <w:p>
      <w:pPr>
        <w:pStyle w:val="BodyText"/>
      </w:pPr>
      <w:r>
        <w:t xml:space="preserve">The TARBIL precedent proves Turkish government will partner with private platforms to improve agricultural services. IA’s value proposition—combining government data with satellite monitoring and farmer feedback—aligns perfectly with government strategic goals.</w:t>
      </w:r>
    </w:p>
    <w:p>
      <w:pPr>
        <w:pStyle w:val="BodyText"/>
      </w:pPr>
      <w:r>
        <w:rPr>
          <w:b/>
        </w:rPr>
        <w:t xml:space="preserve">Proceed with confidence. Start now with public data; engage government in parallel.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2026-08-10T00:29:36Z</dcterms:created>
  <dcterms:modified xsi:type="dcterms:W3CDTF">2026-08-10T00:29:36Z</dcterms:modified>
</cp:coreProperties>
</file>

<file path=docProps/custom.xml><?xml version="1.0" encoding="utf-8"?>
<Properties xmlns="http://schemas.openxmlformats.org/officeDocument/2006/custom-properties" xmlns:vt="http://schemas.openxmlformats.org/officeDocument/2006/docPropsVTypes"/>
</file>