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Предложение по оплате и условиям</w:t>
      </w:r>
    </w:p>
    <w:p>
      <w:r>
        <w:t>Ориентир для обсуждения</w:t>
      </w:r>
    </w:p>
    <w:p>
      <w:r>
        <w:rPr>
          <w:b/>
        </w:rPr>
        <w:t xml:space="preserve">1. </w:t>
      </w:r>
      <w:r>
        <w:t>Предварительная стоимость разработки согласованного объема работ - 1 000 000 рублей. Срок - до 6 месяцев с даты старта.</w:t>
      </w:r>
    </w:p>
    <w:p>
      <w:pPr>
        <w:pStyle w:val="Heading1"/>
      </w:pPr>
      <w:r>
        <w:t>2. График платежей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8"/>
          </w:tcPr>
          <w:p>
            <w:r>
              <w:rPr>
                <w:b/>
                <w:color w:val="FFFFFF"/>
                <w:sz w:val="19"/>
              </w:rPr>
              <w:t>Платеж</w:t>
            </w:r>
          </w:p>
        </w:tc>
        <w:tc>
          <w:tcPr>
            <w:tcW w:type="dxa" w:w="3324"/>
            <w:vAlign w:val="center"/>
            <w:shd w:fill="1F4E78"/>
          </w:tcPr>
          <w:p>
            <w:r>
              <w:rPr>
                <w:b/>
                <w:color w:val="FFFFFF"/>
                <w:sz w:val="19"/>
              </w:rPr>
              <w:t>Сумма</w:t>
            </w:r>
          </w:p>
        </w:tc>
        <w:tc>
          <w:tcPr>
            <w:tcW w:type="dxa" w:w="3324"/>
            <w:vAlign w:val="center"/>
            <w:shd w:fill="1F4E78"/>
          </w:tcPr>
          <w:p>
            <w:r>
              <w:rPr>
                <w:b/>
                <w:color w:val="FFFFFF"/>
                <w:sz w:val="19"/>
              </w:rPr>
              <w:t>Основание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9"/>
              </w:rPr>
              <w:t>Аванс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9"/>
              </w:rPr>
              <w:t>100 000 руб.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9"/>
              </w:rPr>
              <w:t>Подписание договора и старт работ.</w:t>
            </w:r>
          </w:p>
        </w:tc>
      </w:tr>
      <w:tr>
        <w:tc>
          <w:tcPr>
            <w:tcW w:type="dxa" w:w="3324"/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Платеж 2</w:t>
            </w:r>
          </w:p>
        </w:tc>
        <w:tc>
          <w:tcPr>
            <w:tcW w:type="dxa" w:w="3324"/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150 000 руб.</w:t>
            </w:r>
          </w:p>
        </w:tc>
        <w:tc>
          <w:tcPr>
            <w:tcW w:type="dxa" w:w="3324"/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Готовы доступы, карточки сотрудников, объектов и оборудования.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9"/>
              </w:rPr>
              <w:t>Платеж 3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9"/>
              </w:rPr>
              <w:t>200 000 руб.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9"/>
              </w:rPr>
              <w:t>Готовы назначения, геоотметка прибытия и индивидуальные отчеты.</w:t>
            </w:r>
          </w:p>
        </w:tc>
      </w:tr>
      <w:tr>
        <w:tc>
          <w:tcPr>
            <w:tcW w:type="dxa" w:w="3324"/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Платеж 4</w:t>
            </w:r>
          </w:p>
        </w:tc>
        <w:tc>
          <w:tcPr>
            <w:tcW w:type="dxa" w:w="3324"/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200 000 руб.</w:t>
            </w:r>
          </w:p>
        </w:tc>
        <w:tc>
          <w:tcPr>
            <w:tcW w:type="dxa" w:w="3324"/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Завершен пилот и переданы согласованные исправления.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9"/>
              </w:rPr>
              <w:t>Платеж 5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9"/>
              </w:rPr>
              <w:t>200 000 руб.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9"/>
              </w:rPr>
              <w:t>Готовы согласованные аналитические и финансовые разделы.</w:t>
            </w:r>
          </w:p>
        </w:tc>
      </w:tr>
      <w:tr>
        <w:tc>
          <w:tcPr>
            <w:tcW w:type="dxa" w:w="3324"/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Финальный платеж</w:t>
            </w:r>
          </w:p>
        </w:tc>
        <w:tc>
          <w:tcPr>
            <w:tcW w:type="dxa" w:w="3324"/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150 000 руб.</w:t>
            </w:r>
          </w:p>
        </w:tc>
        <w:tc>
          <w:tcPr>
            <w:tcW w:type="dxa" w:w="3324"/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Финальная приемка согласованного объема работ.</w:t>
            </w:r>
          </w:p>
        </w:tc>
      </w:tr>
    </w:tbl>
    <w:p/>
    <w:p>
      <w:pPr>
        <w:pStyle w:val="Heading1"/>
      </w:pPr>
      <w:r>
        <w:t>3. Условия оплаты и приемки</w:t>
      </w:r>
    </w:p>
    <w:p>
      <w:r>
        <w:rPr>
          <w:b/>
        </w:rPr>
        <w:t xml:space="preserve">3.1. </w:t>
      </w:r>
      <w:r>
        <w:t>Каждый платеж оплачивается в течение 5 рабочих дней после счета и передачи результата соответствующего этапа.</w:t>
      </w:r>
    </w:p>
    <w:p>
      <w:r>
        <w:rPr>
          <w:b/>
        </w:rPr>
        <w:t xml:space="preserve">3.2. </w:t>
      </w:r>
      <w:r>
        <w:t>Заказчик проверяет результат этапа в течение 5 рабочих дней и направляет единый перечень замечаний. Исправление ошибок в согласованных сценариях входит в стоимость.</w:t>
      </w:r>
    </w:p>
    <w:p>
      <w:r>
        <w:rPr>
          <w:b/>
        </w:rPr>
        <w:t xml:space="preserve">3.3. </w:t>
      </w:r>
      <w:r>
        <w:t>Новая функция или изменение ранее согласованного сценария оформляется отдельной оценкой и не включается в сроки текущего этапа.</w:t>
      </w:r>
    </w:p>
    <w:p>
      <w:r>
        <w:rPr>
          <w:b/>
        </w:rPr>
        <w:t xml:space="preserve">3.4. </w:t>
      </w:r>
      <w:r>
        <w:t>Расходы на серверную инфраструктуру, домен, корпоративную почту, SMS и внешние платные сервисы оплачиваются заказчиком отдельно после согласования.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