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мод ставит сам, не ближе 150 блоков от чужой кучи, и не сеткой. Что внутри — пять списков в config/blackchannel-common.toml: cacheCommon, cacheUncommon, cacheRare, cacheEpic и cacheLegendary. Строка вида modid:item или modid:item*3-8. Шансы категорий — cacheCommonChance, cacheUncommonChance, cacheRareChance, cacheEpicChance и cacheLegendaryChance в процентах, каждая категория проверяется отдельно: 100, 25, 8, 3 и 1 по умолчанию. 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 Тёмной материи, антиматерии и стержня урана в списках нет — допиши id сам, если хочешь.</w:t>
      </w:r>
    </w:p>
    <w:p>
      <w:pPr>
        <w:pStyle w:val="List"/>
      </w:pPr>
      <w:r>
        <w:t xml:space="preserve">Когда матч заканчивается (или его останавливают командой), схроны убираются из мира: от них остаётся только каменистая земля. Поставленные игроками сундуки не трогаются.</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