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и схроны мод ставит по одной за тик и грузит чанки в фоне, поэтому старт на обычном мире не подвешивает сервер.</w:t>
      </w:r>
    </w:p>
    <w:p>
      <w:pPr>
        <w:pStyle w:val="List"/>
      </w:pPr>
      <w:r>
        <w:t xml:space="preserve">/minigame size 2500 — расстояние от стены до стены. Для карты 2500×2500 пиши 2500, не 1250. Разрыв между отрядами выйдет около 400. На маленькой карте разрыв сам сожмётся, но не ниже 48.</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Что внутри — списки cacheCommon, cacheUncommon и cacheRare в config/blackchannel-common.toml. Строка вида modid:item или modid:item*3-8. Шансы категорий — cacheCommonChance, cacheUncommonChance, cacheRareChance в процентах, каждая категория проверяется отдельно: 100, 25 и 8 по умолчанию. 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 Тёмной материи, антиматерии и стержня урана в списках нет — допиши id сам, если хочешь.</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