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FFFFFF"/>
          <w:sz w:val="32"/>
          <w:szCs w:val="32"/>
          <w:shd w:fill="1A1A1A" w:val="clear"/>
        </w:rPr>
        <w:t xml:space="preserve">REPLIT FORMATTING INSTRUCTIONS</w:t>
      </w:r>
    </w:p>
    <w:p>
      <w:pPr>
        <w:spacing w:after="80" w:before="0"/>
      </w:pPr>
      <w:r>
        <w:rPr>
          <w:rFonts w:ascii="Arial" w:cs="Arial" w:eastAsia="Arial" w:hAnsi="Arial"/>
          <w:color w:val="666666"/>
          <w:sz w:val="22"/>
          <w:szCs w:val="22"/>
        </w:rPr>
        <w:t xml:space="preserve">ClownBinge CMS: Founder's Pen Article Type</w:t>
      </w:r>
    </w:p>
    <w:p>
      <w:pPr>
        <w:spacing w:after="200" w:before="0"/>
      </w:pPr>
    </w:p>
    <w:p>
      <w:pPr>
        <w:spacing w:after="120" w:before="360"/>
      </w:pPr>
      <w:r>
        <w:rPr>
          <w:rFonts w:ascii="Arial" w:cs="Arial" w:eastAsia="Arial" w:hAnsi="Arial"/>
          <w:b/>
          <w:bCs/>
          <w:color w:val="1A1A1A"/>
          <w:sz w:val="24"/>
          <w:szCs w:val="24"/>
        </w:rPr>
        <w:t xml:space="preserve">What This Document Is</w:t>
      </w:r>
    </w:p>
    <w:p>
      <w:pPr>
        <w:spacing w:after="160" w:before="0"/>
      </w:pPr>
      <w:r>
        <w:rPr>
          <w:rFonts w:ascii="Arial" w:cs="Arial" w:eastAsia="Arial" w:hAnsi="Arial"/>
          <w:color w:val="444444"/>
          <w:sz w:val="20"/>
          <w:szCs w:val="20"/>
        </w:rPr>
        <w:t xml:space="preserve">This Word document contains the full text of a Founder's Pen treatise plus the complete formatting specification for implementing this article type in the ClownBinge CMS. Read both sections before touching any code.</w:t>
      </w:r>
    </w:p>
    <w:p>
      <w:pPr>
        <w:spacing w:after="100" w:before="0"/>
      </w:pPr>
    </w:p>
    <w:p>
      <w:pPr>
        <w:spacing w:after="120" w:before="360"/>
      </w:pPr>
      <w:r>
        <w:rPr>
          <w:rFonts w:ascii="Arial" w:cs="Arial" w:eastAsia="Arial" w:hAnsi="Arial"/>
          <w:b/>
          <w:bCs/>
          <w:color w:val="1A1A1A"/>
          <w:sz w:val="24"/>
          <w:szCs w:val="24"/>
        </w:rPr>
        <w:t xml:space="preserve">New Article Type: The Founder's Pen</w:t>
      </w:r>
    </w:p>
    <w:p>
      <w:pPr>
        <w:spacing w:after="160" w:before="0"/>
      </w:pPr>
      <w:r>
        <w:rPr>
          <w:rFonts w:ascii="Arial" w:cs="Arial" w:eastAsia="Arial" w:hAnsi="Arial"/>
          <w:color w:val="444444"/>
          <w:sz w:val="20"/>
          <w:szCs w:val="20"/>
        </w:rPr>
        <w:t xml:space="preserve">The Founder's Pen is a rare, separately flagged article type in CB. It requires its own rendering pathway because it departs from CB Dry Rationalism in documented ways. It must be visually differentiated from standard CB articles at the category, layout, and component level. Every element below is a hard requirement, not a suggestion.</w:t>
      </w:r>
    </w:p>
    <w:p>
      <w:pPr>
        <w:spacing w:after="100" w:before="0"/>
      </w:pPr>
    </w:p>
    <w:p>
      <w:pPr>
        <w:spacing w:after="120" w:before="360"/>
      </w:pPr>
      <w:r>
        <w:rPr>
          <w:rFonts w:ascii="Arial" w:cs="Arial" w:eastAsia="Arial" w:hAnsi="Arial"/>
          <w:b/>
          <w:bCs/>
          <w:color w:val="1A1A1A"/>
          <w:sz w:val="24"/>
          <w:szCs w:val="24"/>
        </w:rPr>
        <w:t xml:space="preserve">1. Category Flag and Badge</w:t>
      </w:r>
    </w:p>
    <w:p>
      <w:pPr>
        <w:spacing w:after="160" w:before="0"/>
      </w:pPr>
      <w:r>
        <w:rPr>
          <w:rFonts w:ascii="Arial" w:cs="Arial" w:eastAsia="Arial" w:hAnsi="Arial"/>
          <w:color w:val="444444"/>
          <w:sz w:val="20"/>
          <w:szCs w:val="20"/>
        </w:rPr>
        <w:t xml:space="preserve">Add a new article type field to the CB article schema: type: 'founders_pen'. When this flag is present, the article renderer must display a dark red badge (hex #8B1A1A) reading FOUNDER'S PEN in small caps above the category breadcrumb. This badge is not optional and must appear on every Founder's Pen piece.</w:t>
      </w:r>
    </w:p>
    <w:p>
      <w:pPr>
        <w:shd w:fill="F0F0F0" w:val="clear"/>
        <w:spacing w:after="80" w:before="80"/>
      </w:pPr>
      <w:r>
        <w:rPr>
          <w:rFonts w:ascii="Courier New" w:cs="Courier New" w:eastAsia="Courier New" w:hAnsi="Courier New"/>
          <w:color w:val="333333"/>
          <w:sz w:val="18"/>
          <w:szCs w:val="18"/>
        </w:rPr>
        <w:t xml:space="preserve">article.type === 'founders_pen' =&gt; render &lt;FoundersPenBadge /&gt;</w:t>
      </w:r>
    </w:p>
    <w:p>
      <w:pPr>
        <w:spacing w:after="100" w:before="0"/>
      </w:pPr>
    </w:p>
    <w:p>
      <w:pPr>
        <w:spacing w:after="120" w:before="360"/>
      </w:pPr>
      <w:r>
        <w:rPr>
          <w:rFonts w:ascii="Arial" w:cs="Arial" w:eastAsia="Arial" w:hAnsi="Arial"/>
          <w:b/>
          <w:bCs/>
          <w:color w:val="1A1A1A"/>
          <w:sz w:val="24"/>
          <w:szCs w:val="24"/>
        </w:rPr>
        <w:t xml:space="preserve">2. Typography Differentiation</w:t>
      </w:r>
    </w:p>
    <w:p>
      <w:pPr>
        <w:spacing w:after="160" w:before="0"/>
      </w:pPr>
      <w:r>
        <w:rPr>
          <w:rFonts w:ascii="Arial" w:cs="Arial" w:eastAsia="Arial" w:hAnsi="Arial"/>
          <w:color w:val="444444"/>
          <w:sz w:val="20"/>
          <w:szCs w:val="20"/>
        </w:rPr>
        <w:t xml:space="preserve">Standard CB articles use CB Dry Rationalism typography (clean sans-serif, high contrast, journalistic). Founder's Pen articles use a serif display font for titles and body. Recommended: Playfair Display for headlines, Source Serif 4 or Palatino for body. Font size for body text should be 18-19px with line height 1.85. This is a long read. The typography must signal that before the reader starts.</w:t>
      </w:r>
    </w:p>
    <w:p>
      <w:pPr>
        <w:shd w:fill="F0F0F0" w:val="clear"/>
        <w:spacing w:after="80" w:before="80"/>
      </w:pPr>
      <w:r>
        <w:rPr>
          <w:rFonts w:ascii="Courier New" w:cs="Courier New" w:eastAsia="Courier New" w:hAnsi="Courier New"/>
          <w:color w:val="333333"/>
          <w:sz w:val="18"/>
          <w:szCs w:val="18"/>
        </w:rPr>
        <w:t xml:space="preserve">founders_pen_title: font-family: 'Playfair Display', serif; font-size: 2.6rem;</w:t>
      </w:r>
    </w:p>
    <w:p>
      <w:pPr>
        <w:shd w:fill="F0F0F0" w:val="clear"/>
        <w:spacing w:after="80" w:before="80"/>
      </w:pPr>
      <w:r>
        <w:rPr>
          <w:rFonts w:ascii="Courier New" w:cs="Courier New" w:eastAsia="Courier New" w:hAnsi="Courier New"/>
          <w:color w:val="333333"/>
          <w:sz w:val="18"/>
          <w:szCs w:val="18"/>
        </w:rPr>
        <w:t xml:space="preserve">founders_pen_body: font-family: 'Source Serif 4', serif; font-size: 18px; line-height: 1.85;</w:t>
      </w:r>
    </w:p>
    <w:p>
      <w:pPr>
        <w:spacing w:after="100" w:before="0"/>
      </w:pPr>
    </w:p>
    <w:p>
      <w:pPr>
        <w:spacing w:after="120" w:before="360"/>
      </w:pPr>
      <w:r>
        <w:rPr>
          <w:rFonts w:ascii="Arial" w:cs="Arial" w:eastAsia="Arial" w:hAnsi="Arial"/>
          <w:b/>
          <w:bCs/>
          <w:color w:val="1A1A1A"/>
          <w:sz w:val="24"/>
          <w:szCs w:val="24"/>
        </w:rPr>
        <w:t xml:space="preserve">3. The Founder's Pen Notice Block</w:t>
      </w:r>
    </w:p>
    <w:p>
      <w:pPr>
        <w:spacing w:after="160" w:before="0"/>
      </w:pPr>
      <w:r>
        <w:rPr>
          <w:rFonts w:ascii="Arial" w:cs="Arial" w:eastAsia="Arial" w:hAnsi="Arial"/>
          <w:color w:val="444444"/>
          <w:sz w:val="20"/>
          <w:szCs w:val="20"/>
        </w:rPr>
        <w:t xml:space="preserve">Every Founder's Pen article must open with two notice blocks before the article body. These are not editable per-article. They are rendered from a static template stored in the CMS. The notice blocks explain the category to the reader and must appear in this order:</w:t>
      </w:r>
    </w:p>
    <w:p>
      <w:pPr>
        <w:spacing w:after="160" w:before="0"/>
      </w:pPr>
      <w:r>
        <w:rPr>
          <w:rFonts w:ascii="Arial" w:cs="Arial" w:eastAsia="Arial" w:hAnsi="Arial"/>
          <w:color w:val="444444"/>
          <w:sz w:val="20"/>
          <w:szCs w:val="20"/>
        </w:rPr>
        <w:t xml:space="preserve">Notice Block 1: The epistemological statement (what the Founder's Pen is and is not). This text is fixed and must not be editable in the article editor. Pull from CB editorial policy constants.</w:t>
      </w:r>
    </w:p>
    <w:p>
      <w:pPr>
        <w:spacing w:after="160" w:before="0"/>
      </w:pPr>
      <w:r>
        <w:rPr>
          <w:rFonts w:ascii="Arial" w:cs="Arial" w:eastAsia="Arial" w:hAnsi="Arial"/>
          <w:color w:val="444444"/>
          <w:sz w:val="20"/>
          <w:szCs w:val="20"/>
        </w:rPr>
        <w:t xml:space="preserve">Notice Block 2: The long read declaration. This text is also fixed. It states this is a treatise, defines what a treatise is, and states the central claim of the specific piece. Only the central claim portion is editable per article.</w:t>
      </w:r>
    </w:p>
    <w:p>
      <w:pPr>
        <w:spacing w:after="160" w:before="0"/>
      </w:pPr>
      <w:r>
        <w:rPr>
          <w:rFonts w:ascii="Arial" w:cs="Arial" w:eastAsia="Arial" w:hAnsi="Arial"/>
          <w:color w:val="444444"/>
          <w:sz w:val="20"/>
          <w:szCs w:val="20"/>
        </w:rPr>
        <w:t xml:space="preserve">Both notice blocks render with a dark red left border (3px, #8B1A1A) and a light gray background (#F5F5F3). No rounded corners. Border left only.</w:t>
      </w:r>
    </w:p>
    <w:p>
      <w:pPr>
        <w:spacing w:after="100" w:before="0"/>
      </w:pPr>
    </w:p>
    <w:p>
      <w:pPr>
        <w:spacing w:after="120" w:before="360"/>
      </w:pPr>
      <w:r>
        <w:rPr>
          <w:rFonts w:ascii="Arial" w:cs="Arial" w:eastAsia="Arial" w:hAnsi="Arial"/>
          <w:b/>
          <w:bCs/>
          <w:color w:val="1A1A1A"/>
          <w:sz w:val="24"/>
          <w:szCs w:val="24"/>
        </w:rPr>
        <w:t xml:space="preserve">4. Section Labels (New Component)</w:t>
      </w:r>
    </w:p>
    <w:p>
      <w:pPr>
        <w:spacing w:after="160" w:before="0"/>
      </w:pPr>
      <w:r>
        <w:rPr>
          <w:rFonts w:ascii="Arial" w:cs="Arial" w:eastAsia="Arial" w:hAnsi="Arial"/>
          <w:color w:val="444444"/>
          <w:sz w:val="20"/>
          <w:szCs w:val="20"/>
        </w:rPr>
        <w:t xml:space="preserve">Founder's Pen articles use a two-tier section header system that does not exist in standard CB. Implement a new SectionHeader component with two child elements:</w:t>
      </w:r>
    </w:p>
    <w:p>
      <w:pPr>
        <w:spacing w:after="160" w:before="0"/>
      </w:pPr>
      <w:r>
        <w:rPr>
          <w:rFonts w:ascii="Arial" w:cs="Arial" w:eastAsia="Arial" w:hAnsi="Arial"/>
          <w:color w:val="444444"/>
          <w:sz w:val="20"/>
          <w:szCs w:val="20"/>
        </w:rPr>
        <w:t xml:space="preserve">Section Label: Small caps, 11px, letter-spacing 0.2em, dark red (#8B1A1A), uppercase. This is the roman numeral and thematic label (e.g., 'I. The Architecture').</w:t>
      </w:r>
    </w:p>
    <w:p>
      <w:pPr>
        <w:spacing w:after="160" w:before="0"/>
      </w:pPr>
      <w:r>
        <w:rPr>
          <w:rFonts w:ascii="Arial" w:cs="Arial" w:eastAsia="Arial" w:hAnsi="Arial"/>
          <w:color w:val="444444"/>
          <w:sz w:val="20"/>
          <w:szCs w:val="20"/>
        </w:rPr>
        <w:t xml:space="preserve">Section Title: Serif font, 1.5rem, bold, black. This is the human-readable section name.</w:t>
      </w:r>
    </w:p>
    <w:p>
      <w:pPr>
        <w:shd w:fill="F0F0F0" w:val="clear"/>
        <w:spacing w:after="80" w:before="80"/>
      </w:pPr>
      <w:r>
        <w:rPr>
          <w:rFonts w:ascii="Courier New" w:cs="Courier New" w:eastAsia="Courier New" w:hAnsi="Courier New"/>
          <w:color w:val="333333"/>
          <w:sz w:val="18"/>
          <w:szCs w:val="18"/>
        </w:rPr>
        <w:t xml:space="preserve">&lt;SectionHeader label='I. The Architecture' title='Before the Scramble, the Blueprint' /&gt;</w:t>
      </w:r>
    </w:p>
    <w:p>
      <w:pPr>
        <w:spacing w:after="100" w:before="0"/>
      </w:pPr>
    </w:p>
    <w:p>
      <w:pPr>
        <w:spacing w:after="120" w:before="360"/>
      </w:pPr>
      <w:r>
        <w:rPr>
          <w:rFonts w:ascii="Arial" w:cs="Arial" w:eastAsia="Arial" w:hAnsi="Arial"/>
          <w:b/>
          <w:bCs/>
          <w:color w:val="1A1A1A"/>
          <w:sz w:val="24"/>
          <w:szCs w:val="24"/>
        </w:rPr>
        <w:t xml:space="preserve">5. Primary Source Box (New Component: Critical)</w:t>
      </w:r>
    </w:p>
    <w:p>
      <w:pPr>
        <w:spacing w:after="160" w:before="0"/>
      </w:pPr>
      <w:r>
        <w:rPr>
          <w:rFonts w:ascii="Arial" w:cs="Arial" w:eastAsia="Arial" w:hAnsi="Arial"/>
          <w:color w:val="444444"/>
          <w:sz w:val="20"/>
          <w:szCs w:val="20"/>
        </w:rPr>
        <w:t xml:space="preserve">This is the most important new component. Primary source citations in Founder's Pen articles are NOT inline footnotes and NOT standard CB citations. They are visually separated block elements that appear inline within the article body at the point of citation.</w:t>
      </w:r>
    </w:p>
    <w:p>
      <w:pPr>
        <w:spacing w:after="160" w:before="0"/>
      </w:pPr>
      <w:r>
        <w:rPr>
          <w:rFonts w:ascii="Arial" w:cs="Arial" w:eastAsia="Arial" w:hAnsi="Arial"/>
          <w:color w:val="444444"/>
          <w:sz w:val="20"/>
          <w:szCs w:val="20"/>
        </w:rPr>
        <w:t xml:space="preserve">The Primary Source Box has three fields: a label (always reads PRIMARY DOCUMENTATION or the institution name in small caps), the source summary text, and a citation line in italics. It renders with a light gray background (#F5F5F3), no border, 4px border radius, internal padding 1.2rem. The label uses the same small-caps treatment as the section label.</w:t>
      </w:r>
    </w:p>
    <w:p>
      <w:pPr>
        <w:spacing w:after="160" w:before="0"/>
      </w:pPr>
      <w:r>
        <w:rPr>
          <w:rFonts w:ascii="Arial" w:cs="Arial" w:eastAsia="Arial" w:hAnsi="Arial"/>
          <w:color w:val="444444"/>
          <w:sz w:val="20"/>
          <w:szCs w:val="20"/>
        </w:rPr>
        <w:t xml:space="preserve">In the CMS article editor, Primary Source Boxes must be insertable as a discrete block element, not as inline text. The editor must not allow plain text to be entered in the label or citation fields without the block wrapper. This is a HARDRULE: primary source content lives in its own schema field, not in the article body text field.</w:t>
      </w:r>
    </w:p>
    <w:p>
      <w:pPr>
        <w:shd w:fill="F0F0F0" w:val="clear"/>
        <w:spacing w:after="80" w:before="80"/>
      </w:pPr>
      <w:r>
        <w:rPr>
          <w:rFonts w:ascii="Courier New" w:cs="Courier New" w:eastAsia="Courier New" w:hAnsi="Courier New"/>
          <w:color w:val="333333"/>
          <w:sz w:val="18"/>
          <w:szCs w:val="18"/>
        </w:rPr>
        <w:t xml:space="preserve">schema: { type: 'primary_source_box', label: string, body: string, citation: string }</w:t>
      </w:r>
    </w:p>
    <w:p>
      <w:pPr>
        <w:spacing w:after="100" w:before="0"/>
      </w:pPr>
    </w:p>
    <w:p>
      <w:pPr>
        <w:spacing w:after="120" w:before="360"/>
      </w:pPr>
      <w:r>
        <w:rPr>
          <w:rFonts w:ascii="Arial" w:cs="Arial" w:eastAsia="Arial" w:hAnsi="Arial"/>
          <w:b/>
          <w:bCs/>
          <w:color w:val="1A1A1A"/>
          <w:sz w:val="24"/>
          <w:szCs w:val="24"/>
        </w:rPr>
        <w:t xml:space="preserve">6. Pull Quote (Existing Component, Modified Behavior)</w:t>
      </w:r>
    </w:p>
    <w:p>
      <w:pPr>
        <w:spacing w:after="160" w:before="0"/>
      </w:pPr>
      <w:r>
        <w:rPr>
          <w:rFonts w:ascii="Arial" w:cs="Arial" w:eastAsia="Arial" w:hAnsi="Arial"/>
          <w:color w:val="444444"/>
          <w:sz w:val="20"/>
          <w:szCs w:val="20"/>
        </w:rPr>
        <w:t xml:space="preserve">CB may already have a pull quote component. For Founder's Pen articles, the pull quote renders with a 3px solid dark red left border (#8B1A1A) and no other decoration. Font is serif italic, 1.2rem, black. No quotation mark glyphs. No background color. Left border only. If CB's existing pull quote component does not support this variant, add a variant prop: &lt;PullQuote variant='founders_pen'&gt;.</w:t>
      </w:r>
    </w:p>
    <w:p>
      <w:pPr>
        <w:spacing w:after="100" w:before="0"/>
      </w:pPr>
    </w:p>
    <w:p>
      <w:pPr>
        <w:spacing w:after="120" w:before="360"/>
      </w:pPr>
      <w:r>
        <w:rPr>
          <w:rFonts w:ascii="Arial" w:cs="Arial" w:eastAsia="Arial" w:hAnsi="Arial"/>
          <w:b/>
          <w:bCs/>
          <w:color w:val="1A1A1A"/>
          <w:sz w:val="24"/>
          <w:szCs w:val="24"/>
        </w:rPr>
        <w:t xml:space="preserve">7. Sources Section (New Component)</w:t>
      </w:r>
    </w:p>
    <w:p>
      <w:pPr>
        <w:spacing w:after="160" w:before="0"/>
      </w:pPr>
      <w:r>
        <w:rPr>
          <w:rFonts w:ascii="Arial" w:cs="Arial" w:eastAsia="Arial" w:hAnsi="Arial"/>
          <w:color w:val="444444"/>
          <w:sz w:val="20"/>
          <w:szCs w:val="20"/>
        </w:rPr>
        <w:t xml:space="preserve">The sources section at the end of every Founder's Pen article renders in two tiers: Tier One (Primary and Tier One Sources) and Tier Two (Scholarly Foundation). Each tier has its own heading. Sources within each tier are numbered lists. Font size 13px, color secondary text. The sources section is separated from the article body by a full-width 0.5px border in #CCCCCC.</w:t>
      </w:r>
    </w:p>
    <w:p>
      <w:pPr>
        <w:spacing w:after="160" w:before="0"/>
      </w:pPr>
      <w:r>
        <w:rPr>
          <w:rFonts w:ascii="Arial" w:cs="Arial" w:eastAsia="Arial" w:hAnsi="Arial"/>
          <w:color w:val="444444"/>
          <w:sz w:val="20"/>
          <w:szCs w:val="20"/>
        </w:rPr>
        <w:t xml:space="preserve">Sources must be stored in the article schema as a structured array, not as plain text in the body field. Each source object: { tier: 1 | 2, text: string }.</w:t>
      </w:r>
    </w:p>
    <w:p>
      <w:pPr>
        <w:shd w:fill="F0F0F0" w:val="clear"/>
        <w:spacing w:after="80" w:before="80"/>
      </w:pPr>
      <w:r>
        <w:rPr>
          <w:rFonts w:ascii="Courier New" w:cs="Courier New" w:eastAsia="Courier New" w:hAnsi="Courier New"/>
          <w:color w:val="333333"/>
          <w:sz w:val="18"/>
          <w:szCs w:val="18"/>
        </w:rPr>
        <w:t xml:space="preserve">schema: { sources: [{ tier: 1, text: 'UK National Archives...' }, ...] }</w:t>
      </w:r>
    </w:p>
    <w:p>
      <w:pPr>
        <w:spacing w:after="100" w:before="0"/>
      </w:pPr>
    </w:p>
    <w:p>
      <w:pPr>
        <w:spacing w:after="120" w:before="360"/>
      </w:pPr>
      <w:r>
        <w:rPr>
          <w:rFonts w:ascii="Arial" w:cs="Arial" w:eastAsia="Arial" w:hAnsi="Arial"/>
          <w:b/>
          <w:bCs/>
          <w:color w:val="1A1A1A"/>
          <w:sz w:val="24"/>
          <w:szCs w:val="24"/>
        </w:rPr>
        <w:t xml:space="preserve">8. Footer Policy Note</w:t>
      </w:r>
    </w:p>
    <w:p>
      <w:pPr>
        <w:spacing w:after="160" w:before="0"/>
      </w:pPr>
      <w:r>
        <w:rPr>
          <w:rFonts w:ascii="Arial" w:cs="Arial" w:eastAsia="Arial" w:hAnsi="Arial"/>
          <w:color w:val="444444"/>
          <w:sz w:val="20"/>
          <w:szCs w:val="20"/>
        </w:rPr>
        <w:t xml:space="preserve">Every Founder's Pen article ends with a mandatory footer note in small sans-serif italic text, separated by a 0.5px top border. This text is fixed and pulled from CB editorial policy constants. It reads: 'This piece was written under The Founder's Pen category guidelines. It maintains ClownBinge three-tier sourcing standards. It does not maintain CB Dry Rationalism. The distinction is deliberate and documented in CB editorial policy. All factual claims are sourced to Tier One or Tier Two documentation. The author's analytical voice is present. Both are intentional.'</w:t>
      </w:r>
    </w:p>
    <w:p>
      <w:pPr>
        <w:spacing w:after="100" w:before="0"/>
      </w:pPr>
    </w:p>
    <w:p>
      <w:pPr>
        <w:spacing w:after="120" w:before="360"/>
      </w:pPr>
      <w:r>
        <w:rPr>
          <w:rFonts w:ascii="Arial" w:cs="Arial" w:eastAsia="Arial" w:hAnsi="Arial"/>
          <w:b/>
          <w:bCs/>
          <w:color w:val="1A1A1A"/>
          <w:sz w:val="24"/>
          <w:szCs w:val="24"/>
        </w:rPr>
        <w:t xml:space="preserve">9. Long Read Indicator</w:t>
      </w:r>
    </w:p>
    <w:p>
      <w:pPr>
        <w:spacing w:after="160" w:before="0"/>
      </w:pPr>
      <w:r>
        <w:rPr>
          <w:rFonts w:ascii="Arial" w:cs="Arial" w:eastAsia="Arial" w:hAnsi="Arial"/>
          <w:color w:val="444444"/>
          <w:sz w:val="20"/>
          <w:szCs w:val="20"/>
        </w:rPr>
        <w:t xml:space="preserve">All Founder's Pen articles display a word count and estimated read time prominently in the meta line below the subtitle. This is not optional. Founder's Pen articles are long reads by definition and the reader must know this before they begin. Display format: [word count] words | [estimated minutes] min read. Estimate at 200 words per minute.</w:t>
      </w:r>
    </w:p>
    <w:p>
      <w:pPr>
        <w:spacing w:after="100" w:before="0"/>
      </w:pPr>
    </w:p>
    <w:p>
      <w:pPr>
        <w:spacing w:after="120" w:before="360"/>
      </w:pPr>
      <w:r>
        <w:rPr>
          <w:rFonts w:ascii="Arial" w:cs="Arial" w:eastAsia="Arial" w:hAnsi="Arial"/>
          <w:b/>
          <w:bCs/>
          <w:color w:val="1A1A1A"/>
          <w:sz w:val="24"/>
          <w:szCs w:val="24"/>
        </w:rPr>
        <w:t xml:space="preserve">10. AI Assistance Guardrails for Founder's Pen</w:t>
      </w:r>
    </w:p>
    <w:p>
      <w:pPr>
        <w:spacing w:after="160" w:before="0"/>
      </w:pPr>
      <w:r>
        <w:rPr>
          <w:rFonts w:ascii="Arial" w:cs="Arial" w:eastAsia="Arial" w:hAnsi="Arial"/>
          <w:color w:val="444444"/>
          <w:sz w:val="20"/>
          <w:szCs w:val="20"/>
        </w:rPr>
        <w:t xml:space="preserve">When the article type is set to founders_pen, the CB AI assistance pipeline must apply the Founder's Pen guardrail ruleset, not the standard CB Dry Rationalism ruleset. Specifically: the AI must flag any factual claim without an attached source citation block, flag any sentence that names a living private individual in a potentially defamatory context, and flag any content that crosses from analysis into operational or incitement language. The AI flags inline without blocking. The author reviews and decides. The AI does not refuse and does not auto-correct. It flags and defers.</w:t>
      </w:r>
    </w:p>
    <w:p>
      <w:pPr>
        <w:spacing w:after="160" w:before="0"/>
      </w:pPr>
      <w:r>
        <w:rPr>
          <w:rFonts w:ascii="Arial" w:cs="Arial" w:eastAsia="Arial" w:hAnsi="Arial"/>
          <w:color w:val="444444"/>
          <w:sz w:val="20"/>
          <w:szCs w:val="20"/>
        </w:rPr>
        <w:t xml:space="preserve">The Founder's Pen schema field founder_pen_mode: true activates this guardrail pathway. Standard CB articles must not be affected.</w:t>
      </w:r>
    </w:p>
    <w:p>
      <w:pPr>
        <w:spacing w:after="200" w:before="0"/>
      </w:pPr>
    </w:p>
    <w:p>
      <w:pPr>
        <w:pBdr>
          <w:bottom w:val="single" w:color="CCCCCC" w:sz="2"/>
        </w:pBdr>
        <w:spacing w:after="240" w:before="240"/>
      </w:pPr>
    </w:p>
    <w:p>
      <w:pPr>
        <w:spacing w:after="200" w:before="0"/>
      </w:pPr>
    </w:p>
    <w:p>
      <w:pPr>
        <w:spacing w:after="120" w:before="0"/>
      </w:pPr>
      <w:r>
        <w:rPr>
          <w:rFonts w:ascii="Arial" w:cs="Arial" w:eastAsia="Arial" w:hAnsi="Arial"/>
          <w:b w:val="false"/>
          <w:bCs w:val="false"/>
          <w:color w:val="8B1A1A"/>
          <w:sz w:val="18"/>
          <w:szCs w:val="18"/>
        </w:rPr>
        <w:t xml:space="preserve">THE FOUNDER'S PEN</w:t>
      </w:r>
      <w:r>
        <w:rPr>
          <w:rFonts w:ascii="Arial" w:cs="Arial" w:eastAsia="Arial" w:hAnsi="Arial"/>
          <w:color w:val="888888"/>
          <w:sz w:val="18"/>
          <w:szCs w:val="18"/>
        </w:rPr>
        <w:t xml:space="preserve">   |   GLOBAL SOUTH   |   LONG READ</w:t>
      </w:r>
    </w:p>
    <w:p>
      <w:pPr>
        <w:spacing w:after="80" w:before="0"/>
      </w:pPr>
    </w:p>
    <w:p>
      <w:pPr>
        <w:spacing w:after="60" w:before="120"/>
      </w:pPr>
      <w:r>
        <w:rPr>
          <w:rFonts w:ascii="Palatino Linotype" w:cs="Palatino Linotype" w:eastAsia="Palatino Linotype" w:hAnsi="Palatino Linotype"/>
          <w:b/>
          <w:bCs/>
          <w:color w:val="1A1A1A"/>
          <w:sz w:val="64"/>
          <w:szCs w:val="64"/>
        </w:rPr>
        <w:t xml:space="preserve">Engineered Underdevelopment</w:t>
      </w:r>
    </w:p>
    <w:p>
      <w:pPr>
        <w:spacing w:after="240" w:before="0"/>
      </w:pPr>
      <w:r>
        <w:rPr>
          <w:rFonts w:ascii="Palatino Linotype" w:cs="Palatino Linotype" w:eastAsia="Palatino Linotype" w:hAnsi="Palatino Linotype"/>
          <w:i/>
          <w:iCs/>
          <w:color w:val="666666"/>
          <w:sz w:val="26"/>
          <w:szCs w:val="26"/>
        </w:rPr>
        <w:t xml:space="preserve">An Empirical Treatise on Africa's Manufactured Poverty</w:t>
      </w:r>
    </w:p>
    <w:p>
      <w:pPr>
        <w:pBdr>
          <w:top w:val="single" w:color="CCCCCC" w:sz="4"/>
          <w:bottom w:val="single" w:color="CCCCCC" w:sz="4"/>
        </w:pBdr>
        <w:spacing w:after="120" w:before="120"/>
      </w:pPr>
      <w:r>
        <w:rPr>
          <w:rFonts w:ascii="Arial" w:cs="Arial" w:eastAsia="Arial" w:hAnsi="Arial"/>
          <w:b/>
          <w:bCs/>
          <w:color w:val="FFFFFF"/>
          <w:sz w:val="18"/>
          <w:szCs w:val="18"/>
          <w:shd w:fill="8B1A1A" w:val="clear"/>
        </w:rPr>
        <w:t xml:space="preserve">FOUNDER'S PEN  </w:t>
      </w:r>
      <w:r>
        <w:rPr>
          <w:rFonts w:ascii="Arial" w:cs="Arial" w:eastAsia="Arial" w:hAnsi="Arial"/>
          <w:color w:val="666666"/>
          <w:sz w:val="18"/>
          <w:szCs w:val="18"/>
        </w:rPr>
        <w:t xml:space="preserve">   Amir Noir     5,200 words     April 2026</w:t>
      </w:r>
    </w:p>
    <w:p>
      <w:pPr>
        <w:spacing w:after="2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1A1A" w:val="clear"/>
          </w:tcPr>
          <w:p/>
        </w:tc>
        <w:tc>
          <w:tcPr>
            <w:tcW w:type="dxa" w:w="9160"/>
            <w:tcBorders>
              <w:top w:val="none" w:color="FFFFFF" w:sz="0"/>
              <w:left w:val="none" w:color="FFFFFF" w:sz="0"/>
              <w:bottom w:val="none" w:color="FFFFFF" w:sz="0"/>
              <w:right w:val="none" w:color="FFFFFF" w:sz="0"/>
            </w:tcBorders>
            <w:shd w:fill="F5F5F3" w:val="clear"/>
            <w:tcMar>
              <w:top w:type="dxa" w:w="120"/>
              <w:left w:type="dxa" w:w="180"/>
              <w:bottom w:type="dxa" w:w="120"/>
              <w:right w:type="dxa" w:w="180"/>
            </w:tcMar>
          </w:tcPr>
          <w:p>
            <w:pPr>
              <w:spacing w:after="80" w:before="0"/>
            </w:pPr>
            <w:r>
              <w:rPr>
                <w:rFonts w:ascii="Arial" w:cs="Arial" w:eastAsia="Arial" w:hAnsi="Arial"/>
                <w:b/>
                <w:bCs/>
                <w:color w:val="1A1A1A"/>
                <w:sz w:val="20"/>
                <w:szCs w:val="20"/>
              </w:rPr>
              <w:t xml:space="preserve">A note on this category.</w:t>
            </w:r>
          </w:p>
          <w:p>
            <w:pPr>
              <w:spacing w:after="0" w:before="0"/>
            </w:pPr>
            <w:r>
              <w:rPr>
                <w:rFonts w:ascii="Palatino Linotype" w:cs="Palatino Linotype" w:eastAsia="Palatino Linotype" w:hAnsi="Palatino Linotype"/>
                <w:color w:val="444444"/>
                <w:sz w:val="20"/>
                <w:szCs w:val="20"/>
              </w:rPr>
              <w:t xml:space="preserve">The Founder's Pen maintains every ClownBinge sourcing standard: Tier One primary documentation, falsifiable claims, three-tier source hierarchy. It makes no pretense at Eurocentric objectivity, which was itself a subjective determination made by specific people, in specific institutions, serving specific interests, at a specific historical moment, and then universalized as the only legitimate epistemological frame. This piece rejects that universalization without rejecting evidence. What follows is visceral, embodied, unapologetic Black scholarship. Not activism. Not polemic. Scholarship that does not perform affectlessness in the presence of documented atrocity and does not apologize for that refusal. The receipts are still the receipts. There is no view from nowhere. There never was.</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1A1A" w:val="clear"/>
          </w:tcPr>
          <w:p/>
        </w:tc>
        <w:tc>
          <w:tcPr>
            <w:tcW w:type="dxa" w:w="9160"/>
            <w:tcBorders>
              <w:top w:val="none" w:color="FFFFFF" w:sz="0"/>
              <w:left w:val="none" w:color="FFFFFF" w:sz="0"/>
              <w:bottom w:val="none" w:color="FFFFFF" w:sz="0"/>
              <w:right w:val="none" w:color="FFFFFF" w:sz="0"/>
            </w:tcBorders>
            <w:shd w:fill="F5F5F3" w:val="clear"/>
            <w:tcMar>
              <w:top w:type="dxa" w:w="120"/>
              <w:left w:type="dxa" w:w="180"/>
              <w:bottom w:type="dxa" w:w="120"/>
              <w:right w:type="dxa" w:w="180"/>
            </w:tcMar>
          </w:tcPr>
          <w:p>
            <w:pPr>
              <w:spacing w:after="80" w:before="0"/>
            </w:pPr>
            <w:r>
              <w:rPr>
                <w:rFonts w:ascii="Arial" w:cs="Arial" w:eastAsia="Arial" w:hAnsi="Arial"/>
                <w:b/>
                <w:bCs/>
                <w:color w:val="1A1A1A"/>
                <w:sz w:val="20"/>
                <w:szCs w:val="20"/>
              </w:rPr>
              <w:t xml:space="preserve">This is a long read.</w:t>
            </w:r>
          </w:p>
          <w:p>
            <w:pPr>
              <w:spacing w:after="0" w:before="0"/>
            </w:pPr>
            <w:r>
              <w:rPr>
                <w:rFonts w:ascii="Palatino Linotype" w:cs="Palatino Linotype" w:eastAsia="Palatino Linotype" w:hAnsi="Palatino Linotype"/>
                <w:color w:val="444444"/>
                <w:sz w:val="20"/>
                <w:szCs w:val="20"/>
              </w:rPr>
              <w:t xml:space="preserve">Not an article. Not an opinion piece. A treatise makes a systematic, evidenced, falsifiable claim and defends it with primary documentation. The claim: African underdevelopment was deliberately engineered through identifiable institutions, traceable financial mechanisms, and documented policy instruments. The evidence exists. It has always existed. This piece organizes it. Read accordingly.</w:t>
            </w:r>
          </w:p>
        </w:tc>
      </w:tr>
    </w:tbl>
    <w:p>
      <w:pPr>
        <w:spacing w:after="360" w:before="0"/>
      </w:pPr>
    </w:p>
    <w:p>
      <w:pPr>
        <w:spacing w:after="220" w:before="0"/>
      </w:pPr>
      <w:r>
        <w:rPr>
          <w:rFonts w:ascii="Palatino Linotype" w:cs="Palatino Linotype" w:eastAsia="Palatino Linotype" w:hAnsi="Palatino Linotype"/>
          <w:color w:val="1A1A1A"/>
          <w:sz w:val="26"/>
          <w:szCs w:val="26"/>
        </w:rPr>
        <w:t xml:space="preserve">In 2024, the governments of Mali, Burkina Faso, and Niger held their national foreign currency reserves in the French Treasury. Not as a vestige of some forgotten colonial agreement. Not as a temporary arrangement pending renegotiation. As a structural legal condition of their monetary sovereignty. France, a foreign nation, held the reserve keys to three independent African states. This is not history. This is Tuesday.</w:t>
      </w:r>
    </w:p>
    <w:p>
      <w:pPr>
        <w:spacing w:after="220" w:before="0"/>
      </w:pPr>
      <w:r>
        <w:rPr>
          <w:rFonts w:ascii="Palatino Linotype" w:cs="Palatino Linotype" w:eastAsia="Palatino Linotype" w:hAnsi="Palatino Linotype"/>
          <w:color w:val="444444"/>
          <w:sz w:val="22"/>
          <w:szCs w:val="22"/>
        </w:rPr>
        <w:t xml:space="preserve">That single fact is the thesis of this treatise in miniature. African poverty is not a wound that history inflicted and then walked away from. It is a managed condition, maintained by living institutions, enforced by traceable legal instruments, and profitable to identifiable parties. The argument that follows does not ask you to feel anything in particular about that. It asks you to look at the documentation and reach your own conclusion about what the documentation says.</w:t>
      </w:r>
    </w:p>
    <w:p>
      <w:pPr>
        <w:spacing w:after="220" w:before="0"/>
      </w:pPr>
      <w:r>
        <w:rPr>
          <w:rFonts w:ascii="Palatino Linotype" w:cs="Palatino Linotype" w:eastAsia="Palatino Linotype" w:hAnsi="Palatino Linotype"/>
          <w:color w:val="444444"/>
          <w:sz w:val="22"/>
          <w:szCs w:val="22"/>
        </w:rPr>
        <w:t xml:space="preserve">The scholarly tradition from which this treatise draws is not obscure. Walter Rodney named the mechanism in 1972. Kwame Nkrumah named it before that. Frantz Fanon named the psychology of it. What this treatise adds is the connective tissue: the argument that what Rodney called underdevelopment, what the IMF calls structural adjustment, what the State Department calls failed state designation, and what Paris calls the Franc Zone are not separate phenomena from separate eras. They are version iterations of a single engineering project, each generation of which updated its interface while preserving its operating logic.</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8B1A1A" w:val="clear"/>
          </w:tcPr>
          <w:p/>
        </w:tc>
        <w:tc>
          <w:tcPr>
            <w:tcW w:type="dxa" w:w="9120"/>
            <w:tcBorders>
              <w:top w:val="none" w:color="FFFFFF" w:sz="0"/>
              <w:left w:val="none" w:color="FFFFFF" w:sz="0"/>
              <w:bottom w:val="none" w:color="FFFFFF" w:sz="0"/>
              <w:right w:val="none" w:color="FFFFFF" w:sz="0"/>
            </w:tcBorders>
            <w:tcMar>
              <w:top w:type="dxa" w:w="120"/>
              <w:left w:type="dxa" w:w="240"/>
              <w:bottom w:type="dxa" w:w="120"/>
              <w:right w:type="dxa" w:w="120"/>
            </w:tcMar>
          </w:tcPr>
          <w:p>
            <w:r>
              <w:rPr>
                <w:rFonts w:ascii="Palatino Linotype" w:cs="Palatino Linotype" w:eastAsia="Palatino Linotype" w:hAnsi="Palatino Linotype"/>
                <w:i/>
                <w:iCs/>
                <w:color w:val="1A1A1A"/>
                <w:sz w:val="26"/>
                <w:szCs w:val="26"/>
              </w:rPr>
              <w:t xml:space="preserve">African poverty is not a wound that history inflicted and then walked away from. It is a managed condition, maintained by living institutions, enforced by traceable legal instruments, and profitable to identifiable parties.</w:t>
            </w:r>
          </w:p>
        </w:tc>
      </w:tr>
    </w:tbl>
    <w:p>
      <w:pPr>
        <w:spacing w:after="120" w:before="0"/>
      </w:pPr>
    </w:p>
    <w:p>
      <w:pPr>
        <w:spacing w:after="80" w:before="480"/>
      </w:pPr>
      <w:r>
        <w:rPr>
          <w:rFonts w:ascii="Arial" w:cs="Arial" w:eastAsia="Arial" w:hAnsi="Arial"/>
          <w:caps/>
          <w:color w:val="8B1A1A"/>
          <w:sz w:val="18"/>
          <w:szCs w:val="18"/>
        </w:rPr>
        <w:t xml:space="preserve">I. The Architecture</w:t>
      </w:r>
    </w:p>
    <w:p>
      <w:pPr>
        <w:spacing w:after="200" w:before="0"/>
      </w:pPr>
      <w:r>
        <w:rPr>
          <w:rFonts w:ascii="Palatino Linotype" w:cs="Palatino Linotype" w:eastAsia="Palatino Linotype" w:hAnsi="Palatino Linotype"/>
          <w:b/>
          <w:bCs/>
          <w:color w:val="1A1A1A"/>
          <w:sz w:val="36"/>
          <w:szCs w:val="36"/>
        </w:rPr>
        <w:t xml:space="preserve">Before the Scramble, the Blueprint</w:t>
      </w:r>
    </w:p>
    <w:p>
      <w:pPr>
        <w:spacing w:after="220" w:before="0"/>
      </w:pPr>
      <w:r>
        <w:rPr>
          <w:rFonts w:ascii="Palatino Linotype" w:cs="Palatino Linotype" w:eastAsia="Palatino Linotype" w:hAnsi="Palatino Linotype"/>
          <w:color w:val="444444"/>
          <w:sz w:val="22"/>
          <w:szCs w:val="22"/>
        </w:rPr>
        <w:t xml:space="preserve">The conventional starting point for discussions of African underdevelopment is 1884, the Berlin Conference, the Scramble for Africa. That starting point is accurate but incomplete. By 1884, the economic logic that would govern the continent for the next 140 years was already fully developed. The Berlin Conference did not invent extraction. It bureaucratized it, gave it legal infrastructure, and distributed its geography among competing European powers with the precision of a corporate merger.</w:t>
      </w:r>
    </w:p>
    <w:p>
      <w:pPr>
        <w:spacing w:after="220" w:before="0"/>
      </w:pPr>
      <w:r>
        <w:rPr>
          <w:rFonts w:ascii="Palatino Linotype" w:cs="Palatino Linotype" w:eastAsia="Palatino Linotype" w:hAnsi="Palatino Linotype"/>
          <w:color w:val="444444"/>
          <w:sz w:val="22"/>
          <w:szCs w:val="22"/>
        </w:rPr>
        <w:t xml:space="preserve">What emerged from Berlin was not simply a territorial carving. It was a legal architecture with three interlocking components that deserve examination as a system rather than as separate colonial policies. The first was the doctrine of effective occupation, which required that colonial powers demonstrate active economic exploitation of territory to maintain legal claim to it. This doctrine made extraction not merely profitable but legally mandatory. A colonial power that failed to exploit its African territory risked losing legal title to it. Extraction was built into the property rights framework from the beginning.</w:t>
      </w:r>
    </w:p>
    <w:p>
      <w:pPr>
        <w:spacing w:after="220" w:before="0"/>
      </w:pPr>
      <w:r>
        <w:rPr>
          <w:rFonts w:ascii="Palatino Linotype" w:cs="Palatino Linotype" w:eastAsia="Palatino Linotype" w:hAnsi="Palatino Linotype"/>
          <w:color w:val="444444"/>
          <w:sz w:val="22"/>
          <w:szCs w:val="22"/>
        </w:rPr>
        <w:t xml:space="preserve">The second component was the inheritance of colonial debt by successor states. When African nations achieved independence in the late 1950s and 1960s, they did not inherit blank balance sheets. They inherited the financial obligations of their colonizers, repackaged as the legitimate debts of new sovereign states. Congo inherited Belgian infrastructure debt. Numerous francophone states inherited the administrative costs of their own colonization. The most documented case is Haiti, which paid France reparations for the loss of enslaved people following the Haitian Revolution from 1825 until 1947. Haiti's independence cost Haiti 150 years of compounding debt service to the nation that had enslaved its population.</w:t>
      </w:r>
    </w:p>
    <w:p>
      <w:pPr>
        <w:spacing w:after="220" w:before="0"/>
      </w:pPr>
      <w:r>
        <w:rPr>
          <w:rFonts w:ascii="Palatino Linotype" w:cs="Palatino Linotype" w:eastAsia="Palatino Linotype" w:hAnsi="Palatino Linotype"/>
          <w:color w:val="444444"/>
          <w:sz w:val="22"/>
          <w:szCs w:val="22"/>
        </w:rPr>
        <w:t xml:space="preserve">The third component was the deliberate suppression of industrial capacity on the continent. Colonial economic policy was not neutral on the question of African industrialization. It was actively hostile to it. Raw material extraction required that Africa remain a supplier of unprocessed inputs to European manufacturing, not a competitor in manufactured goods. Textile production, metal working, and food processing that existed prior to colonial contact were systematically dismantled or taxed into non-viability across the continent. This was not an outcome of colonial policy. It was the objective of colonial policy.</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80" w:before="0"/>
            </w:pPr>
            <w:r>
              <w:rPr>
                <w:rFonts w:ascii="Arial" w:cs="Arial" w:eastAsia="Arial" w:hAnsi="Arial"/>
                <w:caps/>
                <w:color w:val="888888"/>
                <w:sz w:val="17"/>
                <w:szCs w:val="17"/>
              </w:rPr>
              <w:t xml:space="preserve">Primary Documentation</w:t>
            </w:r>
          </w:p>
          <w:p>
            <w:pPr>
              <w:spacing w:after="100" w:before="0"/>
            </w:pPr>
            <w:r>
              <w:rPr>
                <w:rFonts w:ascii="Palatino Linotype" w:cs="Palatino Linotype" w:eastAsia="Palatino Linotype" w:hAnsi="Palatino Linotype"/>
                <w:color w:val="444444"/>
                <w:sz w:val="20"/>
                <w:szCs w:val="20"/>
              </w:rPr>
              <w:t xml:space="preserve">The British Colonial Office circular of 1930 instructed colonial administrators that the encouragement of secondary industries in Africa was contrary to imperial economic policy and that governors should actively discourage manufacturing enterprises that might compete with British exports. The document is held in the UK National Archives, CO 852 series.</w:t>
            </w:r>
          </w:p>
          <w:p>
            <w:pPr>
              <w:spacing w:after="0" w:before="0"/>
            </w:pPr>
            <w:r>
              <w:rPr>
                <w:rFonts w:ascii="Palatino Linotype" w:cs="Palatino Linotype" w:eastAsia="Palatino Linotype" w:hAnsi="Palatino Linotype"/>
                <w:i/>
                <w:iCs/>
                <w:color w:val="888888"/>
                <w:sz w:val="18"/>
                <w:szCs w:val="18"/>
              </w:rPr>
              <w:t xml:space="preserve">Source: UK National Archives, Colonial Office Records, CO 852/1/1, 1930.</w:t>
            </w:r>
          </w:p>
        </w:tc>
      </w:tr>
    </w:tbl>
    <w:p>
      <w:pPr>
        <w:spacing w:after="120" w:before="0"/>
      </w:pPr>
    </w:p>
    <w:p>
      <w:pPr>
        <w:spacing w:after="220" w:before="0"/>
      </w:pPr>
      <w:r>
        <w:rPr>
          <w:rFonts w:ascii="Palatino Linotype" w:cs="Palatino Linotype" w:eastAsia="Palatino Linotype" w:hAnsi="Palatino Linotype"/>
          <w:color w:val="444444"/>
          <w:sz w:val="22"/>
          <w:szCs w:val="22"/>
        </w:rPr>
        <w:t xml:space="preserve">These three components, taken together, produced an economic architecture in which African independence was structurally incomplete from its first day. New states inherited debt, inherited suppressed industrial capacity, and entered a global trading system whose rules had been written by the powers that colonized them. The Bretton Woods institutions, established in 1944, codified those rules into international law before most African nations existed as legal entities.</w:t>
      </w:r>
    </w:p>
    <w:p>
      <w:pPr>
        <w:spacing w:after="80" w:before="480"/>
      </w:pPr>
      <w:r>
        <w:rPr>
          <w:rFonts w:ascii="Arial" w:cs="Arial" w:eastAsia="Arial" w:hAnsi="Arial"/>
          <w:caps/>
          <w:color w:val="8B1A1A"/>
          <w:sz w:val="18"/>
          <w:szCs w:val="18"/>
        </w:rPr>
        <w:t xml:space="preserve">II. The Instrument</w:t>
      </w:r>
    </w:p>
    <w:p>
      <w:pPr>
        <w:spacing w:after="200" w:before="0"/>
      </w:pPr>
      <w:r>
        <w:rPr>
          <w:rFonts w:ascii="Palatino Linotype" w:cs="Palatino Linotype" w:eastAsia="Palatino Linotype" w:hAnsi="Palatino Linotype"/>
          <w:b/>
          <w:bCs/>
          <w:color w:val="1A1A1A"/>
          <w:sz w:val="36"/>
          <w:szCs w:val="36"/>
        </w:rPr>
        <w:t xml:space="preserve">The Franc CFA: Colonialism With a Central Bank</w:t>
      </w:r>
    </w:p>
    <w:p>
      <w:pPr>
        <w:spacing w:after="220" w:before="0"/>
      </w:pPr>
      <w:r>
        <w:rPr>
          <w:rFonts w:ascii="Palatino Linotype" w:cs="Palatino Linotype" w:eastAsia="Palatino Linotype" w:hAnsi="Palatino Linotype"/>
          <w:color w:val="444444"/>
          <w:sz w:val="22"/>
          <w:szCs w:val="22"/>
        </w:rPr>
        <w:t xml:space="preserve">The Franc CFA is the most underreported ongoing colonial mechanism in the world. It operates in plain sight, is defended by its architects with economic arguments that dissolve under examination, and affects the material conditions of approximately 180 million people across fourteen African nations as of this writing. It is not historical. It is current.</w:t>
      </w:r>
    </w:p>
    <w:p>
      <w:pPr>
        <w:spacing w:after="220" w:before="0"/>
      </w:pPr>
      <w:r>
        <w:rPr>
          <w:rFonts w:ascii="Palatino Linotype" w:cs="Palatino Linotype" w:eastAsia="Palatino Linotype" w:hAnsi="Palatino Linotype"/>
          <w:color w:val="444444"/>
          <w:sz w:val="22"/>
          <w:szCs w:val="22"/>
        </w:rPr>
        <w:t xml:space="preserve">The CFA Franc, whose name stands for Communaute Financiere Africaine (African Financial Community), was created by France in 1945, before the independence of the states that would be compelled to use it. It has two versions: the West African CFA Franc, used by eight nations in the West African Economic and Monetary Union, and the Central African CFA Franc, used by six nations in the Central African Economic and Monetary Community. Both are pegged to the Euro at a fixed rate, managed by the European Central Bank in coordination with the French Treasury, and subject to monetary policy decisions made in Paris and Brussels.</w:t>
      </w:r>
    </w:p>
    <w:p>
      <w:pPr>
        <w:spacing w:after="220" w:before="0"/>
      </w:pPr>
      <w:r>
        <w:rPr>
          <w:rFonts w:ascii="Palatino Linotype" w:cs="Palatino Linotype" w:eastAsia="Palatino Linotype" w:hAnsi="Palatino Linotype"/>
          <w:color w:val="444444"/>
          <w:sz w:val="22"/>
          <w:szCs w:val="22"/>
        </w:rPr>
        <w:t xml:space="preserve">The operational mechanics of the CFA system require examination because they are frequently obscured by technical language in the secondary literature. Member states are required to deposit a portion of their foreign exchange reserves with the French Treasury. Until 2005, this proportion was 65 percent. Between 2005 and 2019, it was reduced to 50 percent. In 2019, France and the West African members announced a reform, renaming the West African currency the ECO and announcing that reserve deposits with the French Treasury would end. As of the writing of this treatise, that reform has not been implemented. The reserves remain in Paris.</w:t>
      </w:r>
    </w:p>
    <w:p>
      <w:pPr>
        <w:spacing w:after="220" w:before="0"/>
      </w:pPr>
      <w:r>
        <w:rPr>
          <w:rFonts w:ascii="Palatino Linotype" w:cs="Palatino Linotype" w:eastAsia="Palatino Linotype" w:hAnsi="Palatino Linotype"/>
          <w:color w:val="444444"/>
          <w:sz w:val="22"/>
          <w:szCs w:val="22"/>
        </w:rPr>
        <w:t xml:space="preserve">The consequences of this arrangement are not theoretical. A nation that cannot access its own foreign exchange reserves cannot conduct independent monetary policy. It cannot devalue its currency to make its exports competitive. It cannot expand its money supply during economic contraction. It cannot use monetary tools to respond to inflation. All of these decisions are made by institutions in which the fourteen member states collectively hold one representative seat alongside France, which holds a permanent oversight role. The monetary sovereignty of these fourteen nations is structurally compromised by a legal arrangement that France designed and that France benefits from through guaranteed convertibility, trade advantages, and financial flows that French economists have documented but French policy has declined to remedy.</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8B1A1A" w:val="clear"/>
          </w:tcPr>
          <w:p/>
        </w:tc>
        <w:tc>
          <w:tcPr>
            <w:tcW w:type="dxa" w:w="9120"/>
            <w:tcBorders>
              <w:top w:val="none" w:color="FFFFFF" w:sz="0"/>
              <w:left w:val="none" w:color="FFFFFF" w:sz="0"/>
              <w:bottom w:val="none" w:color="FFFFFF" w:sz="0"/>
              <w:right w:val="none" w:color="FFFFFF" w:sz="0"/>
            </w:tcBorders>
            <w:tcMar>
              <w:top w:type="dxa" w:w="120"/>
              <w:left w:type="dxa" w:w="240"/>
              <w:bottom w:type="dxa" w:w="120"/>
              <w:right w:type="dxa" w:w="120"/>
            </w:tcMar>
          </w:tcPr>
          <w:p>
            <w:r>
              <w:rPr>
                <w:rFonts w:ascii="Palatino Linotype" w:cs="Palatino Linotype" w:eastAsia="Palatino Linotype" w:hAnsi="Palatino Linotype"/>
                <w:i/>
                <w:iCs/>
                <w:color w:val="1A1A1A"/>
                <w:sz w:val="26"/>
                <w:szCs w:val="26"/>
              </w:rPr>
              <w:t xml:space="preserve">A nation that cannot access its own foreign exchange reserves cannot conduct independent monetary policy. The monetary sovereignty of fourteen African nations is structurally compromised by a legal arrangement that France designed and that France benefits from.</w:t>
            </w:r>
          </w:p>
        </w:tc>
      </w:tr>
    </w:tbl>
    <w:p>
      <w:pPr>
        <w:spacing w:after="120" w:before="0"/>
      </w:pPr>
    </w:p>
    <w:p>
      <w:pPr>
        <w:spacing w:after="220" w:before="0"/>
      </w:pPr>
      <w:r>
        <w:rPr>
          <w:rFonts w:ascii="Palatino Linotype" w:cs="Palatino Linotype" w:eastAsia="Palatino Linotype" w:hAnsi="Palatino Linotype"/>
          <w:color w:val="444444"/>
          <w:sz w:val="22"/>
          <w:szCs w:val="22"/>
        </w:rPr>
        <w:t xml:space="preserve">The academic literature on this point is not confined to African scholars making political arguments. In 2020, the International Monetary Fund's own working paper series published an analysis concluding that CFA member states showed lower financial development than comparable non-CFA African economies, a finding that the IMF attributed in part to the structural constraints of the fixed exchange rate regime. The IMF paper stopped short of recommending dissolution of the zone. The data, however, did not stop short of demonstrating its costs.</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80" w:before="0"/>
            </w:pPr>
            <w:r>
              <w:rPr>
                <w:rFonts w:ascii="Arial" w:cs="Arial" w:eastAsia="Arial" w:hAnsi="Arial"/>
                <w:caps/>
                <w:color w:val="888888"/>
                <w:sz w:val="17"/>
                <w:szCs w:val="17"/>
              </w:rPr>
              <w:t xml:space="preserve">IMF Documentation</w:t>
            </w:r>
          </w:p>
          <w:p>
            <w:pPr>
              <w:spacing w:after="100" w:before="0"/>
            </w:pPr>
            <w:r>
              <w:rPr>
                <w:rFonts w:ascii="Palatino Linotype" w:cs="Palatino Linotype" w:eastAsia="Palatino Linotype" w:hAnsi="Palatino Linotype"/>
                <w:color w:val="444444"/>
                <w:sz w:val="20"/>
                <w:szCs w:val="20"/>
              </w:rPr>
              <w:t xml:space="preserve">IMF Working Paper WP/20/7 (2020), 'The CFA Franc Zone: What Have We Learned After 75 Years?', found that financial development in the CFA franc zone has lagged behind that of comparable countries and identified the monetary arrangement's constraints as a contributing factor. The paper is publicly available on the IMF website.</w:t>
            </w:r>
          </w:p>
          <w:p>
            <w:pPr>
              <w:spacing w:after="0" w:before="0"/>
            </w:pPr>
            <w:r>
              <w:rPr>
                <w:rFonts w:ascii="Palatino Linotype" w:cs="Palatino Linotype" w:eastAsia="Palatino Linotype" w:hAnsi="Palatino Linotype"/>
                <w:i/>
                <w:iCs/>
                <w:color w:val="888888"/>
                <w:sz w:val="18"/>
                <w:szCs w:val="18"/>
              </w:rPr>
              <w:t xml:space="preserve">Source: IMF Working Paper WP/20/7, January 2020. Authors: Matteo Ghilardi, Anh D.M. Nguyen, and Jean-Marc Natal.</w:t>
            </w:r>
          </w:p>
        </w:tc>
      </w:tr>
    </w:tbl>
    <w:p>
      <w:pPr>
        <w:spacing w:after="120" w:before="0"/>
      </w:pPr>
    </w:p>
    <w:p>
      <w:pPr>
        <w:spacing w:after="80" w:before="480"/>
      </w:pPr>
      <w:r>
        <w:rPr>
          <w:rFonts w:ascii="Arial" w:cs="Arial" w:eastAsia="Arial" w:hAnsi="Arial"/>
          <w:caps/>
          <w:color w:val="8B1A1A"/>
          <w:sz w:val="18"/>
          <w:szCs w:val="18"/>
        </w:rPr>
        <w:t xml:space="preserve">III. The Upgrade</w:t>
      </w:r>
    </w:p>
    <w:p>
      <w:pPr>
        <w:spacing w:after="200" w:before="0"/>
      </w:pPr>
      <w:r>
        <w:rPr>
          <w:rFonts w:ascii="Palatino Linotype" w:cs="Palatino Linotype" w:eastAsia="Palatino Linotype" w:hAnsi="Palatino Linotype"/>
          <w:b/>
          <w:bCs/>
          <w:color w:val="1A1A1A"/>
          <w:sz w:val="36"/>
          <w:szCs w:val="36"/>
        </w:rPr>
        <w:t xml:space="preserve">Structural Adjustment: Debt as Policy Instrument</w:t>
      </w:r>
    </w:p>
    <w:p>
      <w:pPr>
        <w:spacing w:after="220" w:before="0"/>
      </w:pPr>
      <w:r>
        <w:rPr>
          <w:rFonts w:ascii="Palatino Linotype" w:cs="Palatino Linotype" w:eastAsia="Palatino Linotype" w:hAnsi="Palatino Linotype"/>
          <w:color w:val="444444"/>
          <w:sz w:val="22"/>
          <w:szCs w:val="22"/>
        </w:rPr>
        <w:t xml:space="preserve">By the late 1970s, the original colonial economic architecture had evolved. Direct political control of African states was no longer viable, having generated independence movements that were expensive to suppress and diplomatically inconvenient in the context of Cold War competition for African allegiance. What replaced direct political control was financial control, administered through institutions whose neutrality was their primary marketing claim and whose operational record is now sufficiently documented to evaluate that claim empirically.</w:t>
      </w:r>
    </w:p>
    <w:p>
      <w:pPr>
        <w:spacing w:after="220" w:before="0"/>
      </w:pPr>
      <w:r>
        <w:rPr>
          <w:rFonts w:ascii="Palatino Linotype" w:cs="Palatino Linotype" w:eastAsia="Palatino Linotype" w:hAnsi="Palatino Linotype"/>
          <w:color w:val="444444"/>
          <w:sz w:val="22"/>
          <w:szCs w:val="22"/>
        </w:rPr>
        <w:t xml:space="preserve">The International Monetary Fund and the World Bank, both headquartered in Washington, D.C., both governed by voting structures weighted by capital contribution in which the United States, the European Union collectively, and Japan hold effective veto power, began imposing Structural Adjustment Programs on African governments in exchange for loans beginning in the late 1970s and accelerating through the 1980s and 1990s. The SAP conditions were standardized across wildly different national contexts and fell into predictable categories: reduction of public sector employment, elimination of subsidies on food and fuel, privatization of state enterprises, liberalization of import tariffs, currency devaluation, and the prioritization of debt service over domestic social expenditure.</w:t>
      </w:r>
    </w:p>
    <w:p>
      <w:pPr>
        <w:spacing w:after="220" w:before="0"/>
      </w:pPr>
      <w:r>
        <w:rPr>
          <w:rFonts w:ascii="Palatino Linotype" w:cs="Palatino Linotype" w:eastAsia="Palatino Linotype" w:hAnsi="Palatino Linotype"/>
          <w:color w:val="444444"/>
          <w:sz w:val="22"/>
          <w:szCs w:val="22"/>
        </w:rPr>
        <w:t xml:space="preserve">The economic theory underlying these conditions was that free markets, once liberated from state interference, would generate growth sufficient to service debt and improve living standards. The empirical record of that theory's application to Africa is available and has been reviewed. It does not support the theory.</w:t>
      </w:r>
    </w:p>
    <w:p>
      <w:pPr>
        <w:spacing w:after="220" w:before="0"/>
      </w:pPr>
      <w:r>
        <w:rPr>
          <w:rFonts w:ascii="Palatino Linotype" w:cs="Palatino Linotype" w:eastAsia="Palatino Linotype" w:hAnsi="Palatino Linotype"/>
          <w:color w:val="444444"/>
          <w:sz w:val="22"/>
          <w:szCs w:val="22"/>
        </w:rPr>
        <w:t xml:space="preserve">Between 1980 and 2000, the period of most intensive SAP implementation, sub-Saharan African GDP per capita declined in real terms. Life expectancy gains that had been consistent since independence slowed or reversed in numerous countries. Child mortality rates, which had been falling, stagnated or increased in SAP-recipient nations. Public health infrastructure, which SAPs required to be defunded as a condition of loan disbursement, collapsed in ways that took decades to partially rebuild. UNICEF's 1987 report Adjustment with a Human Face, authored by Giovanni Andrea Cornia, Richard Jolly, and Frances Stewart, documented these consequences in detail using the World Bank's own data. The report was published. The SAP conditions continued.</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80" w:before="0"/>
            </w:pPr>
            <w:r>
              <w:rPr>
                <w:rFonts w:ascii="Arial" w:cs="Arial" w:eastAsia="Arial" w:hAnsi="Arial"/>
                <w:caps/>
                <w:color w:val="888888"/>
                <w:sz w:val="17"/>
                <w:szCs w:val="17"/>
              </w:rPr>
              <w:t xml:space="preserve">World Bank Internal Review</w:t>
            </w:r>
          </w:p>
          <w:p>
            <w:pPr>
              <w:spacing w:after="100" w:before="0"/>
            </w:pPr>
            <w:r>
              <w:rPr>
                <w:rFonts w:ascii="Palatino Linotype" w:cs="Palatino Linotype" w:eastAsia="Palatino Linotype" w:hAnsi="Palatino Linotype"/>
                <w:color w:val="444444"/>
                <w:sz w:val="20"/>
                <w:szCs w:val="20"/>
              </w:rPr>
              <w:t xml:space="preserve">The World Bank's own Operations Evaluation Department published a review in 1994 concluding that SAPs had mixed results in Africa and that the conditions attached to adjustment loans were often not implemented. A subsequent 2000 review, Assessing Aid: What Works, What Doesn't, and Why, acknowledged that conditionality had frequently failed to produce projected outcomes. Both documents are available in the World Bank's online archives.</w:t>
            </w:r>
          </w:p>
          <w:p>
            <w:pPr>
              <w:spacing w:after="0" w:before="0"/>
            </w:pPr>
            <w:r>
              <w:rPr>
                <w:rFonts w:ascii="Palatino Linotype" w:cs="Palatino Linotype" w:eastAsia="Palatino Linotype" w:hAnsi="Palatino Linotype"/>
                <w:i/>
                <w:iCs/>
                <w:color w:val="888888"/>
                <w:sz w:val="18"/>
                <w:szCs w:val="18"/>
              </w:rPr>
              <w:t xml:space="preserve">Source: World Bank Operations Evaluation Department, 1994; World Bank Policy Research Report, 'Assessing Aid,' 2000.</w:t>
            </w:r>
          </w:p>
        </w:tc>
      </w:tr>
    </w:tbl>
    <w:p>
      <w:pPr>
        <w:spacing w:after="120" w:before="0"/>
      </w:pPr>
    </w:p>
    <w:p>
      <w:pPr>
        <w:spacing w:after="220" w:before="0"/>
      </w:pPr>
      <w:r>
        <w:rPr>
          <w:rFonts w:ascii="Palatino Linotype" w:cs="Palatino Linotype" w:eastAsia="Palatino Linotype" w:hAnsi="Palatino Linotype"/>
          <w:color w:val="444444"/>
          <w:sz w:val="22"/>
          <w:szCs w:val="22"/>
        </w:rPr>
        <w:t xml:space="preserve">The mechanism by which SAPs functioned as a financial control instrument rather than a development tool is clarified by examining what their conditions actually transferred. Privatization of state enterprises transferred African public assets to private buyers, predominantly foreign corporations, at valuations set during debt crises when African governments had no negotiating leverage. Import liberalization opened African markets to subsidized agricultural goods from Europe and the United States, destroying domestic food production capacity that had taken generations to build. Debt service prioritization legally required African governments to pay foreign creditors before funding hospitals, schools, or agricultural development programs. These were not unintended consequences. They were the predictable mathematical outcomes of the conditions as written.</w:t>
      </w:r>
    </w:p>
    <w:p>
      <w:pPr>
        <w:spacing w:after="220" w:before="0"/>
      </w:pPr>
      <w:r>
        <w:rPr>
          <w:rFonts w:ascii="Palatino Linotype" w:cs="Palatino Linotype" w:eastAsia="Palatino Linotype" w:hAnsi="Palatino Linotype"/>
          <w:color w:val="444444"/>
          <w:sz w:val="22"/>
          <w:szCs w:val="22"/>
        </w:rPr>
        <w:t xml:space="preserve">The economists who designed these programs were not ignorant of basic economic theory. They understood that removing import protections from infant industries destroys those industries. They understood that asset sales during financial distress transfer value to buyers. They understood that debt service prioritization crowds out public investment. The question the documentary record does not answer, because no document states it explicitly, is whether the outcomes were intended. The question the documentary record does answer is that the outcomes were predictable, were predicted by critics at the time, and were implemented anyway.</w:t>
      </w:r>
    </w:p>
    <w:p>
      <w:pPr>
        <w:spacing w:after="80" w:before="480"/>
      </w:pPr>
      <w:r>
        <w:rPr>
          <w:rFonts w:ascii="Arial" w:cs="Arial" w:eastAsia="Arial" w:hAnsi="Arial"/>
          <w:caps/>
          <w:color w:val="8B1A1A"/>
          <w:sz w:val="18"/>
          <w:szCs w:val="18"/>
        </w:rPr>
        <w:t xml:space="preserve">IV. The Software Update</w:t>
      </w:r>
    </w:p>
    <w:p>
      <w:pPr>
        <w:spacing w:after="200" w:before="0"/>
      </w:pPr>
      <w:r>
        <w:rPr>
          <w:rFonts w:ascii="Palatino Linotype" w:cs="Palatino Linotype" w:eastAsia="Palatino Linotype" w:hAnsi="Palatino Linotype"/>
          <w:b/>
          <w:bCs/>
          <w:color w:val="1A1A1A"/>
          <w:sz w:val="36"/>
          <w:szCs w:val="36"/>
        </w:rPr>
        <w:t xml:space="preserve">The 'Failed State' Doctrine as Jurisdictional Weapon</w:t>
      </w:r>
    </w:p>
    <w:p>
      <w:pPr>
        <w:spacing w:after="220" w:before="0"/>
      </w:pPr>
      <w:r>
        <w:rPr>
          <w:rFonts w:ascii="Palatino Linotype" w:cs="Palatino Linotype" w:eastAsia="Palatino Linotype" w:hAnsi="Palatino Linotype"/>
          <w:color w:val="444444"/>
          <w:sz w:val="22"/>
          <w:szCs w:val="22"/>
        </w:rPr>
        <w:t xml:space="preserve">The concept of the failed state entered policy discourse in the early 1990s through two primary vectors: Gerald Helman and Steven Ratner's 1992 article in Foreign Policy titled Saving Failed States, and the subsequent institutionalization of the concept in State Department and National Security Council planning documents. Its timing is instructive. The Cold War had ended, removing the strategic rationale for supporting African governments regardless of their economic conditions. A new rationale for intervention was needed. The failed state concept provided it.</w:t>
      </w:r>
    </w:p>
    <w:p>
      <w:pPr>
        <w:spacing w:after="220" w:before="0"/>
      </w:pPr>
      <w:r>
        <w:rPr>
          <w:rFonts w:ascii="Palatino Linotype" w:cs="Palatino Linotype" w:eastAsia="Palatino Linotype" w:hAnsi="Palatino Linotype"/>
          <w:color w:val="444444"/>
          <w:sz w:val="22"/>
          <w:szCs w:val="22"/>
        </w:rPr>
        <w:t xml:space="preserve">The definition of state failure, as operationalized in Western policy documents, centers on a government's inability to maintain a monopoly on violence, deliver basic services, and generate sufficient tax revenue to function. These are presented as neutral administrative criteria. They are not neutral. Every one of them describes the predictable condition of a state that has spent fifteen years under SAP conditionality, whose public sector has been defunded as a loan condition, whose import-competing industries have been eliminated by forced liberalization, and whose debt service obligations consume a substantial portion of national revenue.</w:t>
      </w:r>
    </w:p>
    <w:p>
      <w:pPr>
        <w:spacing w:after="220" w:before="0"/>
      </w:pPr>
      <w:r>
        <w:rPr>
          <w:rFonts w:ascii="Palatino Linotype" w:cs="Palatino Linotype" w:eastAsia="Palatino Linotype" w:hAnsi="Palatino Linotype"/>
          <w:color w:val="444444"/>
          <w:sz w:val="22"/>
          <w:szCs w:val="22"/>
        </w:rPr>
        <w:t xml:space="preserve">SAPs created the conditions that the failed state doctrine then diagnosed as indigenous governance failure. The diagnosis preceded the remedy, and the remedy was further intervention, further conditionality, and in several cases direct military involvement by Western powers operating under humanitarian or stabilization mandates. The Democratic Republic of Congo, Somalia, and later Libya each received failed state designation in Western policy documents. Each had been subject to decades of external economic and political intervention before the designation was applied. The causal arrow in the failed state narrative points inward, toward African governance incapacity. The causal arrow in the documentary record points outward, toward the interventions that preceded the instability.</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8B1A1A" w:val="clear"/>
          </w:tcPr>
          <w:p/>
        </w:tc>
        <w:tc>
          <w:tcPr>
            <w:tcW w:type="dxa" w:w="9120"/>
            <w:tcBorders>
              <w:top w:val="none" w:color="FFFFFF" w:sz="0"/>
              <w:left w:val="none" w:color="FFFFFF" w:sz="0"/>
              <w:bottom w:val="none" w:color="FFFFFF" w:sz="0"/>
              <w:right w:val="none" w:color="FFFFFF" w:sz="0"/>
            </w:tcBorders>
            <w:tcMar>
              <w:top w:type="dxa" w:w="120"/>
              <w:left w:type="dxa" w:w="240"/>
              <w:bottom w:type="dxa" w:w="120"/>
              <w:right w:type="dxa" w:w="120"/>
            </w:tcMar>
          </w:tcPr>
          <w:p>
            <w:r>
              <w:rPr>
                <w:rFonts w:ascii="Palatino Linotype" w:cs="Palatino Linotype" w:eastAsia="Palatino Linotype" w:hAnsi="Palatino Linotype"/>
                <w:i/>
                <w:iCs/>
                <w:color w:val="1A1A1A"/>
                <w:sz w:val="26"/>
                <w:szCs w:val="26"/>
              </w:rPr>
              <w:t xml:space="preserve">SAPs created the conditions that the failed state doctrine then diagnosed as indigenous governance failure. The causal arrow in the failed state narrative points inward. The causal arrow in the documentary record points outward.</w:t>
            </w:r>
          </w:p>
        </w:tc>
      </w:tr>
    </w:tbl>
    <w:p>
      <w:pPr>
        <w:spacing w:after="120" w:before="0"/>
      </w:pPr>
    </w:p>
    <w:p>
      <w:pPr>
        <w:spacing w:after="220" w:before="0"/>
      </w:pPr>
      <w:r>
        <w:rPr>
          <w:rFonts w:ascii="Palatino Linotype" w:cs="Palatino Linotype" w:eastAsia="Palatino Linotype" w:hAnsi="Palatino Linotype"/>
          <w:color w:val="444444"/>
          <w:sz w:val="22"/>
          <w:szCs w:val="22"/>
        </w:rPr>
        <w:t xml:space="preserve">The failed state designation also functions as a legal trigger. Under international financial law, a state classified as failing or fragile becomes eligible for specific categories of IMF and World Bank intervention that carry more intrusive conditionality than standard loan agreements. Sovereignty limitations that would be politically unacceptable to impose on a stable state become technically available to international institutions operating under humanitarian or governance mandates. The designation is not merely a descriptive category. It is a jurisdictional mechanism that expands the legal authority of external institutions over the designated state's domestic policy.</w:t>
      </w:r>
    </w:p>
    <w:p>
      <w:pPr>
        <w:spacing w:after="80" w:before="480"/>
      </w:pPr>
      <w:r>
        <w:rPr>
          <w:rFonts w:ascii="Arial" w:cs="Arial" w:eastAsia="Arial" w:hAnsi="Arial"/>
          <w:caps/>
          <w:color w:val="8B1A1A"/>
          <w:sz w:val="18"/>
          <w:szCs w:val="18"/>
        </w:rPr>
        <w:t xml:space="preserve">V. The Connective Tissue</w:t>
      </w:r>
    </w:p>
    <w:p>
      <w:pPr>
        <w:spacing w:after="200" w:before="0"/>
      </w:pPr>
      <w:r>
        <w:rPr>
          <w:rFonts w:ascii="Palatino Linotype" w:cs="Palatino Linotype" w:eastAsia="Palatino Linotype" w:hAnsi="Palatino Linotype"/>
          <w:b/>
          <w:bCs/>
          <w:color w:val="1A1A1A"/>
          <w:sz w:val="36"/>
          <w:szCs w:val="36"/>
        </w:rPr>
        <w:t xml:space="preserve">One Project, Four Versions</w:t>
      </w:r>
    </w:p>
    <w:p>
      <w:pPr>
        <w:spacing w:after="220" w:before="0"/>
      </w:pPr>
      <w:r>
        <w:rPr>
          <w:rFonts w:ascii="Palatino Linotype" w:cs="Palatino Linotype" w:eastAsia="Palatino Linotype" w:hAnsi="Palatino Linotype"/>
          <w:color w:val="444444"/>
          <w:sz w:val="22"/>
          <w:szCs w:val="22"/>
        </w:rPr>
        <w:t xml:space="preserve">The analytical contribution this treatise makes, and the claim it will defend against the most rigorous available counterarguments, is that the Berlin Conference architecture, the CFA Franc system, the Structural Adjustment Programs, and the failed state doctrine are not separate phenomena from separate historical moments. They are version iterations of a single engineering project whose operating logic has remained constant across 140 years of interface changes.</w:t>
      </w:r>
    </w:p>
    <w:p>
      <w:pPr>
        <w:spacing w:after="220" w:before="0"/>
      </w:pPr>
      <w:r>
        <w:rPr>
          <w:rFonts w:ascii="Palatino Linotype" w:cs="Palatino Linotype" w:eastAsia="Palatino Linotype" w:hAnsi="Palatino Linotype"/>
          <w:color w:val="444444"/>
          <w:sz w:val="22"/>
          <w:szCs w:val="22"/>
        </w:rPr>
        <w:t xml:space="preserve">The operating logic is this: African economies must remain net exporters of value to the global economic system dominated by Western nations and their financial institutions, and the legal, monetary, and political mechanisms through which this net export of value is maintained must be structured so that the maintenance of those mechanisms appears to be either a natural condition of African development, a voluntary agreement between sovereign states, or a neutral technical requirement of international financial participation.</w:t>
      </w:r>
    </w:p>
    <w:p>
      <w:pPr>
        <w:spacing w:after="220" w:before="0"/>
      </w:pPr>
      <w:r>
        <w:rPr>
          <w:rFonts w:ascii="Palatino Linotype" w:cs="Palatino Linotype" w:eastAsia="Palatino Linotype" w:hAnsi="Palatino Linotype"/>
          <w:color w:val="444444"/>
          <w:sz w:val="22"/>
          <w:szCs w:val="22"/>
        </w:rPr>
        <w:t xml:space="preserve">The Berlin Conference accomplished this through territorial law and the suppression of industrial capacity. The CFA Franc accomplishes this through monetary architecture that prevents independent economic policy while appearing to offer the stability of a fixed exchange rate. The SAPs accomplished this through loan conditionality that transferred assets and opened markets while appearing to offer a path to economic development. The failed state doctrine accomplishes this by attributing the outcomes of these mechanisms to African governance failure, completing the ideological circuit that makes the engineering invisible as engineering.</w:t>
      </w:r>
    </w:p>
    <w:p>
      <w:pPr>
        <w:spacing w:after="220" w:before="0"/>
      </w:pPr>
      <w:r>
        <w:rPr>
          <w:rFonts w:ascii="Palatino Linotype" w:cs="Palatino Linotype" w:eastAsia="Palatino Linotype" w:hAnsi="Palatino Linotype"/>
          <w:color w:val="444444"/>
          <w:sz w:val="22"/>
          <w:szCs w:val="22"/>
        </w:rPr>
        <w:t xml:space="preserve">Karl Polanyi, writing about European capitalism's violent disembedding of markets from social relations in The Great Transformation (1944), described a process in which what appeared to be the natural emergence of free markets was in fact the result of deliberate state action to create and maintain market conditions. The same analytical framework, applied to Africa's relationship with the global economic system, reveals the same structure: what appears to be the natural condition of African underdevelopment is the result of deliberate institutional action to create and maintain the conditions of underdevelopment. Rodney's formulation of this in 1972 was correct. The subsequent four decades of documented institutional behavior have only made the evidentiary foundation of his argument stronger.</w:t>
      </w:r>
    </w:p>
    <w:p>
      <w:pPr>
        <w:spacing w:after="80" w:before="480"/>
      </w:pPr>
      <w:r>
        <w:rPr>
          <w:rFonts w:ascii="Arial" w:cs="Arial" w:eastAsia="Arial" w:hAnsi="Arial"/>
          <w:caps/>
          <w:color w:val="8B1A1A"/>
          <w:sz w:val="18"/>
          <w:szCs w:val="18"/>
        </w:rPr>
        <w:t xml:space="preserve">VI. The Scholars They Did Not Canonize</w:t>
      </w:r>
    </w:p>
    <w:p>
      <w:pPr>
        <w:spacing w:after="200" w:before="0"/>
      </w:pPr>
      <w:r>
        <w:rPr>
          <w:rFonts w:ascii="Palatino Linotype" w:cs="Palatino Linotype" w:eastAsia="Palatino Linotype" w:hAnsi="Palatino Linotype"/>
          <w:b/>
          <w:bCs/>
          <w:color w:val="1A1A1A"/>
          <w:sz w:val="36"/>
          <w:szCs w:val="36"/>
        </w:rPr>
        <w:t xml:space="preserve">What the Syllabus Left Out</w:t>
      </w:r>
    </w:p>
    <w:p>
      <w:pPr>
        <w:spacing w:after="220" w:before="0"/>
      </w:pPr>
      <w:r>
        <w:rPr>
          <w:rFonts w:ascii="Palatino Linotype" w:cs="Palatino Linotype" w:eastAsia="Palatino Linotype" w:hAnsi="Palatino Linotype"/>
          <w:color w:val="444444"/>
          <w:sz w:val="22"/>
          <w:szCs w:val="22"/>
        </w:rPr>
        <w:t xml:space="preserve">The theoretical tradition from which this treatise draws has been systematically marginalized within mainstream development economics, not because its empirical claims have been refuted, but because its political implications are inconvenient to the institutions that fund development economics research. This is not a novel observation. It is documented in the sociology of knowledge production.</w:t>
      </w:r>
    </w:p>
    <w:p>
      <w:pPr>
        <w:spacing w:after="220" w:before="0"/>
      </w:pPr>
      <w:r>
        <w:rPr>
          <w:rFonts w:ascii="Palatino Linotype" w:cs="Palatino Linotype" w:eastAsia="Palatino Linotype" w:hAnsi="Palatino Linotype"/>
          <w:color w:val="444444"/>
          <w:sz w:val="22"/>
          <w:szCs w:val="22"/>
        </w:rPr>
        <w:t xml:space="preserve">Walter Rodney's How Europe Underdeveloped Africa (1972) remains outside the standard curriculum of economics departments at most Western universities fifty years after its publication, despite being one of the most empirically detailed accounts of colonial economic policy ever written. Rodney was assassinated in Guyana in 1980. The Guyanese government commission established to investigate his death operated under conditions that his family and colleagues documented as systematically obstructed. The full circumstances of his death remain formally unresolved.</w:t>
      </w:r>
    </w:p>
    <w:p>
      <w:pPr>
        <w:spacing w:after="220" w:before="0"/>
      </w:pPr>
      <w:r>
        <w:rPr>
          <w:rFonts w:ascii="Palatino Linotype" w:cs="Palatino Linotype" w:eastAsia="Palatino Linotype" w:hAnsi="Palatino Linotype"/>
          <w:color w:val="444444"/>
          <w:sz w:val="22"/>
          <w:szCs w:val="22"/>
        </w:rPr>
        <w:t xml:space="preserve">Samir Amin, the Egyptian-Senegalese economist who developed dependency theory's most rigorous formalization in his concept of unequal exchange, spent most of his career at institutions in Senegal and Egypt rather than at the Western universities whose imprimatur confers canonical status in the discipline. His work, which demonstrated mathematically that the structure of global trade systematically transferred value from peripheral to core economies, was engaged with by heterodox economists and largely ignored by the mainstream of the profession.</w:t>
      </w:r>
    </w:p>
    <w:p>
      <w:pPr>
        <w:spacing w:after="220" w:before="0"/>
      </w:pPr>
      <w:r>
        <w:rPr>
          <w:rFonts w:ascii="Palatino Linotype" w:cs="Palatino Linotype" w:eastAsia="Palatino Linotype" w:hAnsi="Palatino Linotype"/>
          <w:color w:val="444444"/>
          <w:sz w:val="22"/>
          <w:szCs w:val="22"/>
        </w:rPr>
        <w:t xml:space="preserve">Thandika Mkandawire, the Malawian economist who served as Director of the United Nations Research Institute for Social Development and who produced some of the most rigorous empirical critiques of SAP outcomes, was published in peer-reviewed journals and cited by World Bank researchers in internal documents. His core argument, that developmental states in Africa had been prevented from pursuing the industrial policies that produced development in East Asia by the very conditionality that claimed to promote development, was acknowledged in the literature and not incorporated into policy.</w:t>
      </w:r>
    </w:p>
    <w:p>
      <w:pPr>
        <w:spacing w:after="220" w:before="0"/>
      </w:pPr>
      <w:r>
        <w:rPr>
          <w:rFonts w:ascii="Palatino Linotype" w:cs="Palatino Linotype" w:eastAsia="Palatino Linotype" w:hAnsi="Palatino Linotype"/>
          <w:color w:val="444444"/>
          <w:sz w:val="22"/>
          <w:szCs w:val="22"/>
        </w:rPr>
        <w:t xml:space="preserve">The pattern in these cases is not that African and African-diaspora scholars failed to produce rigorous work. The pattern is that rigorous work produced by African and African-diaspora scholars on African political economy was epistemologically discounted in ways that are themselves documented. The mechanisms of this discounting, including journal gatekeeping, funding structures that reward research questions compatible with donor institution interests, and citation networks that self-reinforce existing canonical status, have been analyzed by scholars of the sociology of knowledge including Boaventura de Sousa Santos and Raewyn Connell. The literature on this question exists. It is not assigned in most economics departments.</w:t>
      </w:r>
    </w:p>
    <w:p>
      <w:pPr>
        <w:spacing w:after="80" w:before="480"/>
      </w:pPr>
      <w:r>
        <w:rPr>
          <w:rFonts w:ascii="Arial" w:cs="Arial" w:eastAsia="Arial" w:hAnsi="Arial"/>
          <w:caps/>
          <w:color w:val="8B1A1A"/>
          <w:sz w:val="18"/>
          <w:szCs w:val="18"/>
        </w:rPr>
        <w:t xml:space="preserve">VII. The Numbers</w:t>
      </w:r>
    </w:p>
    <w:p>
      <w:pPr>
        <w:spacing w:after="200" w:before="0"/>
      </w:pPr>
      <w:r>
        <w:rPr>
          <w:rFonts w:ascii="Palatino Linotype" w:cs="Palatino Linotype" w:eastAsia="Palatino Linotype" w:hAnsi="Palatino Linotype"/>
          <w:b/>
          <w:bCs/>
          <w:color w:val="1A1A1A"/>
          <w:sz w:val="36"/>
          <w:szCs w:val="36"/>
        </w:rPr>
        <w:t xml:space="preserve">What the Documentation Shows</w:t>
      </w:r>
    </w:p>
    <w:p>
      <w:pPr>
        <w:spacing w:after="220" w:before="0"/>
      </w:pPr>
      <w:r>
        <w:rPr>
          <w:rFonts w:ascii="Palatino Linotype" w:cs="Palatino Linotype" w:eastAsia="Palatino Linotype" w:hAnsi="Palatino Linotype"/>
          <w:color w:val="444444"/>
          <w:sz w:val="22"/>
          <w:szCs w:val="22"/>
        </w:rPr>
        <w:t xml:space="preserve">This section presents primary and secondary source data on the material consequences of the mechanisms described above. It does not interpret the data. It presents it.</w:t>
      </w:r>
    </w:p>
    <w:p>
      <w:pPr>
        <w:spacing w:after="220" w:before="0"/>
      </w:pPr>
      <w:r>
        <w:rPr>
          <w:rFonts w:ascii="Palatino Linotype" w:cs="Palatino Linotype" w:eastAsia="Palatino Linotype" w:hAnsi="Palatino Linotype"/>
          <w:color w:val="444444"/>
          <w:sz w:val="22"/>
          <w:szCs w:val="22"/>
        </w:rPr>
        <w:t xml:space="preserve">Between 1970 and 2008, Africa lost an estimated 854 billion dollars in illicit financial flows, according to research by Global Financial Integrity published in 2010 and drawing on IMF Direction of Trade Statistics. This figure represents capital that left the continent through trade misinvoicing, transfer pricing by multinational corporations, and other mechanisms that are legal in many jurisdictions but whose net effect is to transfer value generated by African labor and African resources to accounts outside Africa. The 854 billion dollar figure is a conservative estimate. It does not include flows that could not be documented through available trade data.</w:t>
      </w:r>
    </w:p>
    <w:p>
      <w:pPr>
        <w:spacing w:after="220" w:before="0"/>
      </w:pPr>
      <w:r>
        <w:rPr>
          <w:rFonts w:ascii="Palatino Linotype" w:cs="Palatino Linotype" w:eastAsia="Palatino Linotype" w:hAnsi="Palatino Linotype"/>
          <w:color w:val="444444"/>
          <w:sz w:val="22"/>
          <w:szCs w:val="22"/>
        </w:rPr>
        <w:t xml:space="preserve">Africa's total debt to external creditors reached approximately 696 billion dollars by 2021, according to World Bank International Debt Statistics. The interest payments on this debt represent a sustained outward transfer of value from some of the poorest economies on earth to creditors in the wealthiest. In 2022, sub-Saharan African governments collectively paid more in external debt service than they received in foreign aid, a fact documented in UNCTAD's Trade and Development Report 2023. The continent is a net exporter of capital to the world that claims to be developing it.</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3" w:val="clear"/>
            <w:tcMar>
              <w:top w:type="dxa" w:w="120"/>
              <w:left w:type="dxa" w:w="200"/>
              <w:bottom w:type="dxa" w:w="120"/>
              <w:right w:type="dxa" w:w="200"/>
            </w:tcMar>
          </w:tcPr>
          <w:p>
            <w:pPr>
              <w:spacing w:after="80" w:before="0"/>
            </w:pPr>
            <w:r>
              <w:rPr>
                <w:rFonts w:ascii="Arial" w:cs="Arial" w:eastAsia="Arial" w:hAnsi="Arial"/>
                <w:caps/>
                <w:color w:val="888888"/>
                <w:sz w:val="17"/>
                <w:szCs w:val="17"/>
              </w:rPr>
              <w:t xml:space="preserve">UNCTAD, 2023</w:t>
            </w:r>
          </w:p>
          <w:p>
            <w:pPr>
              <w:spacing w:after="100" w:before="0"/>
            </w:pPr>
            <w:r>
              <w:rPr>
                <w:rFonts w:ascii="Palatino Linotype" w:cs="Palatino Linotype" w:eastAsia="Palatino Linotype" w:hAnsi="Palatino Linotype"/>
                <w:color w:val="444444"/>
                <w:sz w:val="20"/>
                <w:szCs w:val="20"/>
              </w:rPr>
              <w:t xml:space="preserve">UNCTAD's Trade and Development Report 2023 documented that developing countries, including sub-Saharan African nations, paid a combined 3.3 trillion dollars in external debt service between 2020 and 2023. For the lowest-income African nations, debt service payments exceeded inflows from foreign direct investment and official development assistance combined in multiple years of this period.</w:t>
            </w:r>
          </w:p>
          <w:p>
            <w:pPr>
              <w:spacing w:after="0" w:before="0"/>
            </w:pPr>
            <w:r>
              <w:rPr>
                <w:rFonts w:ascii="Palatino Linotype" w:cs="Palatino Linotype" w:eastAsia="Palatino Linotype" w:hAnsi="Palatino Linotype"/>
                <w:i/>
                <w:iCs/>
                <w:color w:val="888888"/>
                <w:sz w:val="18"/>
                <w:szCs w:val="18"/>
              </w:rPr>
              <w:t xml:space="preserve">Source: UNCTAD Trade and Development Report 2023, United Nations Conference on Trade and Development, Geneva.</w:t>
            </w:r>
          </w:p>
        </w:tc>
      </w:tr>
    </w:tbl>
    <w:p>
      <w:pPr>
        <w:spacing w:after="120" w:before="0"/>
      </w:pPr>
    </w:p>
    <w:p>
      <w:pPr>
        <w:spacing w:after="220" w:before="0"/>
      </w:pPr>
      <w:r>
        <w:rPr>
          <w:rFonts w:ascii="Palatino Linotype" w:cs="Palatino Linotype" w:eastAsia="Palatino Linotype" w:hAnsi="Palatino Linotype"/>
          <w:color w:val="444444"/>
          <w:sz w:val="22"/>
          <w:szCs w:val="22"/>
        </w:rPr>
        <w:t xml:space="preserve">The CFA zone's reserve deposit requirement has transferred, by the French government's own accounting, an average of 10 to 12 billion dollars annually from CFA member state central banks to the French Treasury over the past two decades. This figure represents the working capital of fourteen nations sitting in a foreign treasury, available to those nations only upon request and subject to convertibility rules set by the French Treasury. The French government has never characterized these deposits as aid to France. It has characterized them as a monetary stability mechanism. The mechanism's beneficiaries include French financial institutions that access liquidity from the French Treasury, which is capitalized in part by these deposits.</w:t>
      </w:r>
    </w:p>
    <w:p>
      <w:pPr>
        <w:spacing w:after="80" w:before="480"/>
      </w:pPr>
      <w:r>
        <w:rPr>
          <w:rFonts w:ascii="Arial" w:cs="Arial" w:eastAsia="Arial" w:hAnsi="Arial"/>
          <w:caps/>
          <w:color w:val="8B1A1A"/>
          <w:sz w:val="18"/>
          <w:szCs w:val="18"/>
        </w:rPr>
        <w:t xml:space="preserve">VIII. The Counterargument</w:t>
      </w:r>
    </w:p>
    <w:p>
      <w:pPr>
        <w:spacing w:after="200" w:before="0"/>
      </w:pPr>
      <w:r>
        <w:rPr>
          <w:rFonts w:ascii="Palatino Linotype" w:cs="Palatino Linotype" w:eastAsia="Palatino Linotype" w:hAnsi="Palatino Linotype"/>
          <w:b/>
          <w:bCs/>
          <w:color w:val="1A1A1A"/>
          <w:sz w:val="36"/>
          <w:szCs w:val="36"/>
        </w:rPr>
        <w:t xml:space="preserve">What the Defense Would Say, and What the Record Says Back</w:t>
      </w:r>
    </w:p>
    <w:p>
      <w:pPr>
        <w:spacing w:after="220" w:before="0"/>
      </w:pPr>
      <w:r>
        <w:rPr>
          <w:rFonts w:ascii="Palatino Linotype" w:cs="Palatino Linotype" w:eastAsia="Palatino Linotype" w:hAnsi="Palatino Linotype"/>
          <w:color w:val="444444"/>
          <w:sz w:val="22"/>
          <w:szCs w:val="22"/>
        </w:rPr>
        <w:t xml:space="preserve">A treatise that does not engage its strongest counterarguments is an advocacy document. This is not an advocacy document. The most rigorous counterarguments available to the thesis of engineered underdevelopment deserve direct engagement.</w:t>
      </w:r>
    </w:p>
    <w:p>
      <w:pPr>
        <w:spacing w:after="220" w:before="0"/>
      </w:pPr>
      <w:r>
        <w:rPr>
          <w:rFonts w:ascii="Palatino Linotype" w:cs="Palatino Linotype" w:eastAsia="Palatino Linotype" w:hAnsi="Palatino Linotype"/>
          <w:color w:val="444444"/>
          <w:sz w:val="22"/>
          <w:szCs w:val="22"/>
        </w:rPr>
        <w:t xml:space="preserve">The first counterargument is governance: African poverty persists because of corruption, weak institutions, and poor governance choices by African leaders, independent of external mechanisms. This argument has a serious version and a self-serving version. The serious version notes that institutional quality matters for economic outcomes, which is empirically supported. The counterargument to the serious version is that SAP conditionality specifically dismantled the institutional capacity of African states by requiring reductions in public sector employment, defunding of regulatory agencies, and privatization of state enterprises that, whatever their inefficiencies, provided the administrative backbone of government function. The argument that African institutions are weak, combined with the documented history of external policies that systematically defunded and destabilized those institutions, is not a counterargument to engineered underdevelopment. It is a description of one of its mechanisms.</w:t>
      </w:r>
    </w:p>
    <w:p>
      <w:pPr>
        <w:spacing w:after="220" w:before="0"/>
      </w:pPr>
      <w:r>
        <w:rPr>
          <w:rFonts w:ascii="Palatino Linotype" w:cs="Palatino Linotype" w:eastAsia="Palatino Linotype" w:hAnsi="Palatino Linotype"/>
          <w:color w:val="444444"/>
          <w:sz w:val="22"/>
          <w:szCs w:val="22"/>
        </w:rPr>
        <w:t xml:space="preserve">The second counterargument is geography and resource endowment: Africa's development challenges reflect physical factors including disease burden, landlocked populations, and historical absence of the geographic advantages that facilitated European industrialization. This argument, associated with economists including Jeffrey Sachs, has been empirically contested by Daron Acemoglu, Simon Johnson, and James Robinson in their 2001 paper The Colonial Origins of Comparative Development, which demonstrated that colonial institutional arrangements explained more of the variance in current economic outcomes than geographic factors. The geographic argument also struggles to account for the fact that Africa's resource wealth, which is substantial, has consistently generated more value for external extractors than for the populations living above it, a pattern that is institutional rather than geographic in origin.</w:t>
      </w:r>
    </w:p>
    <w:p>
      <w:pPr>
        <w:spacing w:after="220" w:before="0"/>
      </w:pPr>
      <w:r>
        <w:rPr>
          <w:rFonts w:ascii="Palatino Linotype" w:cs="Palatino Linotype" w:eastAsia="Palatino Linotype" w:hAnsi="Palatino Linotype"/>
          <w:color w:val="444444"/>
          <w:sz w:val="22"/>
          <w:szCs w:val="22"/>
        </w:rPr>
        <w:t xml:space="preserve">The third counterargument is that the CFA Franc has provided monetary stability that has benefited member states by reducing inflation and exchange rate volatility. This argument is made by French government officials and some francophone African economists. The counterargument is that monetary stability achieved by surrendering monetary sovereignty is stability of a specific and limited kind: it prevents currency crises while also preventing the use of monetary tools for development. The countries of East Asia that achieved sustained development in the second half of the twentieth century did so in part through active management of their exchange rates and money supplies, policies that CFA member states are structurally prohibited from pursuing. Stability that forecloses development instruments is not an unambiguous benefit.</w:t>
      </w:r>
    </w:p>
    <w:p>
      <w:pPr>
        <w:spacing w:after="80" w:before="480"/>
      </w:pPr>
      <w:r>
        <w:rPr>
          <w:rFonts w:ascii="Arial" w:cs="Arial" w:eastAsia="Arial" w:hAnsi="Arial"/>
          <w:caps/>
          <w:color w:val="8B1A1A"/>
          <w:sz w:val="18"/>
          <w:szCs w:val="18"/>
        </w:rPr>
        <w:t xml:space="preserve">IX. What Remains</w:t>
      </w:r>
    </w:p>
    <w:p>
      <w:pPr>
        <w:spacing w:after="200" w:before="0"/>
      </w:pPr>
      <w:r>
        <w:rPr>
          <w:rFonts w:ascii="Palatino Linotype" w:cs="Palatino Linotype" w:eastAsia="Palatino Linotype" w:hAnsi="Palatino Linotype"/>
          <w:b/>
          <w:bCs/>
          <w:color w:val="1A1A1A"/>
          <w:sz w:val="36"/>
          <w:szCs w:val="36"/>
        </w:rPr>
        <w:t xml:space="preserve">The Conclusion the Evidence Reaches</w:t>
      </w:r>
    </w:p>
    <w:p>
      <w:pPr>
        <w:spacing w:after="220" w:before="0"/>
      </w:pPr>
      <w:r>
        <w:rPr>
          <w:rFonts w:ascii="Palatino Linotype" w:cs="Palatino Linotype" w:eastAsia="Palatino Linotype" w:hAnsi="Palatino Linotype"/>
          <w:color w:val="444444"/>
          <w:sz w:val="22"/>
          <w:szCs w:val="22"/>
        </w:rPr>
        <w:t xml:space="preserve">The thesis of this treatise is falsifiable. It would be falsified by evidence that the mechanisms described above were not deliberately designed to extract value from African economies, that their outcomes were unintended and were corrected upon documentation, or that alternative explanations account more fully for the variance in African economic outcomes than institutional and policy mechanisms do. None of that evidence exists in the documentary record. The record shows deliberate design, documented outcomes, internal reviews acknowledging those outcomes, and continuation of the mechanisms despite those reviews.</w:t>
      </w:r>
    </w:p>
    <w:p>
      <w:pPr>
        <w:spacing w:after="220" w:before="0"/>
      </w:pPr>
      <w:r>
        <w:rPr>
          <w:rFonts w:ascii="Palatino Linotype" w:cs="Palatino Linotype" w:eastAsia="Palatino Linotype" w:hAnsi="Palatino Linotype"/>
          <w:color w:val="444444"/>
          <w:sz w:val="22"/>
          <w:szCs w:val="22"/>
        </w:rPr>
        <w:t xml:space="preserve">African underdevelopment is not a mystery. It is not a tragedy without authors. It is not the residue of a history that ended when independence flags were raised. It is a managed condition with identifiable managers, documented instruments, and ongoing beneficiaries. The Franc Zone is not a relic. The debt architecture is not historical. The illicit financial flows that strip the continent of capital generated by African labor are not natural economic phenomena. They are outcomes of systems that were built, that are maintained, and that can be documented.</w:t>
      </w:r>
    </w:p>
    <w:p>
      <w:pPr>
        <w:spacing w:after="220" w:before="0"/>
      </w:pPr>
      <w:r>
        <w:rPr>
          <w:rFonts w:ascii="Palatino Linotype" w:cs="Palatino Linotype" w:eastAsia="Palatino Linotype" w:hAnsi="Palatino Linotype"/>
          <w:color w:val="444444"/>
          <w:sz w:val="22"/>
          <w:szCs w:val="22"/>
        </w:rPr>
        <w:t xml:space="preserve">The documentation has always been there. Rodney found it in 1972. Amin found it before that. The Church Committee found it in 1975 when it documented CIA involvement in the assassination of Patrice Lumumba, who had the specific misfortune of believing that Congolese mineral wealth should benefit Congolese people. UNICEF found it in 1987 when it reviewed what SAPs were doing to African children. The IMF's own researchers found it when they reviewed the CFA Franc zone and concluded that it had retarded financial development. The World Bank's evaluators found it when they reviewed SAP outcomes and acknowledged that the results had not matched the projections.</w:t>
      </w:r>
    </w:p>
    <w:p>
      <w:pPr>
        <w:spacing w:after="220" w:before="0"/>
      </w:pPr>
      <w:r>
        <w:rPr>
          <w:rFonts w:ascii="Palatino Linotype" w:cs="Palatino Linotype" w:eastAsia="Palatino Linotype" w:hAnsi="Palatino Linotype"/>
          <w:color w:val="444444"/>
          <w:sz w:val="22"/>
          <w:szCs w:val="22"/>
        </w:rPr>
        <w:t xml:space="preserve">What has been missing is not evidence. What has been missing is a sufficiently distributed, sufficiently sourced, sufficiently accessible account that connects these documented findings into the single argument the evidence supports: that the poverty of Africa is, in substantial and traceable measure, the engineered product of decisions made in Paris, Washington, London, and Brussels by people who understood what they were deciding and who benefited from the outcomes.</w:t>
      </w:r>
    </w:p>
    <w:p>
      <w:pPr>
        <w:spacing w:after="220" w:before="0"/>
      </w:pPr>
      <w:r>
        <w:rPr>
          <w:rFonts w:ascii="Palatino Linotype" w:cs="Palatino Linotype" w:eastAsia="Palatino Linotype" w:hAnsi="Palatino Linotype"/>
          <w:color w:val="444444"/>
          <w:sz w:val="22"/>
          <w:szCs w:val="22"/>
        </w:rPr>
        <w:t xml:space="preserve">This treatise is one account of that kind. It is not the final account. The final account will require the full opening of French Treasury records on CFA Franc flows, the declassification of remaining State Department documents on SAP design, and the completion of ongoing investigative work by African economists whose research institutions are, not coincidentally, chronically underfunded. The evidence base grows. The argument it supports does not change.</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8B1A1A" w:val="clear"/>
          </w:tcPr>
          <w:p/>
        </w:tc>
        <w:tc>
          <w:tcPr>
            <w:tcW w:type="dxa" w:w="9120"/>
            <w:tcBorders>
              <w:top w:val="none" w:color="FFFFFF" w:sz="0"/>
              <w:left w:val="none" w:color="FFFFFF" w:sz="0"/>
              <w:bottom w:val="none" w:color="FFFFFF" w:sz="0"/>
              <w:right w:val="none" w:color="FFFFFF" w:sz="0"/>
            </w:tcBorders>
            <w:tcMar>
              <w:top w:type="dxa" w:w="120"/>
              <w:left w:type="dxa" w:w="240"/>
              <w:bottom w:type="dxa" w:w="120"/>
              <w:right w:type="dxa" w:w="120"/>
            </w:tcMar>
          </w:tcPr>
          <w:p>
            <w:r>
              <w:rPr>
                <w:rFonts w:ascii="Palatino Linotype" w:cs="Palatino Linotype" w:eastAsia="Palatino Linotype" w:hAnsi="Palatino Linotype"/>
                <w:i/>
                <w:iCs/>
                <w:color w:val="1A1A1A"/>
                <w:sz w:val="26"/>
                <w:szCs w:val="26"/>
              </w:rPr>
              <w:t xml:space="preserve">What has been missing is not evidence. What has been missing is a sufficiently distributed, sufficiently sourced, sufficiently accessible account that connects these documented findings into the single argument the evidence supports.</w:t>
            </w:r>
          </w:p>
        </w:tc>
      </w:tr>
    </w:tbl>
    <w:p>
      <w:pPr>
        <w:spacing w:after="120" w:before="0"/>
      </w:pPr>
    </w:p>
    <w:p>
      <w:pPr>
        <w:spacing w:after="220" w:before="0"/>
      </w:pPr>
      <w:r>
        <w:rPr>
          <w:rFonts w:ascii="Palatino Linotype" w:cs="Palatino Linotype" w:eastAsia="Palatino Linotype" w:hAnsi="Palatino Linotype"/>
          <w:color w:val="444444"/>
          <w:sz w:val="22"/>
          <w:szCs w:val="22"/>
        </w:rPr>
        <w:t xml:space="preserve">The fourteen nations whose reserves sit in the French Treasury today will, by the time this piece is read by most of its readers, have made another deposit cycle. The debt service transfers will have continued. The illicit financial flows will have continued. The failed state designations will have generated another round of conditionality-bearing intervention somewhere on the continent. These are not predictions. They are scheduled events, operating on documented timelines, administered by named institutions, governed by signed agreements that are publicly available and that say exactly what they say.</w:t>
      </w:r>
    </w:p>
    <w:p>
      <w:pPr>
        <w:spacing w:after="220" w:before="0"/>
      </w:pPr>
      <w:r>
        <w:rPr>
          <w:rFonts w:ascii="Palatino Linotype" w:cs="Palatino Linotype" w:eastAsia="Palatino Linotype" w:hAnsi="Palatino Linotype"/>
          <w:color w:val="444444"/>
          <w:sz w:val="22"/>
          <w:szCs w:val="22"/>
        </w:rPr>
        <w:t xml:space="preserve">The engineering continues. The blueprint is on file. The question that remains is not whether this happened. The question is what the documentation of the fact that it happened, widely distributed and impossible to dismiss as conspiracy, changes about what comes next. That question is beyond the scope of this treatise. It is the scope of what comes after.</w:t>
      </w:r>
    </w:p>
    <w:p>
      <w:pPr>
        <w:pBdr>
          <w:bottom w:val="single" w:color="CCCCCC" w:sz="2"/>
        </w:pBdr>
        <w:spacing w:after="240" w:before="240"/>
      </w:pPr>
    </w:p>
    <w:p>
      <w:pPr>
        <w:spacing w:after="160" w:before="480"/>
      </w:pPr>
      <w:r>
        <w:rPr>
          <w:rFonts w:ascii="Palatino Linotype" w:cs="Palatino Linotype" w:eastAsia="Palatino Linotype" w:hAnsi="Palatino Linotype"/>
          <w:b/>
          <w:bCs/>
          <w:color w:val="1A1A1A"/>
          <w:sz w:val="28"/>
          <w:szCs w:val="28"/>
        </w:rPr>
        <w:t xml:space="preserve">Primary and Tier One Sources</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UK National Archives, Colonial Office Records, CO 852/1/1 (1930). British policy on African industrialization.</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IMF Working Paper WP/20/7 (2020). Ghilardi, Nguyen, and Natal. The CFA Franc Zone: What Have We Learned After 75 Years?</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UNICEF (1987). Cornia, Jolly, and Stewart. Adjustment with a Human Face. Oxford University Press.</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World Bank Operations Evaluation Department (1994). Review of Structural Adjustment Program outcomes in sub-Saharan Africa.</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World Bank Policy Research Report (2000). Assessing Aid: What Works, What Doesn't, and Why.</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Global Financial Integrity (2010). Kar and Cartwright-Smith. Illicit Financial Flows from Africa: Hidden Resource for Development.</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UNCTAD Trade and Development Report 2023. United Nations Conference on Trade and Development, Geneva.</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World Bank International Debt Statistics (2021). External debt data for sub-Saharan Africa.</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US Senate Church Committee Final Report (1975). Intelligence Activities and the Rights of Americans. Book I, Foreign Assassinations, regarding Patrice Lumumba.</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Acemoglu, D., Johnson, S., and Robinson, J.A. (2001). The Colonial Origins of Comparative Development: An Empirical Investigation. American Economic Review, 91(5), 1369-1401.</w:t>
      </w:r>
    </w:p>
    <w:p>
      <w:pPr>
        <w:spacing w:after="160" w:before="480"/>
      </w:pPr>
      <w:r>
        <w:rPr>
          <w:rFonts w:ascii="Palatino Linotype" w:cs="Palatino Linotype" w:eastAsia="Palatino Linotype" w:hAnsi="Palatino Linotype"/>
          <w:b/>
          <w:bCs/>
          <w:color w:val="1A1A1A"/>
          <w:sz w:val="28"/>
          <w:szCs w:val="28"/>
        </w:rPr>
        <w:t xml:space="preserve">Tier Two: Scholarly Foundation</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Rodney, Walter (1972). How Europe Underdeveloped Africa. Bogle-L'Ouverture Publications, London.</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Amin, Samir (1976). Unequal Development: An Essay on the Social Formations of Peripheral Capitalism. Monthly Review Press.</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Polanyi, Karl (1944). The Great Transformation: The Political and Economic Origins of Our Time. Farrar and Rinehart.</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Mkandawire, Thandika (2001). Thinking about Developmental States in Africa. Cambridge Journal of Economics, 25(3), 289-314.</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Helman, G.B. and Ratner, S.R. (1992). Saving Failed States. Foreign Policy, 89, 3-20.</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Santos, Boaventura de Sousa (2014). Epistemologies of the South: Justice Against Epistemicide. Paradigm Publishers.</w:t>
      </w:r>
    </w:p>
    <w:p>
      <w:pPr>
        <w:pStyle w:val="ListParagraph"/>
        <w:numPr>
          <w:ilvl w:val="0"/>
          <w:numId w:val="2"/>
        </w:numPr>
        <w:spacing w:after="120" w:before="0"/>
      </w:pPr>
      <w:r>
        <w:rPr>
          <w:rFonts w:ascii="Palatino Linotype" w:cs="Palatino Linotype" w:eastAsia="Palatino Linotype" w:hAnsi="Palatino Linotype"/>
          <w:color w:val="444444"/>
          <w:sz w:val="19"/>
          <w:szCs w:val="19"/>
        </w:rPr>
        <w:t xml:space="preserve">Nkrumah, Kwame (1965). Neo-Colonialism: The Last Stage of Imperialism. Thomas Nelson and Sons.</w:t>
      </w:r>
    </w:p>
    <w:p>
      <w:pPr>
        <w:pBdr>
          <w:bottom w:val="single" w:color="CCCCCC" w:sz="2"/>
        </w:pBdr>
        <w:spacing w:after="240" w:before="240"/>
      </w:pPr>
    </w:p>
    <w:p>
      <w:pPr>
        <w:spacing w:after="0" w:before="240"/>
      </w:pPr>
      <w:r>
        <w:rPr>
          <w:rFonts w:ascii="Arial" w:cs="Arial" w:eastAsia="Arial" w:hAnsi="Arial"/>
          <w:i/>
          <w:iCs/>
          <w:color w:val="888888"/>
          <w:sz w:val="17"/>
          <w:szCs w:val="17"/>
        </w:rPr>
        <w:t xml:space="preserve">This piece was written under The Founder's Pen category guidelines. It maintains ClownBinge three-tier sourcing standards. It does not maintain CB Dry Rationalism. The distinction is deliberate and documented in CB editorial policy. All factual claims are sourced to Tier One or Tier Two documentation. The author's analytical voice is present. Both are intentional.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2026-04-08T03:39:20.944Z</dcterms:created>
  <dcterms:modified xsi:type="dcterms:W3CDTF">2026-04-08T03:39:20.945Z</dcterms:modified>
</cp:coreProperties>
</file>

<file path=docProps/custom.xml><?xml version="1.0" encoding="utf-8"?>
<Properties xmlns="http://schemas.openxmlformats.org/officeDocument/2006/custom-properties" xmlns:vt="http://schemas.openxmlformats.org/officeDocument/2006/docPropsVTypes"/>
</file>