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320"/>
      </w:pPr>
    </w:p>
    <w:p>
      <w:pPr>
        <w:spacing w:before="0" w:after="200"/>
        <w:jc w:val="center"/>
      </w:pPr>
      <w:r>
        <w:rPr>
          <w:b/>
          <w:bCs/>
          <w:color w:val="C9A227"/>
          <w:sz w:val="24"/>
          <w:szCs w:val="24"/>
          <w:caps/>
          <w:rFonts w:ascii="Georgia" w:cs="Georgia" w:eastAsia="Georgia" w:hAnsi="Georgia"/>
        </w:rPr>
        <w:t xml:space="preserve">VOLUME 08</w:t>
      </w:r>
    </w:p>
    <w:p>
      <w:pPr>
        <w:spacing w:before="0" w:after="160"/>
        <w:jc w:val="center"/>
      </w:pPr>
      <w:r>
        <w:rPr>
          <w:b/>
          <w:bCs/>
          <w:color w:val="1A1A1A"/>
          <w:sz w:val="52"/>
          <w:szCs w:val="52"/>
          <w:rFonts w:ascii="Georgia" w:cs="Georgia" w:eastAsia="Georgia" w:hAnsi="Georgia"/>
        </w:rPr>
        <w:t xml:space="preserve">Ancient Faith, Modern Politics</w:t>
      </w:r>
    </w:p>
    <w:p>
      <w:pPr>
        <w:spacing w:before="0" w:after="400"/>
        <w:jc w:val="center"/>
      </w:pPr>
      <w:r>
        <w:rPr>
          <w:i/>
          <w:iCs/>
          <w:color w:val="6B3520"/>
          <w:sz w:val="32"/>
          <w:szCs w:val="32"/>
          <w:rFonts w:ascii="Georgia" w:cs="Georgia" w:eastAsia="Georgia" w:hAnsi="Georgia"/>
        </w:rPr>
        <w:t xml:space="preserve">Judaism Is Not Zionism</w:t>
      </w:r>
    </w:p>
    <w:p>
      <w:pPr>
        <w:spacing w:before="0" w:after="0"/>
        <w:jc w:val="center"/>
      </w:pPr>
      <w:r>
        <w:rPr>
          <w:color w:val="5A5A5A"/>
          <w:sz w:val="22"/>
          <w:szCs w:val="22"/>
          <w:rFonts w:ascii="Georgia" w:cs="Georgia" w:eastAsia="Georgia" w:hAnsi="Georgia"/>
        </w:rPr>
        <w:t xml:space="preserve">ClownBinge FactBook Series</w:t>
      </w:r>
    </w:p>
    <w:p>
      <w:r>
        <w:br w:type="page"/>
      </w:r>
    </w:p>
    <w:p>
      <w:pPr>
        <w:spacing w:before="2880"/>
      </w:pPr>
    </w:p>
    <w:p>
      <w:pPr>
        <w:spacing w:before="0" w:after="200"/>
        <w:jc w:val="center"/>
      </w:pPr>
      <w:r>
        <w:rPr>
          <w:b/>
          <w:bCs/>
          <w:color w:val="1A1A1A"/>
          <w:sz w:val="36"/>
          <w:szCs w:val="36"/>
          <w:rFonts w:ascii="Georgia" w:cs="Georgia" w:eastAsia="Georgia" w:hAnsi="Georgia"/>
        </w:rPr>
        <w:t xml:space="preserve">ANCIENT FAITH, MODERN POLITICS</w:t>
      </w:r>
    </w:p>
    <w:p>
      <w:pPr>
        <w:spacing w:before="0" w:after="120"/>
        <w:jc w:val="center"/>
      </w:pPr>
      <w:r>
        <w:rPr>
          <w:i/>
          <w:iCs/>
          <w:color w:val="6B3520"/>
          <w:sz w:val="28"/>
          <w:szCs w:val="28"/>
          <w:rFonts w:ascii="Georgia" w:cs="Georgia" w:eastAsia="Georgia" w:hAnsi="Georgia"/>
        </w:rPr>
        <w:t xml:space="preserve">Judaism Is Not Zionism</w:t>
      </w:r>
    </w:p>
    <w:p>
      <w:pPr>
        <w:spacing w:before="200" w:after="100"/>
        <w:jc w:val="center"/>
      </w:pPr>
      <w:r>
        <w:rPr>
          <w:color w:val="5A5A5A"/>
          <w:sz w:val="20"/>
          <w:szCs w:val="20"/>
          <w:rFonts w:ascii="Georgia" w:cs="Georgia" w:eastAsia="Georgia" w:hAnsi="Georgia"/>
        </w:rPr>
        <w:t xml:space="preserve">FactBook™ Series · Vol. 08</w:t>
      </w:r>
    </w:p>
    <w:p>
      <w:pPr>
        <w:spacing w:before="0" w:after="600"/>
        <w:jc w:val="center"/>
      </w:pPr>
      <w:r>
        <w:rPr>
          <w:color w:val="5A5A5A"/>
          <w:sz w:val="18"/>
          <w:szCs w:val="18"/>
          <w:rFonts w:ascii="Georgia" w:cs="Georgia" w:eastAsia="Georgia" w:hAnsi="Georgia"/>
        </w:rPr>
        <w:t xml:space="preserve">Primary Source Analytics, LLC · ClownBinge.com</w:t>
      </w:r>
    </w:p>
    <w:p>
      <w:pPr>
        <w:pBdr>
          <w:top w:val="single" w:color="6B3520" w:sz="6" w:space="10"/>
        </w:pBdr>
        <w:spacing w:before="2880" w:after="200"/>
        <w:jc w:val="center"/>
      </w:pPr>
      <w:r>
        <w:rPr>
          <w:i/>
          <w:iCs/>
          <w:color w:val="6B3520"/>
          <w:sz w:val="22"/>
          <w:szCs w:val="22"/>
          <w:rFonts w:ascii="Georgia" w:cs="Georgia" w:eastAsia="Georgia" w:hAnsi="Georgia"/>
        </w:rPr>
        <w:t xml:space="preserve">"The receipts do not have a political agenda. They have dates."</w:t>
      </w:r>
    </w:p>
    <w:p>
      <w:r>
        <w:br w:type="page"/>
      </w:r>
    </w:p>
    <w:p>
      <w:pPr>
        <w:spacing w:before="0" w:after="0"/>
        <w:jc w:val="left"/>
      </w:pPr>
      <w:r>
        <w:rPr>
          <w:b/>
          <w:bCs/>
          <w:color w:val="1A1A1A"/>
          <w:sz w:val="24"/>
          <w:szCs w:val="24"/>
          <w:rFonts w:ascii="Georgia" w:cs="Georgia" w:eastAsia="Georgia" w:hAnsi="Georgia"/>
        </w:rPr>
        <w:t xml:space="preserve">Ancient Faith, Modern Politics: Judaism Is Not Zionism</w:t>
      </w:r>
    </w:p>
    <w:p>
      <w:pPr>
        <w:spacing w:before="0" w:after="0"/>
        <w:jc w:val="left"/>
      </w:pPr>
      <w:r>
        <w:rPr>
          <w:b w:val="false"/>
          <w:bCs w:val="false"/>
          <w:color w:val="1A1A1A"/>
          <w:sz w:val="18"/>
          <w:szCs w:val="18"/>
          <w:rFonts w:ascii="Georgia" w:cs="Georgia" w:eastAsia="Georgia" w:hAnsi="Georgia"/>
        </w:rPr>
        <w:t xml:space="preserve">FactBook™ Series, Volume 8</w:t>
      </w:r>
    </w:p>
    <w:p>
      <w:pPr>
        <w:spacing w:before="100" w:after="0"/>
        <w:jc w:val="left"/>
      </w:pPr>
      <w:r>
        <w:rPr>
          <w:b w:val="false"/>
          <w:bCs w:val="false"/>
          <w:color w:val="1A1A1A"/>
          <w:sz w:val="18"/>
          <w:szCs w:val="18"/>
          <w:rFonts w:ascii="Georgia" w:cs="Georgia" w:eastAsia="Georgia" w:hAnsi="Georgia"/>
        </w:rPr>
      </w:r>
    </w:p>
    <w:p>
      <w:pPr>
        <w:spacing w:before="0" w:after="0"/>
        <w:jc w:val="left"/>
      </w:pPr>
      <w:r>
        <w:rPr>
          <w:b w:val="false"/>
          <w:bCs w:val="false"/>
          <w:color w:val="1A1A1A"/>
          <w:sz w:val="18"/>
          <w:szCs w:val="18"/>
          <w:rFonts w:ascii="Georgia" w:cs="Georgia" w:eastAsia="Georgia" w:hAnsi="Georgia"/>
        </w:rPr>
        <w:t xml:space="preserve">Published by Primary Source Analytics, LLC</w:t>
      </w:r>
    </w:p>
    <w:p>
      <w:pPr>
        <w:spacing w:before="0" w:after="0"/>
        <w:jc w:val="left"/>
      </w:pPr>
      <w:r>
        <w:rPr>
          <w:b w:val="false"/>
          <w:bCs w:val="false"/>
          <w:color w:val="1A1A1A"/>
          <w:sz w:val="18"/>
          <w:szCs w:val="18"/>
          <w:rFonts w:ascii="Georgia" w:cs="Georgia" w:eastAsia="Georgia" w:hAnsi="Georgia"/>
        </w:rPr>
        <w:t xml:space="preserve">ClownBinge.com</w:t>
      </w:r>
    </w:p>
    <w:p>
      <w:pPr>
        <w:spacing w:before="100" w:after="0"/>
        <w:jc w:val="left"/>
      </w:pPr>
      <w:r>
        <w:rPr>
          <w:b w:val="false"/>
          <w:bCs w:val="false"/>
          <w:color w:val="1A1A1A"/>
          <w:sz w:val="18"/>
          <w:szCs w:val="18"/>
          <w:rFonts w:ascii="Georgia" w:cs="Georgia" w:eastAsia="Georgia" w:hAnsi="Georgia"/>
        </w:rPr>
      </w:r>
    </w:p>
    <w:p>
      <w:pPr>
        <w:spacing w:before="0" w:after="0"/>
        <w:jc w:val="left"/>
      </w:pPr>
      <w:r>
        <w:rPr>
          <w:b w:val="false"/>
          <w:bCs w:val="false"/>
          <w:color w:val="1A1A1A"/>
          <w:sz w:val="18"/>
          <w:szCs w:val="18"/>
          <w:rFonts w:ascii="Georgia" w:cs="Georgia" w:eastAsia="Georgia" w:hAnsi="Georgia"/>
        </w:rPr>
        <w:t xml:space="preserve">Digital Edition · 2026</w:t>
      </w:r>
    </w:p>
    <w:p>
      <w:pPr>
        <w:spacing w:before="100" w:after="0"/>
        <w:jc w:val="left"/>
      </w:pPr>
      <w:r>
        <w:rPr>
          <w:b w:val="false"/>
          <w:bCs w:val="false"/>
          <w:color w:val="1A1A1A"/>
          <w:sz w:val="18"/>
          <w:szCs w:val="18"/>
          <w:rFonts w:ascii="Georgia" w:cs="Georgia" w:eastAsia="Georgia" w:hAnsi="Georgia"/>
        </w:rPr>
      </w:r>
    </w:p>
    <w:p>
      <w:pPr>
        <w:spacing w:before="0" w:after="0"/>
        <w:jc w:val="left"/>
      </w:pPr>
      <w:r>
        <w:rPr>
          <w:b w:val="false"/>
          <w:bCs w:val="false"/>
          <w:color w:val="1A1A1A"/>
          <w:sz w:val="18"/>
          <w:szCs w:val="18"/>
          <w:rFonts w:ascii="Georgia" w:cs="Georgia" w:eastAsia="Georgia" w:hAnsi="Georgia"/>
        </w:rPr>
        <w:t xml:space="preserve">All primary sources cited in this volume are publicly accessible.</w:t>
      </w:r>
    </w:p>
    <w:p>
      <w:pPr>
        <w:spacing w:before="0" w:after="0"/>
        <w:jc w:val="left"/>
      </w:pPr>
      <w:r>
        <w:rPr>
          <w:b w:val="false"/>
          <w:bCs w:val="false"/>
          <w:color w:val="1A1A1A"/>
          <w:sz w:val="18"/>
          <w:szCs w:val="18"/>
          <w:rFonts w:ascii="Georgia" w:cs="Georgia" w:eastAsia="Georgia" w:hAnsi="Georgia"/>
        </w:rPr>
        <w:t xml:space="preserve">Every URL, docket number, resolution number, vote tally, and statutory</w:t>
      </w:r>
    </w:p>
    <w:p>
      <w:pPr>
        <w:spacing w:before="0" w:after="0"/>
        <w:jc w:val="left"/>
      </w:pPr>
      <w:r>
        <w:rPr>
          <w:b w:val="false"/>
          <w:bCs w:val="false"/>
          <w:color w:val="1A1A1A"/>
          <w:sz w:val="18"/>
          <w:szCs w:val="18"/>
          <w:rFonts w:ascii="Georgia" w:cs="Georgia" w:eastAsia="Georgia" w:hAnsi="Georgia"/>
        </w:rPr>
        <w:t xml:space="preserve">citation has been verified against the original institutional record.</w:t>
      </w:r>
    </w:p>
    <w:p>
      <w:pPr>
        <w:spacing w:before="0" w:after="0"/>
        <w:jc w:val="left"/>
      </w:pPr>
      <w:r>
        <w:rPr>
          <w:b w:val="false"/>
          <w:bCs w:val="false"/>
          <w:color w:val="1A1A1A"/>
          <w:sz w:val="18"/>
          <w:szCs w:val="18"/>
          <w:rFonts w:ascii="Georgia" w:cs="Georgia" w:eastAsia="Georgia" w:hAnsi="Georgia"/>
        </w:rPr>
        <w:t xml:space="preserve">APA 7 citations throughout.</w:t>
      </w:r>
    </w:p>
    <w:p>
      <w:pPr>
        <w:spacing w:before="100" w:after="0"/>
        <w:jc w:val="left"/>
      </w:pPr>
      <w:r>
        <w:rPr>
          <w:b w:val="false"/>
          <w:bCs w:val="false"/>
          <w:color w:val="1A1A1A"/>
          <w:sz w:val="18"/>
          <w:szCs w:val="18"/>
          <w:rFonts w:ascii="Georgia" w:cs="Georgia" w:eastAsia="Georgia" w:hAnsi="Georgia"/>
        </w:rPr>
      </w:r>
    </w:p>
    <w:p>
      <w:pPr>
        <w:spacing w:before="0" w:after="0"/>
        <w:jc w:val="left"/>
      </w:pPr>
      <w:r>
        <w:rPr>
          <w:b w:val="false"/>
          <w:bCs w:val="false"/>
          <w:color w:val="1A1A1A"/>
          <w:sz w:val="18"/>
          <w:szCs w:val="18"/>
          <w:rFonts w:ascii="Georgia" w:cs="Georgia" w:eastAsia="Georgia" w:hAnsi="Georgia"/>
        </w:rPr>
        <w:t xml:space="preserve">Price: $39.95 · Digital PDF / DOCX · Instant Delivery</w:t>
      </w:r>
    </w:p>
    <w:p>
      <w:pPr>
        <w:spacing w:before="100" w:after="0"/>
        <w:jc w:val="left"/>
      </w:pPr>
      <w:r>
        <w:rPr>
          <w:b w:val="false"/>
          <w:bCs w:val="false"/>
          <w:color w:val="1A1A1A"/>
          <w:sz w:val="18"/>
          <w:szCs w:val="18"/>
          <w:rFonts w:ascii="Georgia" w:cs="Georgia" w:eastAsia="Georgia" w:hAnsi="Georgia"/>
        </w:rPr>
      </w:r>
    </w:p>
    <w:p>
      <w:pPr>
        <w:spacing w:before="0" w:after="0"/>
        <w:jc w:val="left"/>
      </w:pPr>
      <w:r>
        <w:rPr>
          <w:b w:val="false"/>
          <w:bCs w:val="false"/>
          <w:color w:val="1A1A1A"/>
          <w:sz w:val="18"/>
          <w:szCs w:val="18"/>
          <w:rFonts w:ascii="Georgia" w:cs="Georgia" w:eastAsia="Georgia" w:hAnsi="Georgia"/>
        </w:rPr>
        <w:t xml:space="preserve">© 2026 Primary Source Analytics, LLC. All rights reserved.</w:t>
      </w:r>
    </w:p>
    <w:p>
      <w:r>
        <w:br w:type="page"/>
      </w:r>
    </w:p>
    <w:p>
      <w:pPr>
        <w:spacing w:before="0" w:after="400"/>
      </w:pPr>
      <w:r>
        <w:rPr>
          <w:b/>
          <w:bCs/>
          <w:color w:val="1A1A1A"/>
          <w:sz w:val="30"/>
          <w:szCs w:val="30"/>
          <w:caps/>
          <w:rFonts w:ascii="Georgia" w:cs="Georgia" w:eastAsia="Georgia" w:hAnsi="Georgia"/>
          <w:spacing w:val="200"/>
        </w:rPr>
        <w:t xml:space="preserve">CONTENTS</w:t>
      </w:r>
    </w:p>
    <w:p>
      <w:pPr>
        <w:spacing w:before="80" w:after="0"/>
      </w:pPr>
      <w:r>
        <w:rPr>
          <w:color w:val="5A5A5A"/>
          <w:sz w:val="20"/>
          <w:szCs w:val="20"/>
          <w:rFonts w:ascii="Georgia" w:cs="Georgia" w:eastAsia="Georgia" w:hAnsi="Georgia"/>
        </w:rPr>
        <w:t xml:space="preserve">Preface  </w:t>
      </w:r>
      <w:r>
        <w:rPr>
          <w:color w:val="1A1A1A"/>
          <w:sz w:val="20"/>
          <w:szCs w:val="20"/>
          <w:rFonts w:ascii="Georgia" w:cs="Georgia" w:eastAsia="Georgia" w:hAnsi="Georgia"/>
        </w:rPr>
        <w:t xml:space="preserve">Preface: What the Record Requires</w:t>
      </w:r>
    </w:p>
    <w:p>
      <w:pPr>
        <w:spacing w:before="80" w:after="0"/>
      </w:pPr>
      <w:r>
        <w:rPr>
          <w:color w:val="5A5A5A"/>
          <w:sz w:val="20"/>
          <w:szCs w:val="20"/>
          <w:rFonts w:ascii="Georgia" w:cs="Georgia" w:eastAsia="Georgia" w:hAnsi="Georgia"/>
        </w:rPr>
        <w:t xml:space="preserve">Chapter 1  </w:t>
      </w:r>
      <w:r>
        <w:rPr>
          <w:color w:val="1A1A1A"/>
          <w:sz w:val="20"/>
          <w:szCs w:val="20"/>
          <w:rFonts w:ascii="Georgia" w:cs="Georgia" w:eastAsia="Georgia" w:hAnsi="Georgia"/>
        </w:rPr>
        <w:t xml:space="preserve">Two Traditions, One Conflation</w:t>
      </w:r>
    </w:p>
    <w:p>
      <w:pPr>
        <w:spacing w:before="80" w:after="0"/>
      </w:pPr>
      <w:r>
        <w:rPr>
          <w:color w:val="5A5A5A"/>
          <w:sz w:val="20"/>
          <w:szCs w:val="20"/>
          <w:rFonts w:ascii="Georgia" w:cs="Georgia" w:eastAsia="Georgia" w:hAnsi="Georgia"/>
        </w:rPr>
        <w:t xml:space="preserve">Chapter 2  </w:t>
      </w:r>
      <w:r>
        <w:rPr>
          <w:color w:val="1A1A1A"/>
          <w:sz w:val="20"/>
          <w:szCs w:val="20"/>
          <w:rFonts w:ascii="Georgia" w:cs="Georgia" w:eastAsia="Georgia" w:hAnsi="Georgia"/>
        </w:rPr>
        <w:t xml:space="preserve">The Basel Congress, 1897</w:t>
      </w:r>
    </w:p>
    <w:p>
      <w:pPr>
        <w:spacing w:before="80" w:after="0"/>
      </w:pPr>
      <w:r>
        <w:rPr>
          <w:color w:val="5A5A5A"/>
          <w:sz w:val="20"/>
          <w:szCs w:val="20"/>
          <w:rFonts w:ascii="Georgia" w:cs="Georgia" w:eastAsia="Georgia" w:hAnsi="Georgia"/>
        </w:rPr>
        <w:t xml:space="preserve">Chapter 3  </w:t>
      </w:r>
      <w:r>
        <w:rPr>
          <w:color w:val="1A1A1A"/>
          <w:sz w:val="20"/>
          <w:szCs w:val="20"/>
          <w:rFonts w:ascii="Georgia" w:cs="Georgia" w:eastAsia="Georgia" w:hAnsi="Georgia"/>
        </w:rPr>
        <w:t xml:space="preserve">Jewish Anti-Zionism: The Internal Record</w:t>
      </w:r>
    </w:p>
    <w:p>
      <w:pPr>
        <w:spacing w:before="80" w:after="0"/>
      </w:pPr>
      <w:r>
        <w:rPr>
          <w:color w:val="5A5A5A"/>
          <w:sz w:val="20"/>
          <w:szCs w:val="20"/>
          <w:rFonts w:ascii="Georgia" w:cs="Georgia" w:eastAsia="Georgia" w:hAnsi="Georgia"/>
        </w:rPr>
        <w:t xml:space="preserve">Chapter 4  </w:t>
      </w:r>
      <w:r>
        <w:rPr>
          <w:color w:val="1A1A1A"/>
          <w:sz w:val="20"/>
          <w:szCs w:val="20"/>
          <w:rFonts w:ascii="Georgia" w:cs="Georgia" w:eastAsia="Georgia" w:hAnsi="Georgia"/>
        </w:rPr>
        <w:t xml:space="preserve">The Balfour Declaration</w:t>
      </w:r>
    </w:p>
    <w:p>
      <w:pPr>
        <w:spacing w:before="80" w:after="0"/>
      </w:pPr>
      <w:r>
        <w:rPr>
          <w:color w:val="5A5A5A"/>
          <w:sz w:val="20"/>
          <w:szCs w:val="20"/>
          <w:rFonts w:ascii="Georgia" w:cs="Georgia" w:eastAsia="Georgia" w:hAnsi="Georgia"/>
        </w:rPr>
        <w:t xml:space="preserve">Chapter 5  </w:t>
      </w:r>
      <w:r>
        <w:rPr>
          <w:color w:val="1A1A1A"/>
          <w:sz w:val="20"/>
          <w:szCs w:val="20"/>
          <w:rFonts w:ascii="Georgia" w:cs="Georgia" w:eastAsia="Georgia" w:hAnsi="Georgia"/>
        </w:rPr>
        <w:t xml:space="preserve">Land, Census, and Demographic Reality</w:t>
      </w:r>
    </w:p>
    <w:p>
      <w:pPr>
        <w:spacing w:before="80" w:after="0"/>
      </w:pPr>
      <w:r>
        <w:rPr>
          <w:color w:val="5A5A5A"/>
          <w:sz w:val="20"/>
          <w:szCs w:val="20"/>
          <w:rFonts w:ascii="Georgia" w:cs="Georgia" w:eastAsia="Georgia" w:hAnsi="Georgia"/>
        </w:rPr>
        <w:t xml:space="preserve">Chapter 6  </w:t>
      </w:r>
      <w:r>
        <w:rPr>
          <w:color w:val="1A1A1A"/>
          <w:sz w:val="20"/>
          <w:szCs w:val="20"/>
          <w:rFonts w:ascii="Georgia" w:cs="Georgia" w:eastAsia="Georgia" w:hAnsi="Georgia"/>
        </w:rPr>
        <w:t xml:space="preserve">The UN Record</w:t>
      </w:r>
    </w:p>
    <w:p>
      <w:pPr>
        <w:spacing w:before="80" w:after="0"/>
      </w:pPr>
      <w:r>
        <w:rPr>
          <w:color w:val="5A5A5A"/>
          <w:sz w:val="20"/>
          <w:szCs w:val="20"/>
          <w:rFonts w:ascii="Georgia" w:cs="Georgia" w:eastAsia="Georgia" w:hAnsi="Georgia"/>
        </w:rPr>
        <w:t xml:space="preserve">Chapter 7  </w:t>
      </w:r>
      <w:r>
        <w:rPr>
          <w:color w:val="1A1A1A"/>
          <w:sz w:val="20"/>
          <w:szCs w:val="20"/>
          <w:rFonts w:ascii="Georgia" w:cs="Georgia" w:eastAsia="Georgia" w:hAnsi="Georgia"/>
        </w:rPr>
        <w:t xml:space="preserve">Israeli Law: Nation vs. Faith</w:t>
      </w:r>
    </w:p>
    <w:p>
      <w:pPr>
        <w:spacing w:before="80" w:after="0"/>
      </w:pPr>
      <w:r>
        <w:rPr>
          <w:color w:val="5A5A5A"/>
          <w:sz w:val="20"/>
          <w:szCs w:val="20"/>
          <w:rFonts w:ascii="Georgia" w:cs="Georgia" w:eastAsia="Georgia" w:hAnsi="Georgia"/>
        </w:rPr>
        <w:t xml:space="preserve">Chapter 8  </w:t>
      </w:r>
      <w:r>
        <w:rPr>
          <w:color w:val="1A1A1A"/>
          <w:sz w:val="20"/>
          <w:szCs w:val="20"/>
          <w:rFonts w:ascii="Georgia" w:cs="Georgia" w:eastAsia="Georgia" w:hAnsi="Georgia"/>
        </w:rPr>
        <w:t xml:space="preserve">The Conflation Strategy, Documented</w:t>
      </w:r>
    </w:p>
    <w:p>
      <w:pPr>
        <w:spacing w:before="80" w:after="0"/>
      </w:pPr>
      <w:r>
        <w:rPr>
          <w:color w:val="5A5A5A"/>
          <w:sz w:val="20"/>
          <w:szCs w:val="20"/>
          <w:rFonts w:ascii="Georgia" w:cs="Georgia" w:eastAsia="Georgia" w:hAnsi="Georgia"/>
        </w:rPr>
        <w:t xml:space="preserve">Chapter 9  </w:t>
      </w:r>
      <w:r>
        <w:rPr>
          <w:color w:val="1A1A1A"/>
          <w:sz w:val="20"/>
          <w:szCs w:val="20"/>
          <w:rFonts w:ascii="Georgia" w:cs="Georgia" w:eastAsia="Georgia" w:hAnsi="Georgia"/>
        </w:rPr>
        <w:t xml:space="preserve">Voices From Within: Scholars, Rabbis, Organizations</w:t>
      </w:r>
    </w:p>
    <w:p>
      <w:pPr>
        <w:spacing w:before="80" w:after="0"/>
      </w:pPr>
      <w:r>
        <w:rPr>
          <w:color w:val="5A5A5A"/>
          <w:sz w:val="20"/>
          <w:szCs w:val="20"/>
          <w:rFonts w:ascii="Georgia" w:cs="Georgia" w:eastAsia="Georgia" w:hAnsi="Georgia"/>
        </w:rPr>
        <w:t xml:space="preserve">Chapter 10  </w:t>
      </w:r>
      <w:r>
        <w:rPr>
          <w:color w:val="1A1A1A"/>
          <w:sz w:val="20"/>
          <w:szCs w:val="20"/>
          <w:rFonts w:ascii="Georgia" w:cs="Georgia" w:eastAsia="Georgia" w:hAnsi="Georgia"/>
        </w:rPr>
        <w:t xml:space="preserve">The Primary Source Verdict</w:t>
      </w:r>
    </w:p>
    <w:p>
      <w:r>
        <w:br w:type="page"/>
      </w:r>
    </w:p>
    <w:p>
      <w:pPr>
        <w:spacing w:before="0" w:after="80"/>
      </w:pPr>
      <w:r>
        <w:rPr>
          <w:b/>
          <w:bCs/>
          <w:color w:val="C9A227"/>
          <w:sz w:val="20"/>
          <w:szCs w:val="20"/>
          <w:caps/>
          <w:rFonts w:ascii="Georgia" w:cs="Georgia" w:eastAsia="Georgia" w:hAnsi="Georgia"/>
          <w:spacing w:val="160"/>
        </w:rPr>
        <w:t xml:space="preserve">PREFACE</w:t>
      </w:r>
    </w:p>
    <w:p>
      <w:pPr>
        <w:pStyle w:val="Heading1"/>
        <w:spacing w:before="0" w:after="200"/>
      </w:pPr>
      <w:r>
        <w:rPr>
          <w:b/>
          <w:bCs/>
          <w:color w:val="1A1A1A"/>
          <w:sz w:val="36"/>
          <w:szCs w:val="36"/>
          <w:rFonts w:ascii="Georgia" w:cs="Georgia" w:eastAsia="Georgia" w:hAnsi="Georgia"/>
        </w:rPr>
        <w:t xml:space="preserve">Preface: What the Record Requires</w:t>
      </w:r>
    </w:p>
    <w:p>
      <w:pPr>
        <w:spacing w:before="0" w:after="200"/>
        <w:ind w:firstLine="360"/>
      </w:pPr>
      <w:r>
        <w:rPr>
          <w:color w:val="1A1A1A"/>
          <w:sz w:val="22"/>
          <w:szCs w:val="22"/>
          <w:rFonts w:ascii="Georgia" w:cs="Georgia" w:eastAsia="Georgia" w:hAnsi="Georgia"/>
        </w:rPr>
        <w:t xml:space="preserve">A document published in the Jewish Chronicle on July 9, 1897 contains the following declaration, issued by the Executive Committee of the Union of Rabbis in Germany: "The efforts of so-called Zionists to create a Jewish National State in Palestine are antagonistic to the messianic promises of Judaism, as contained in Holy Writ and in later religious sources."</w:t>
      </w:r>
    </w:p>
    <w:p>
      <w:pPr>
        <w:spacing w:before="0" w:after="200"/>
        <w:ind w:firstLine="360"/>
      </w:pPr>
      <w:r>
        <w:rPr>
          <w:color w:val="1A1A1A"/>
          <w:sz w:val="22"/>
          <w:szCs w:val="22"/>
          <w:rFonts w:ascii="Georgia" w:cs="Georgia" w:eastAsia="Georgia" w:hAnsi="Georgia"/>
        </w:rPr>
        <w:t xml:space="preserve">That document is 128 years old. The Ottoman position was that Britain had no authority to make declarations regarding the future of Ottoman territory and that the declaration was a violation of the established principles of international law as they existed in 1917. It was written about Zionism. It was written in the same year Zionism was founded. The Executive Committee did not require a century of hindsight to reach its conclusion. It required one reading of the Basel Congress agenda.</w:t>
      </w:r>
    </w:p>
    <w:p>
      <w:pPr>
        <w:spacing w:before="0" w:after="200"/>
        <w:ind w:firstLine="360"/>
      </w:pPr>
      <w:r>
        <w:rPr>
          <w:color w:val="1A1A1A"/>
          <w:sz w:val="22"/>
          <w:szCs w:val="22"/>
          <w:rFonts w:ascii="Georgia" w:cs="Georgia" w:eastAsia="Georgia" w:hAnsi="Georgia"/>
        </w:rPr>
        <w:t xml:space="preserve">The Ottoman position was that Britain had no authority to make declarations regarding the future of Ottoman territory and that the declaration was a violation of the established principles of international law as they existed in 1917. Because Leviticus 19:34 exists. Because Theodor Herzl's diary entry of September 3, 1897 exists. Because the Sheikh Jarrah eviction orders exist. Because the Israeli Supreme Court's three-track citizenship ruling exists. Because the Ottoman land registries exist. Because UN Resolution 3379 exists, and its reversal exists, and the vote tallies for both exist. Because 128 years of documented Jewish anti-Zionist scholarship, rabbinic ruling, and institutional opposition exist and have been continuously published and continuously ignored in the dominant political discourse about what Judaism requires.</w:t>
      </w:r>
    </w:p>
    <w:p>
      <w:pPr>
        <w:spacing w:before="0" w:after="200"/>
        <w:ind w:firstLine="360"/>
      </w:pPr>
      <w:r>
        <w:rPr>
          <w:color w:val="1A1A1A"/>
          <w:sz w:val="22"/>
          <w:szCs w:val="22"/>
          <w:rFonts w:ascii="Georgia" w:cs="Georgia" w:eastAsia="Georgia" w:hAnsi="Georgia"/>
        </w:rPr>
        <w:t xml:space="preserve">The Ottoman position was that Britain had no authority to make declarations regarding the future of Ottoman territory and that the declaration was a violation of the established principles of international law as they existed in 1917. They have been available. This FactBook assembles them in one place, in chronological order, with full citation, so that the argument, if there is to be one, must be conducted against the primary sources rather than against this volume.</w:t>
      </w:r>
    </w:p>
    <w:p>
      <w:pPr>
        <w:spacing w:before="0" w:after="200"/>
        <w:ind w:firstLine="360"/>
      </w:pPr>
      <w:r>
        <w:rPr>
          <w:color w:val="1A1A1A"/>
          <w:sz w:val="22"/>
          <w:szCs w:val="22"/>
          <w:rFonts w:ascii="Georgia" w:cs="Georgia" w:eastAsia="Georgia" w:hAnsi="Georgia"/>
        </w:rPr>
        <w:t xml:space="preserve">The Ottoman position was that Britain had no authority to make declarations regarding the future of Ottoman territory and that the declaration was a violation of the established principles of international law as they existed in 1917. That respect is the reason it was written. A tradition that has produced 3,500 years of documented ethical obligation, legal reasoning, prophetic literature, and moral philosophy deserves to be evaluated on the terms of its own textual record. The conflation of that tradition with a secular nationalist political movement founded in 1897 by a journalist who described his project explicitly in the language of European colonial enterprise does not serve Judaism. The primary sources of Judaism say so. Repeatedly. In multiple languages. Across multiple centuries. Before and after 1897.</w:t>
      </w:r>
    </w:p>
    <w:p>
      <w:pPr>
        <w:spacing w:before="0" w:after="200"/>
        <w:ind w:firstLine="360"/>
      </w:pPr>
      <w:r>
        <w:rPr>
          <w:color w:val="1A1A1A"/>
          <w:sz w:val="22"/>
          <w:szCs w:val="22"/>
          <w:rFonts w:ascii="Georgia" w:cs="Georgia" w:eastAsia="Georgia" w:hAnsi="Georgia"/>
        </w:rPr>
        <w:t xml:space="preserve">The Ottoman position was that Britain had no authority to make declarations regarding the future of Ottoman territory and that the declaration was a violation of the established principles of international law as they existed in 1917. Judaism is not.</w:t>
      </w:r>
    </w:p>
    <w:p>
      <w:pPr>
        <w:spacing w:before="0" w:after="200"/>
        <w:ind w:firstLine="360"/>
      </w:pPr>
      <w:r>
        <w:rPr>
          <w:color w:val="1A1A1A"/>
          <w:sz w:val="22"/>
          <w:szCs w:val="22"/>
          <w:rFonts w:ascii="Georgia" w:cs="Georgia" w:eastAsia="Georgia" w:hAnsi="Georgia"/>
        </w:rPr>
        <w:t xml:space="preserve">The Ottoman position was that Britain had no authority to make declarations regarding the future of Ottoman territory and that the declaration was a violation of the established principles of international law as they existed in 1917. It is an arithmetic observation derived from two documented dates. The Torah's first codified obligations toward the stranger predate the First Zionist Congress by approximately three millennia. Leviticus 19:34 was not written in response to the Basel Program. The Basel Program was written without apparent reference to Herzl's own Yom Kippur observance remained sporadic, with his connection to Jewish religious practice being more cultural than genuinely devotional in character. Both documents are in the record. ClownBinge reports both.</w:t>
      </w:r>
    </w:p>
    <w:p>
      <w:pPr>
        <w:spacing w:before="0" w:after="200"/>
        <w:ind w:firstLine="360"/>
      </w:pPr>
      <w:r>
        <w:rPr>
          <w:color w:val="1A1A1A"/>
          <w:sz w:val="22"/>
          <w:szCs w:val="22"/>
          <w:rFonts w:ascii="Georgia" w:cs="Georgia" w:eastAsia="Georgia" w:hAnsi="Georgia"/>
        </w:rPr>
        <w:t xml:space="preserve">The Balfour Declaration referred to the existing non-Jewish communities in Palestine without naming them, quantifying them, or characterizing their relationship to the land. That claim is examined in Chapter 8 of this volume using the primary sources that produced it. The claim is not characterized here. It is documented. The documentation is sufficient.</w:t>
      </w:r>
    </w:p>
    <w:p>
      <w:pPr>
        <w:spacing w:before="0" w:after="200"/>
        <w:ind w:firstLine="360"/>
      </w:pPr>
      <w:r>
        <w:rPr>
          <w:color w:val="1A1A1A"/>
          <w:sz w:val="22"/>
          <w:szCs w:val="22"/>
          <w:rFonts w:ascii="Georgia" w:cs="Georgia" w:eastAsia="Georgia" w:hAnsi="Georgia"/>
        </w:rPr>
        <w:t xml:space="preserve">The Balfour Declaration referred to the existing non-Jewish communities in Palestine without naming them, quantifying them, or characterizing their relationship to the land. The record of that opposition is long. It begins in 1897. It has never stopped. The word "Judaism" appears in the historical record approximately 2,200 years before the word "Zionism." That gap is not a theological argument.</w:t>
      </w:r>
    </w:p>
    <w:p>
      <w:pPr>
        <w:spacing w:before="0" w:after="200"/>
        <w:ind w:firstLine="360"/>
      </w:pPr>
      <w:r>
        <w:rPr>
          <w:color w:val="1A1A1A"/>
          <w:sz w:val="22"/>
          <w:szCs w:val="22"/>
          <w:rFonts w:ascii="Georgia" w:cs="Georgia" w:eastAsia="Georgia" w:hAnsi="Georgia"/>
        </w:rPr>
        <w:t xml:space="preserve">The word "Judaism" appears in the historical record approximately 2,200 years before the word "Zionism." That gap is not a theological argument. The Torah says what it says about the stranger. The eviction orders say what they say about the grandmother in Sheikh Jarrah. The Israeli Supreme Court says what it says about the three tracks of citizenship. The Protestrabbiner declaration says what it says about the messianic promise. Theodor Herzl's diary says what it says about the colonial model he was explicitly following.</w:t>
      </w:r>
    </w:p>
    <w:p>
      <w:pPr>
        <w:spacing w:before="0" w:after="200"/>
        <w:ind w:firstLine="360"/>
      </w:pPr>
      <w:r>
        <w:rPr>
          <w:color w:val="1A1A1A"/>
          <w:sz w:val="22"/>
          <w:szCs w:val="22"/>
          <w:rFonts w:ascii="Georgia" w:cs="Georgia" w:eastAsia="Georgia" w:hAnsi="Georgia"/>
        </w:rPr>
        <w:t xml:space="preserve">The word "Judaism" appears in the historical record approximately 2,200 years before the word "Zionism." That gap is not a theological argument. The documents provide their own.</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The Ottoman Empire had governed Palestine continuously since 1517. The Ottoman land registry system, discussed in Chapter 5, documented Palestinian land ownership across four centuries of Ottoman administration. Neturei Karta, the Orthodox Jewish organization established in Jerusalem during 1938, takes its name from an Aramaic phrase signifying Guardians of the City. The Jewish Chronicle, p. 9. https://www.posenlibrary.com/entry/protest-against-zionism</w:t>
      </w:r>
    </w:p>
    <w:p>
      <w:pPr>
        <w:spacing w:before="0" w:after="120"/>
        <w:ind w:left="720" w:hanging="720"/>
      </w:pPr>
      <w:r>
        <w:rPr>
          <w:color w:val="5A5A5A"/>
          <w:sz w:val="18"/>
          <w:szCs w:val="18"/>
          <w:rFonts w:ascii="Georgia" w:cs="Georgia" w:eastAsia="Georgia" w:hAnsi="Georgia"/>
        </w:rPr>
        <w:t xml:space="preserve">Herzl, T. (1960). The Satmar Hasidic dynasty, founded by Rabbi Yoel Teitelbaum from its New York headquarters, maintains absolute theological resistance to Zionism and Israeli statehood through doctrinal readings anchored in the Three Oaths. The Satmar community numbers in the tens of thousands. Rabbi Teitelbaum's Vayoel Moshe (1959) articulates this anti-Zionist stance through what represents the most exhaustive contemporary Orthodox theological refutation of Zionism rooted in Talmudic jurisprudence. The interval spans fifty years and nine months. https://archive.org/details/TheCompleteDiariesOfTheodorHerzl_201606</w:t>
      </w:r>
    </w:p>
    <w:p>
      <w:pPr>
        <w:spacing w:before="0" w:after="120"/>
        <w:ind w:left="720" w:hanging="720"/>
      </w:pPr>
      <w:r>
        <w:rPr>
          <w:color w:val="5A5A5A"/>
          <w:sz w:val="18"/>
          <w:szCs w:val="18"/>
          <w:rFonts w:ascii="Georgia" w:cs="Georgia" w:eastAsia="Georgia" w:hAnsi="Georgia"/>
        </w:rPr>
        <w:t xml:space="preserve">Jewish Virtual Library. (n.d.). It was produced by British strategic calculation during the First World War. https://jewishvirtuallibrary.org/first-zionist-congress-and-basel-program-1897</w:t>
      </w:r>
    </w:p>
    <w:p>
      <w:pPr>
        <w:spacing w:before="0" w:after="120"/>
        <w:ind w:left="720" w:hanging="720"/>
      </w:pPr>
      <w:r>
        <w:rPr>
          <w:color w:val="5A5A5A"/>
          <w:sz w:val="18"/>
          <w:szCs w:val="18"/>
          <w:rFonts w:ascii="Georgia" w:cs="Georgia" w:eastAsia="Georgia" w:hAnsi="Georgia"/>
        </w:rPr>
        <w:t xml:space="preserve">Ornan v. Ministry of the Interior, HCJ 212/03 (Supreme Court of Israel 2013). https://versa.cardozo.yu.edu/opinions/ornan-v-ministry-interior</w:t>
      </w:r>
    </w:p>
    <w:p>
      <w:pPr>
        <w:spacing w:before="0" w:after="120"/>
        <w:ind w:left="720" w:hanging="720"/>
      </w:pPr>
      <w:r>
        <w:rPr>
          <w:color w:val="5A5A5A"/>
          <w:sz w:val="18"/>
          <w:szCs w:val="18"/>
          <w:rFonts w:ascii="Georgia" w:cs="Georgia" w:eastAsia="Georgia" w:hAnsi="Georgia"/>
        </w:rPr>
        <w:t xml:space="preserve">Adalah – The Legal Center for Arab Minority Rights in Israel. The Tanakh's tripartite division into Torah, Nevi'im, and Ketuvim constitutes the canonical textual foundation. Israeli Supreme Court upholds the Jewish Nation-State Basic Law. https://www.adalah.org/en/content/view/10379</w:t>
      </w:r>
    </w:p>
    <w:p>
      <w:pPr>
        <w:spacing w:before="0" w:after="120"/>
        <w:ind w:left="720" w:hanging="720"/>
      </w:pPr>
      <w:r>
        <w:rPr>
          <w:color w:val="5A5A5A"/>
          <w:sz w:val="18"/>
          <w:szCs w:val="18"/>
          <w:rFonts w:ascii="Georgia" w:cs="Georgia" w:eastAsia="Georgia" w:hAnsi="Georgia"/>
        </w:rPr>
        <w:t xml:space="preserve">Turkish Directorate of Ottoman Archives. (2018). Ottoman land registry archive: Palestine, 1516–1917 [140,000 digitized documents]. https://www.aa.com.tr/en/culture/ottoman-archive-palestines-weapon-against-occupation/1720151</w:t>
      </w:r>
    </w:p>
    <w:p>
      <w:pPr>
        <w:spacing w:before="0" w:after="120"/>
        <w:ind w:left="720" w:hanging="720"/>
      </w:pPr>
      <w:r>
        <w:rPr>
          <w:color w:val="5A5A5A"/>
          <w:sz w:val="18"/>
          <w:szCs w:val="18"/>
          <w:rFonts w:ascii="Georgia" w:cs="Georgia" w:eastAsia="Georgia" w:hAnsi="Georgia"/>
        </w:rPr>
        <w:t xml:space="preserve">Holy Bible, New Jewish Publication Society Translation. (1985). Herzl's own Yom Kippur observance remained sporadic, with his connection to Jewish religious practice being more cultural than genuinely devotional in character. Pappe's 2006 work The Ethnic Cleansing of Palestine draws on Israeli military archives alongside other primary documentation to contend that 1948 Palestinian Arab displacement represented systematic ethnic cleansing rather than incidental wartime consequences.</w:t>
      </w:r>
    </w:p>
    <w:p>
      <w:r>
        <w:br w:type="page"/>
      </w:r>
    </w:p>
    <w:p>
      <w:pPr>
        <w:spacing w:before="0" w:after="80"/>
      </w:pPr>
      <w:r>
        <w:rPr>
          <w:b/>
          <w:bCs/>
          <w:color w:val="C9A227"/>
          <w:sz w:val="20"/>
          <w:szCs w:val="20"/>
          <w:caps/>
          <w:rFonts w:ascii="Georgia" w:cs="Georgia" w:eastAsia="Georgia" w:hAnsi="Georgia"/>
          <w:spacing w:val="160"/>
        </w:rPr>
        <w:t xml:space="preserve">CHAPTER 1</w:t>
      </w:r>
    </w:p>
    <w:p>
      <w:pPr>
        <w:pStyle w:val="Heading1"/>
        <w:spacing w:before="0" w:after="200"/>
      </w:pPr>
      <w:r>
        <w:rPr>
          <w:b/>
          <w:bCs/>
          <w:color w:val="1A1A1A"/>
          <w:sz w:val="36"/>
          <w:szCs w:val="36"/>
          <w:rFonts w:ascii="Georgia" w:cs="Georgia" w:eastAsia="Georgia" w:hAnsi="Georgia"/>
        </w:rPr>
        <w:t xml:space="preserve">Two Traditions, One Conflation</w:t>
      </w:r>
    </w:p>
    <w:p>
      <w:pPr>
        <w:spacing w:before="0" w:after="200"/>
        <w:ind w:firstLine="360"/>
      </w:pPr>
      <w:r>
        <w:rPr>
          <w:color w:val="1A1A1A"/>
          <w:sz w:val="22"/>
          <w:szCs w:val="22"/>
          <w:rFonts w:ascii="Georgia" w:cs="Georgia" w:eastAsia="Georgia" w:hAnsi="Georgia"/>
        </w:rPr>
        <w:t xml:space="preserve">The word "Judaism" appears in the historical record approximately 2,200 years before the word "Zionism." That gap is not a theological argument. The New Jewish Publication Society renders Leviticus 19:33-34 as follows: "When a stranger resides with you in your land, you shall not wrong him." "The stranger dwelling among you must be treated as your own citizen; love him as you love yourself, remembering your own time as strangers in Egypt."
Exodus 22:20 states: "You shall not wrong a stranger or oppress him, for you were strangers in the land of Egypt."
Deuteronomy 10:18 to 19 states: "He upholds the cause of the fatherless and the widow, and loves the stranger, providing him with food and clothing. "You too must love the stranger, for you were strangers in the land of Egypt."
These are not advisory passages. Divine covenant receives no mention within it. The Talmud preserves Rabbi Eliezer's teaching that thirty-six Torah passages warn against wronging the stranger, while some rabbinic sources count forty-six such instances. This represents a political program statement characteristic of nationalist movements proliferating throughout Europe during the nineteenth century's latter decades. The text articulates secular political aims through juridical discourse concerning international law and processes of state formation. Judaism constitutes a diasporic tradition as well.</w:t>
      </w:r>
    </w:p>
    <w:p>
      <w:pPr>
        <w:spacing w:before="0" w:after="200"/>
        <w:ind w:firstLine="360"/>
      </w:pPr>
      <w:r>
        <w:rPr>
          <w:color w:val="1A1A1A"/>
          <w:sz w:val="22"/>
          <w:szCs w:val="22"/>
          <w:rFonts w:ascii="Georgia" w:cs="Georgia" w:eastAsia="Georgia" w:hAnsi="Georgia"/>
        </w:rPr>
        <w:t xml:space="preserve">From the Babylonian exile in 586 BCE to the Second Temple's destruction in 70 CE and across nineteen subsequent centuries of Jewish existence throughout Europe, North Africa, the Middle East, and later the Americas, Jewish communities sustained their religious, legal, and cultural identity absent sovereign statehood. It obscures Judaism through subordinating 3,500 years of documented ethical and theological development to political requirements of a 128-year-old nationalist movement. Both are in the record. Jewish law, scholarship, communal structures, and ethical frameworks persisted without requiring state apparatus for their continuity.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1.1: WHAT JUDAISM IS. THE PRIMARY SOURCE RECORD.</w:t>
      </w:r>
    </w:p>
    <w:p>
      <w:pPr>
        <w:spacing w:before="0" w:after="200"/>
        <w:ind w:firstLine="360"/>
      </w:pPr>
      <w:r>
        <w:rPr>
          <w:color w:val="1A1A1A"/>
          <w:sz w:val="22"/>
          <w:szCs w:val="22"/>
          <w:rFonts w:ascii="Georgia" w:cs="Georgia" w:eastAsia="Georgia" w:hAnsi="Georgia"/>
        </w:rPr>
        <w:t xml:space="preserve">Herzl's 1896 pamphlet Der Judenstaat (The Jewish State) renders the colonial analogy unmistakably explicit. Discourse incapable of differentiating religion from political movement yields conceptual confusion rather than analytical precision. This volume refrains from directing readers toward any particular judgment regarding Zionism's political dimensions. The analysis that follows relies entirely on this primary source material.</w:t>
      </w:r>
    </w:p>
    <w:p>
      <w:pPr>
        <w:spacing w:before="0" w:after="200"/>
        <w:ind w:firstLine="360"/>
      </w:pPr>
      <w:r>
        <w:rPr>
          <w:color w:val="1A1A1A"/>
          <w:sz w:val="22"/>
          <w:szCs w:val="22"/>
          <w:rFonts w:ascii="Georgia" w:cs="Georgia" w:eastAsia="Georgia" w:hAnsi="Georgia"/>
        </w:rPr>
        <w:t xml:space="preserve">The evidentiary record here admits no reasonable dispute or alternative interpretation. Judaism constitutes a religious tradition. Herzl's own Yom Kippur observance remained sporadic, with his connection to Jewish religious practice being more cultural than genuinely devotional in character. Zionism's transformation into a secular nationalist political movement achieved formal crystallization at Basel, Switzerland on August 29, 1897. The Basel Program, ratified at the First Zionist Congress on August 30, 1897, served as the movement's constitutive charter.</w:t>
      </w:r>
    </w:p>
    <w:p>
      <w:pPr>
        <w:spacing w:before="0" w:after="200"/>
        <w:ind w:firstLine="360"/>
      </w:pPr>
      <w:r>
        <w:rPr>
          <w:color w:val="1A1A1A"/>
          <w:sz w:val="22"/>
          <w:szCs w:val="22"/>
          <w:rFonts w:ascii="Georgia" w:cs="Georgia" w:eastAsia="Georgia" w:hAnsi="Georgia"/>
        </w:rPr>
        <w:t xml:space="preserve">The World Zionist Organization, established at that same congress, serves as its founding organization. The stranger who resides with you shall be to you as one of your citizens; you shall love him as yourself, for you were strangers in the land of Egypt."</w:t>
      </w:r>
    </w:p>
    <w:p>
      <w:pPr>
        <w:spacing w:before="0" w:after="200"/>
        <w:ind w:firstLine="360"/>
      </w:pPr>
      <w:r>
        <w:rPr>
          <w:color w:val="1A1A1A"/>
          <w:sz w:val="22"/>
          <w:szCs w:val="22"/>
          <w:rFonts w:ascii="Georgia" w:cs="Georgia" w:eastAsia="Georgia" w:hAnsi="Georgia"/>
        </w:rPr>
        <w:t xml:space="preserve">Exodus 22:20 states: "You shall not wrong a stranger or oppress him, for you were strangers in the land of Egypt."</w:t>
      </w:r>
    </w:p>
    <w:p>
      <w:pPr>
        <w:spacing w:before="0" w:after="200"/>
        <w:ind w:firstLine="360"/>
      </w:pPr>
      <w:r>
        <w:rPr>
          <w:color w:val="1A1A1A"/>
          <w:sz w:val="22"/>
          <w:szCs w:val="22"/>
          <w:rFonts w:ascii="Georgia" w:cs="Georgia" w:eastAsia="Georgia" w:hAnsi="Georgia"/>
        </w:rPr>
        <w:t xml:space="preserve">Deuteronomy 10:18 to 19 states: "He upholds the cause of the fatherless and the widow, and loves the stranger, providing him with food and clothing. You too must love the stranger, for you were strangers in the land of Egypt."</w:t>
      </w:r>
    </w:p>
    <w:p>
      <w:pPr>
        <w:spacing w:before="0" w:after="200"/>
        <w:ind w:firstLine="360"/>
      </w:pPr>
      <w:r>
        <w:rPr>
          <w:color w:val="1A1A1A"/>
          <w:sz w:val="22"/>
          <w:szCs w:val="22"/>
          <w:rFonts w:ascii="Georgia" w:cs="Georgia" w:eastAsia="Georgia" w:hAnsi="Georgia"/>
        </w:rPr>
        <w:t xml:space="preserve">These are not advisory passages. Divine covenant receives no mention within it. The text lacks any reference to Torah, Talmud, or rabbinic literary sources. This represents a political program statement characteristic of nationalist movements proliferating throughout Europe during the nineteenth century's latter decades. The text articulates secular political aims through juridical discourse concerning international law and processes of state formation.</w:t>
      </w:r>
    </w:p>
    <w:p>
      <w:pPr>
        <w:spacing w:before="0" w:after="200"/>
        <w:ind w:firstLine="360"/>
      </w:pPr>
      <w:r>
        <w:rPr>
          <w:color w:val="1A1A1A"/>
          <w:sz w:val="22"/>
          <w:szCs w:val="22"/>
          <w:rFonts w:ascii="Georgia" w:cs="Georgia" w:eastAsia="Georgia" w:hAnsi="Georgia"/>
        </w:rPr>
        <w:t xml:space="preserve">Herzl's five-volume diaries, digitized through the Internet Archive, offer definitive evidence confirming the project's secular-nationalist foundations. On September 3, 1897, four days after the First Zionist Congress ended, Herzl recorded in his diary: Morris's Birth of the Palestinian Refugee Problem represents secondary analysis grounded in primary documentation drawn from Israeli military archives."
He did not write: "At Basel I fulfilled the divine covenant." He did not write: "At Basel I answered the messianic promise." He wrote that he founded a state. It obscures Judaism through subordinating 3,500 years of documented ethical and theological development to political requirements of a 128-year-old nationalist movement. Both are in the record. This forensic distinction carries weight precisely because accuracy determines evidentiary value. Herzl's 1896 pamphlet Der Judenstaat (The Jewish State) renders the colonial analogy unmistakably explicit.</w:t>
      </w:r>
    </w:p>
    <w:p>
      <w:pPr>
        <w:spacing w:before="0" w:after="200"/>
        <w:ind w:firstLine="360"/>
      </w:pPr>
      <w:r>
        <w:rPr>
          <w:color w:val="1A1A1A"/>
          <w:sz w:val="22"/>
          <w:szCs w:val="22"/>
          <w:rFonts w:ascii="Georgia" w:cs="Georgia" w:eastAsia="Georgia" w:hAnsi="Georgia"/>
        </w:rPr>
        <w:t xml:space="preserve">Discourse incapable of differentiating religion from political movement yields conceptual confusion rather than analytical precision. This volume refrains from directing readers toward any particular judgment regarding Zionism's political dimensions. The analysis that follows relies entirely on this primary source material. The evidentiary record here admits no reasonable dispute or alternative interpretation. Judaism constitutes a religious tradition. Herzl's own Yom Kippur observance remained sporadic, with his connection to Jewish religious practice being more cultural than genuinely devotional in character.</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1.2: WHAT ZIONISM IS. THE PRIMARY SOURCE RECORD.</w:t>
      </w:r>
    </w:p>
    <w:p>
      <w:pPr>
        <w:spacing w:before="0" w:after="200"/>
        <w:ind w:firstLine="360"/>
      </w:pPr>
      <w:r>
        <w:rPr>
          <w:color w:val="1A1A1A"/>
          <w:sz w:val="22"/>
          <w:szCs w:val="22"/>
          <w:rFonts w:ascii="Georgia" w:cs="Georgia" w:eastAsia="Georgia" w:hAnsi="Georgia"/>
        </w:rPr>
        <w:t xml:space="preserve">Max Nordau, among the movement's leading early voices and vice president of the First Zionist Congress, approached Judaism through a nationalist lens rather than religious conviction as a secular intellectual. David Ben-Gurion, Israel's eventual first prime minister, held secular socialist convictions. Meir remained secular throughout her political career. Zionism constitutes a political movement.</w:t>
      </w:r>
    </w:p>
    <w:p>
      <w:pPr>
        <w:spacing w:before="0" w:after="200"/>
        <w:ind w:firstLine="360"/>
      </w:pPr>
      <w:r>
        <w:rPr>
          <w:color w:val="1A1A1A"/>
          <w:sz w:val="22"/>
          <w:szCs w:val="22"/>
          <w:rFonts w:ascii="Georgia" w:cs="Georgia" w:eastAsia="Georgia" w:hAnsi="Georgia"/>
        </w:rPr>
        <w:t xml:space="preserve">The Basel Program states, in full: "Zionism seeks to establish a home for the Jewish people in Palestine secured by public law."</w:t>
      </w:r>
    </w:p>
    <w:p>
      <w:pPr>
        <w:spacing w:before="0" w:after="200"/>
        <w:ind w:firstLine="360"/>
      </w:pPr>
      <w:r>
        <w:rPr>
          <w:color w:val="1A1A1A"/>
          <w:sz w:val="22"/>
          <w:szCs w:val="22"/>
          <w:rFonts w:ascii="Georgia" w:cs="Georgia" w:eastAsia="Georgia" w:hAnsi="Georgia"/>
        </w:rPr>
        <w:t xml:space="preserve">That sentence contains no theological claim. The World Zionist Organization's constitutional framework. Herzl's diary entry from September 3, 1897, written four days after the congress ended. The British Mandate census of 1922, the first census conducted after Britain assumed control of Palestine under the League of Nations Mandate, documented the following.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national consciousness; and preparatory steps to obtain the consent of governments where necessary for the fulfillment of the object of Zionism."
This document contains four methods.</w:t>
      </w:r>
    </w:p>
    <w:p>
      <w:pPr>
        <w:spacing w:before="0" w:after="200"/>
        <w:ind w:firstLine="360"/>
      </w:pPr>
      <w:r>
        <w:rPr>
          <w:color w:val="1A1A1A"/>
          <w:sz w:val="22"/>
          <w:szCs w:val="22"/>
          <w:rFonts w:ascii="Georgia" w:cs="Georgia" w:eastAsia="Georgia" w:hAnsi="Georgia"/>
        </w:rPr>
        <w:t xml:space="preserve">The Christian population was 73,024. On September 3, 1897, four days after the conclusion of the First Zionist Congress, Herzl wrote in his diary: Morris's Birth of the Palestinian Refugee Problem represents secondary analysis grounded in primary documentation drawn from Israeli military archives."</w:t>
      </w:r>
    </w:p>
    <w:p>
      <w:pPr>
        <w:spacing w:before="0" w:after="200"/>
        <w:ind w:firstLine="360"/>
      </w:pPr>
      <w:r>
        <w:rPr>
          <w:color w:val="1A1A1A"/>
          <w:sz w:val="22"/>
          <w:szCs w:val="22"/>
          <w:rFonts w:ascii="Georgia" w:cs="Georgia" w:eastAsia="Georgia" w:hAnsi="Georgia"/>
        </w:rPr>
        <w:t xml:space="preserve">He did not write: "At Basel I fulfilled the divine covenant." He did not write: "At Basel I answered the messianic promise." He wrote that he founded a state. It obscures Judaism through subordinating 3,500 years of documented ethical and theological development to political requirements of a 128-year-old nationalist movement. Both are in the record. This forensic distinction carries weight precisely because accuracy determines evidentiary value.</w:t>
      </w:r>
    </w:p>
    <w:p>
      <w:pPr>
        <w:spacing w:before="0" w:after="200"/>
        <w:ind w:firstLine="360"/>
      </w:pPr>
      <w:r>
        <w:rPr>
          <w:color w:val="1A1A1A"/>
          <w:sz w:val="22"/>
          <w:szCs w:val="22"/>
          <w:rFonts w:ascii="Georgia" w:cs="Georgia" w:eastAsia="Georgia" w:hAnsi="Georgia"/>
        </w:rPr>
        <w:t xml:space="preserve">A court incapable of differentiating witness from defendant fails to deliver justice. Discourse incapable of differentiating religion from political movement yields conceptual confusion rather than analytical precision. This volume refrains from directing readers toward any particular judgment regarding Zionism's political dimensions. The analysis that follows relies entirely on this primary source material. The evidentiary record here admits no reasonable dispute or alternative interpretation.</w:t>
      </w:r>
    </w:p>
    <w:p>
      <w:pPr>
        <w:spacing w:before="0" w:after="200"/>
        <w:ind w:firstLine="360"/>
      </w:pPr>
      <w:r>
        <w:rPr>
          <w:color w:val="1A1A1A"/>
          <w:sz w:val="22"/>
          <w:szCs w:val="22"/>
          <w:rFonts w:ascii="Georgia" w:cs="Georgia" w:eastAsia="Georgia" w:hAnsi="Georgia"/>
        </w:rPr>
        <w:t xml:space="preserve">Judaism constitutes a religious tradition. Its foundational texts comprise the Torah, Nevi'im, Ketuvim, and Talmud. Its institutional authority stems from rabbinic interpretation of those documents across roughly 2,500 years of documented history. The First Zionist Congress convened on August 29, 1897, in the concert hall of the Stadtcasino Basel, Switzerland. The Jewish connection to Eretz Yisrael operates covenantally and, within pre-Zionist rabbinic orthodoxy, through eschatological rather than political frameworks. Zionism constitutes a political movement. The Basel Program, ratified August 30, 1897.</w:t>
      </w:r>
    </w:p>
    <w:p>
      <w:pPr>
        <w:spacing w:before="0" w:after="200"/>
        <w:ind w:firstLine="360"/>
      </w:pPr>
      <w:r>
        <w:rPr>
          <w:color w:val="1A1A1A"/>
          <w:sz w:val="22"/>
          <w:szCs w:val="22"/>
          <w:rFonts w:ascii="Georgia" w:cs="Georgia" w:eastAsia="Georgia" w:hAnsi="Georgia"/>
        </w:rPr>
        <w:t xml:space="preserve">The World Zionist Organization's constitutional framework. Herzl's diary entry from September 3, 1897, written four days after the congress ended.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1.3: THE CONFLATION. WHEN IT BEGAN. HOW IT WAS CONSTRUCTED.</w:t>
      </w:r>
    </w:p>
    <w:p>
      <w:pPr>
        <w:spacing w:before="0" w:after="200"/>
        <w:ind w:firstLine="360"/>
      </w:pPr>
      <w:r>
        <w:rPr>
          <w:color w:val="1A1A1A"/>
          <w:sz w:val="22"/>
          <w:szCs w:val="22"/>
          <w:rFonts w:ascii="Georgia" w:cs="Georgia" w:eastAsia="Georgia" w:hAnsi="Georgia"/>
        </w:rPr>
        <w:t xml:space="preserve">The British Mandate census of 1922, the first census conducted after Britain assumed control of Palestine under the League of Nations Mandate, documented the following.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national consciousness; and preparatory steps to obtain the consent of governments where necessary for the fulfillment of the object of Zionism."
This document contains four methods. The Christian population was 73,024.</w:t>
      </w:r>
    </w:p>
    <w:p>
      <w:pPr>
        <w:spacing w:before="0" w:after="200"/>
        <w:ind w:firstLine="360"/>
      </w:pPr>
      <w:r>
        <w:rPr>
          <w:color w:val="1A1A1A"/>
          <w:sz w:val="22"/>
          <w:szCs w:val="22"/>
          <w:rFonts w:ascii="Georgia" w:cs="Georgia" w:eastAsia="Georgia" w:hAnsi="Georgia"/>
        </w:rPr>
        <w:t xml:space="preserve">The Jewish population was 83,790. It obscures Judaism through subordinating 3,500 years of documented ethical and theological development to political requirements of a 128-year-old nationalist movement. It obscures Zionism through conferring upon it religious authority that its founders never claimed and its founding documents lack entirely.</w:t>
      </w:r>
    </w:p>
    <w:p>
      <w:pPr>
        <w:spacing w:before="0" w:after="200"/>
        <w:ind w:firstLine="360"/>
      </w:pPr>
      <w:r>
        <w:rPr>
          <w:color w:val="1A1A1A"/>
          <w:sz w:val="22"/>
          <w:szCs w:val="22"/>
          <w:rFonts w:ascii="Georgia" w:cs="Georgia" w:eastAsia="Georgia" w:hAnsi="Georgia"/>
        </w:rPr>
        <w:t xml:space="preserve">This forensic distinction carries weight precisely because accuracy determines evidentiary value. A court incapable of differentiating witness from defendant fails to deliver justice. Discourse incapable of differentiating religion from political movement yields conceptual confusion rather than analytical precision. This volume refrains from directing readers toward any particular judgment regarding Zionism's political dimensions. The analysis that follows relies entirely on this primary source material.</w:t>
      </w:r>
    </w:p>
    <w:p>
      <w:pPr>
        <w:spacing w:before="0" w:after="200"/>
        <w:ind w:firstLine="360"/>
      </w:pPr>
      <w:r>
        <w:rPr>
          <w:color w:val="1A1A1A"/>
          <w:sz w:val="22"/>
          <w:szCs w:val="22"/>
          <w:rFonts w:ascii="Georgia" w:cs="Georgia" w:eastAsia="Georgia" w:hAnsi="Georgia"/>
        </w:rPr>
        <w:t xml:space="preserve">The evidentiary record here admits no reasonable dispute or alternative interpretation. Judaism constitutes a religious tradition. Its foundational texts comprise the Torah, Nevi'im, Ketuvim, and Talmud. Its institutional authority stems from rabbinic interpretation of those documents across roughly 2,500 years of documented history. The First Zionist Congress convened on August 29, 1897, in the concert hall of the Stadtcasino Basel, Switzerland.</w:t>
      </w:r>
    </w:p>
    <w:p>
      <w:pPr>
        <w:spacing w:before="0" w:after="200"/>
        <w:ind w:firstLine="360"/>
      </w:pPr>
      <w:r>
        <w:rPr>
          <w:color w:val="1A1A1A"/>
          <w:sz w:val="22"/>
          <w:szCs w:val="22"/>
          <w:rFonts w:ascii="Georgia" w:cs="Georgia" w:eastAsia="Georgia" w:hAnsi="Georgia"/>
        </w:rPr>
        <w:t xml:space="preserve">The Jewish connection to Eretz Yisrael operates covenantally and, within pre-Zionist rabbinic orthodoxy, through eschatological rather than political frameworks. Zionism constitutes a political movement. The Basel Program, ratified August 30, 1897. The World Zionist Organization's constitutional framework.</w:t>
      </w:r>
    </w:p>
    <w:p>
      <w:pPr>
        <w:spacing w:before="0" w:after="200"/>
        <w:ind w:firstLine="360"/>
      </w:pPr>
      <w:r>
        <w:rPr>
          <w:color w:val="1A1A1A"/>
          <w:sz w:val="22"/>
          <w:szCs w:val="22"/>
          <w:rFonts w:ascii="Georgia" w:cs="Georgia" w:eastAsia="Georgia" w:hAnsi="Georgia"/>
        </w:rPr>
        <w:t xml:space="preserve">Herzl's diary entry from September 3, 1897, written four days after the congress ended. The British Mandate census of 1922, the first census conducted after Britain assumed control of Palestine under the League of Nations Mandate, documented the following.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national consciousness; and preparatory steps to obtain the consent of governments where necessary for the fulfillment of the object of Zionism."
This document contains four methods. The Christian population was 73,024. The Jewish population was 83,790. It obscures Judaism through subordinating 3,500 years of documented ethical and theological development to political requirements of a 128-year-old nationalist movement. It obscures Zionism through conferring upon it religious authority that its founders never claimed and its founding documents lack entirely.</w:t>
      </w:r>
    </w:p>
    <w:p>
      <w:pPr>
        <w:spacing w:before="0" w:after="200"/>
        <w:ind w:firstLine="360"/>
      </w:pPr>
      <w:r>
        <w:rPr>
          <w:color w:val="1A1A1A"/>
          <w:sz w:val="22"/>
          <w:szCs w:val="22"/>
          <w:rFonts w:ascii="Georgia" w:cs="Georgia" w:eastAsia="Georgia" w:hAnsi="Georgia"/>
        </w:rPr>
        <w:t xml:space="preserve">This forensic distinction carries weight precisely because accuracy determines evidentiary value. A court incapable of differentiating witness from defendant fails to deliver justice. Discourse incapable of differentiating religion from political movement yields conceptual confusion rather than analytical precision.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1.4: WHY THE DISTINCTION MATTERS FORENSICALLY.</w:t>
      </w:r>
    </w:p>
    <w:p>
      <w:pPr>
        <w:spacing w:before="0" w:after="200"/>
        <w:ind w:firstLine="360"/>
      </w:pPr>
      <w:r>
        <w:rPr>
          <w:color w:val="1A1A1A"/>
          <w:sz w:val="22"/>
          <w:szCs w:val="22"/>
          <w:rFonts w:ascii="Georgia" w:cs="Georgia" w:eastAsia="Georgia" w:hAnsi="Georgia"/>
        </w:rPr>
        <w:t xml:space="preserve">This volume refrains from directing readers toward any particular judgment regarding Zionism's political dimensions. The analysis that follows relies entirely on this primary source material. The Torah states precisely what it states.</w:t>
      </w:r>
    </w:p>
    <w:p>
      <w:pPr>
        <w:spacing w:before="0" w:after="200"/>
        <w:ind w:firstLine="360"/>
      </w:pPr>
      <w:r>
        <w:rPr>
          <w:color w:val="1A1A1A"/>
          <w:sz w:val="22"/>
          <w:szCs w:val="22"/>
          <w:rFonts w:ascii="Georgia" w:cs="Georgia" w:eastAsia="Georgia" w:hAnsi="Georgia"/>
        </w:rPr>
        <w:t xml:space="preserve">The Basel Program states its position unambiguously. These meetings have ignited bitter divisions across Jewish communities while solidifying Neturei Karta's standing as a radical fringe organization. ClownBinge reports both. The First Zionist Congress convened on August 29, 1897, in the concert hall of the Stadtcasino Basel, Switzerland. The Muslim population was approximately 525,000.</w:t>
      </w:r>
    </w:p>
    <w:p>
      <w:pPr>
        <w:spacing w:before="0" w:after="200"/>
        <w:ind w:firstLine="360"/>
      </w:pPr>
      <w:r>
        <w:rPr>
          <w:color w:val="1A1A1A"/>
          <w:sz w:val="22"/>
          <w:szCs w:val="22"/>
          <w:rFonts w:ascii="Georgia" w:cs="Georgia" w:eastAsia="Georgia" w:hAnsi="Georgia"/>
        </w:rPr>
        <w:t xml:space="preserve">The First Zionist Congress produced three foundational documents. The Basel Program, ratified August 30, 1897. The World Zionist Organization's constitutional framework. Herzl's diary entry from September 3, 1897, written four days after the congress ended. The British Mandate census of 1922, the first census conducted after Britain assumed control of Palestine under the League of Nations Mandate, documented the following.</w:t>
      </w:r>
    </w:p>
    <w:p>
      <w:pPr>
        <w:spacing w:before="0" w:after="200"/>
        <w:ind w:firstLine="360"/>
      </w:pPr>
      <w:r>
        <w:rPr>
          <w:color w:val="1A1A1A"/>
          <w:sz w:val="22"/>
          <w:szCs w:val="22"/>
          <w:rFonts w:ascii="Georgia" w:cs="Georgia" w:eastAsia="Georgia" w:hAnsi="Georgia"/>
        </w:rPr>
        <w:t xml:space="preserve">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national consciousness; and preparatory steps to obtain the consent of governments where necessary for the fulfillment of the object of Zionism."
This document contains four methods. The Christian population was 73,024. The Jewish population was 83,790. Neither Torah nor Talmud nor rabbinic authority appears in any citation. The Jewish population represented approximately 11.1 percent of the total.</w:t>
      </w:r>
    </w:p>
    <w:p>
      <w:pPr>
        <w:spacing w:before="0" w:after="200"/>
        <w:ind w:firstLine="360"/>
      </w:pPr>
      <w:r>
        <w:rPr>
          <w:color w:val="1A1A1A"/>
          <w:sz w:val="22"/>
          <w:szCs w:val="22"/>
          <w:rFonts w:ascii="Georgia" w:cs="Georgia" w:eastAsia="Georgia" w:hAnsi="Georgia"/>
        </w:rPr>
        <w:t xml:space="preserve">The decline in the Jewish percentage between 1914 and 1922 reflects the disruption of World War One and the emigration of some Jewish residents during the war period. These census figures are primary source documents. Herzl commenced his diary practice in 1895. Raphael Patai's edited five-volume English translation, rendered by Harry Zohn, exists in complete digitized form via the Internet Archive's public access portal. The analysis that follows relies entirely on this primary source material.</w:t>
      </w:r>
    </w:p>
    <w:p>
      <w:pPr>
        <w:spacing w:before="0" w:after="200"/>
        <w:ind w:firstLine="360"/>
      </w:pPr>
      <w:r>
        <w:rPr>
          <w:color w:val="1A1A1A"/>
          <w:sz w:val="22"/>
          <w:szCs w:val="22"/>
          <w:rFonts w:ascii="Georgia" w:cs="Georgia" w:eastAsia="Georgia" w:hAnsi="Georgia"/>
        </w:rPr>
        <w:t xml:space="preserve">Herzl's birth occurred in Budapest during 1860 within a secularized, assimilated Jewish household. His education in Vienna led to legal training, after which he served the Neue Freie Presse—among the Austro-Hungarian Empire's most influential newspapers—first as Paris correspondent, then as literary editor. These meetings have ignited bitter divisions across Jewish communities while solidifying Neturei Karta's standing as a radical fringe organization. The Ottoman position was that Britain had no authority to make declarations regarding the future of Ottoman territory and that the declaration was a violation of the established principles of international law as they existed in 1917.</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The Ottoman Empire had governed Palestine continuously since 1517. The Ottoman land registry system, discussed in Chapter 5, documented Palestinian land ownership across four centuries of Ottoman administration. Neturei Karta, the Orthodox Jewish organization established in Jerusalem during 1938, takes its name from an Aramaic phrase signifying Guardians of the City. The Jewish Chronicle, p. 9. https://www.posenlibrary.com/entry/protest-against-zionism</w:t>
      </w:r>
    </w:p>
    <w:p>
      <w:pPr>
        <w:spacing w:before="0" w:after="120"/>
        <w:ind w:left="720" w:hanging="720"/>
      </w:pPr>
      <w:r>
        <w:rPr>
          <w:color w:val="5A5A5A"/>
          <w:sz w:val="18"/>
          <w:szCs w:val="18"/>
          <w:rFonts w:ascii="Georgia" w:cs="Georgia" w:eastAsia="Georgia" w:hAnsi="Georgia"/>
        </w:rPr>
        <w:t xml:space="preserve">Güdemann, M. (1897). Neturei Karta's 1938 founding surfaces across the organization's own historical records alongside wider archives documenting Jewish institutional formation throughout the Mandate era. Leipzig.</w:t>
      </w:r>
    </w:p>
    <w:p>
      <w:pPr>
        <w:spacing w:before="0" w:after="120"/>
        <w:ind w:left="720" w:hanging="720"/>
      </w:pPr>
      <w:r>
        <w:rPr>
          <w:color w:val="5A5A5A"/>
          <w:sz w:val="18"/>
          <w:szCs w:val="18"/>
          <w:rFonts w:ascii="Georgia" w:cs="Georgia" w:eastAsia="Georgia" w:hAnsi="Georgia"/>
        </w:rPr>
        <w:t xml:space="preserve">Herzl, T. (1896). Its membership includes rabbis, scholars, and Jewish activists across the United States. Breitenstein. https://www.jewishvirtuallibrary.org/quot-the-jewish-state-quot-theodor-herzl</w:t>
      </w:r>
    </w:p>
    <w:p>
      <w:pPr>
        <w:spacing w:before="0" w:after="120"/>
        <w:ind w:left="720" w:hanging="720"/>
      </w:pPr>
      <w:r>
        <w:rPr>
          <w:color w:val="5A5A5A"/>
          <w:sz w:val="18"/>
          <w:szCs w:val="18"/>
          <w:rFonts w:ascii="Georgia" w:cs="Georgia" w:eastAsia="Georgia" w:hAnsi="Georgia"/>
        </w:rPr>
        <w:t xml:space="preserve">Herzl, T. (1960). The Satmar Hasidic dynasty, founded by Rabbi Yoel Teitelbaum from its New York headquarters, maintains absolute theological resistance to Zionism and Israeli statehood through doctrinal readings anchored in the Three Oaths. The Satmar community numbers in the tens of thousands. Rabbi Teitelbaum's Vayoel Moshe (1959) articulates this anti-Zionist stance through what represents the most exhaustive contemporary Orthodox theological refutation of Zionism rooted in Talmudic jurisprudence. The interval spans fifty years and nine months. https://archive.org/details/TheCompleteDiariesOfTheodorHerzl_201606</w:t>
      </w:r>
    </w:p>
    <w:p>
      <w:pPr>
        <w:spacing w:before="0" w:after="120"/>
        <w:ind w:left="720" w:hanging="720"/>
      </w:pPr>
      <w:r>
        <w:rPr>
          <w:color w:val="5A5A5A"/>
          <w:sz w:val="18"/>
          <w:szCs w:val="18"/>
          <w:rFonts w:ascii="Georgia" w:cs="Georgia" w:eastAsia="Georgia" w:hAnsi="Georgia"/>
        </w:rPr>
        <w:t xml:space="preserve">Holy Bible, New Jewish Publication Society Translation. (1985). 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w:t>
      </w:r>
    </w:p>
    <w:p>
      <w:pPr>
        <w:spacing w:before="0" w:after="120"/>
        <w:ind w:left="720" w:hanging="720"/>
      </w:pPr>
      <w:r>
        <w:rPr>
          <w:color w:val="5A5A5A"/>
          <w:sz w:val="18"/>
          <w:szCs w:val="18"/>
          <w:rFonts w:ascii="Georgia" w:cs="Georgia" w:eastAsia="Georgia" w:hAnsi="Georgia"/>
        </w:rPr>
        <w:t xml:space="preserve">The work is a secondary source grounded in primary source documentation. (1170). Sefer HaMitzvot [The Book of Commandments]. https://www.sefaria.org/Sefer_HaMitzvot</w:t>
      </w:r>
    </w:p>
    <w:p>
      <w:pPr>
        <w:spacing w:before="0" w:after="120"/>
        <w:ind w:left="720" w:hanging="720"/>
      </w:pPr>
      <w:r>
        <w:rPr>
          <w:color w:val="5A5A5A"/>
          <w:sz w:val="18"/>
          <w:szCs w:val="18"/>
          <w:rFonts w:ascii="Georgia" w:cs="Georgia" w:eastAsia="Georgia" w:hAnsi="Georgia"/>
        </w:rPr>
        <w:t xml:space="preserve">Posen Library of Jewish Culture and Civilization. (n.d.). This constitutes a peer-reviewed scholarly monograph published by a major university press. https://www.ieg-ego.eu/en/threads/transnational-movements-and-organisations/international-organisations-and-congresses/tobias-grill-jewish-anti-zionist-movements</w:t>
      </w:r>
    </w:p>
    <w:p>
      <w:pPr>
        <w:spacing w:before="0" w:after="120"/>
        <w:ind w:left="720" w:hanging="720"/>
      </w:pPr>
      <w:r>
        <w:rPr>
          <w:color w:val="5A5A5A"/>
          <w:sz w:val="18"/>
          <w:szCs w:val="18"/>
          <w:rFonts w:ascii="Georgia" w:cs="Georgia" w:eastAsia="Georgia" w:hAnsi="Georgia"/>
        </w:rPr>
        <w:t xml:space="preserve">World Zionist Organization. His published works encompass theological and political critiques of Zionism, chief among them The Jewish Dilemma in 1945 and Judaism or Jewish Nationalism in 1957. Both documents represent primary source evidence of American Reform Jewish anti-Zionist sentiment throughout the mid-twentieth century. First Zionist Congress, Basel, Switzerland. https://jewishvirtuallibrary.org/first-zionist-congress-and-basel-program-1897</w:t>
      </w:r>
    </w:p>
    <w:p>
      <w:pPr>
        <w:spacing w:before="0" w:after="120"/>
        <w:ind w:left="720" w:hanging="720"/>
      </w:pPr>
      <w:r>
        <w:rPr>
          <w:color w:val="5A5A5A"/>
          <w:sz w:val="18"/>
          <w:szCs w:val="18"/>
          <w:rFonts w:ascii="Georgia" w:cs="Georgia" w:eastAsia="Georgia" w:hAnsi="Georgia"/>
        </w:rPr>
        <w:t xml:space="preserve">Zohn, H. (Trans.). (1960). Israel proclaimed statehood on May 14, 1948. In T. The Basel Congress ended on August 31, 1897. The interval spans fifty years and nine months.</w:t>
      </w:r>
    </w:p>
    <w:p>
      <w:r>
        <w:br w:type="page"/>
      </w:r>
    </w:p>
    <w:p>
      <w:pPr>
        <w:spacing w:before="0" w:after="80"/>
      </w:pPr>
      <w:r>
        <w:rPr>
          <w:b/>
          <w:bCs/>
          <w:color w:val="C9A227"/>
          <w:sz w:val="20"/>
          <w:szCs w:val="20"/>
          <w:caps/>
          <w:rFonts w:ascii="Georgia" w:cs="Georgia" w:eastAsia="Georgia" w:hAnsi="Georgia"/>
          <w:spacing w:val="160"/>
        </w:rPr>
        <w:t xml:space="preserve">CHAPTER 2</w:t>
      </w:r>
    </w:p>
    <w:p>
      <w:pPr>
        <w:pStyle w:val="Heading1"/>
        <w:spacing w:before="0" w:after="200"/>
      </w:pPr>
      <w:r>
        <w:rPr>
          <w:b/>
          <w:bCs/>
          <w:color w:val="1A1A1A"/>
          <w:sz w:val="36"/>
          <w:szCs w:val="36"/>
          <w:rFonts w:ascii="Georgia" w:cs="Georgia" w:eastAsia="Georgia" w:hAnsi="Georgia"/>
        </w:rPr>
        <w:t xml:space="preserve">The Basel Congress, 1897</w:t>
      </w:r>
    </w:p>
    <w:p>
      <w:pPr>
        <w:spacing w:before="0" w:after="200"/>
        <w:ind w:firstLine="360"/>
      </w:pPr>
      <w:r>
        <w:rPr>
          <w:color w:val="1A1A1A"/>
          <w:sz w:val="22"/>
          <w:szCs w:val="22"/>
          <w:rFonts w:ascii="Georgia" w:cs="Georgia" w:eastAsia="Georgia" w:hAnsi="Georgia"/>
        </w:rPr>
        <w:t xml:space="preserve">The First Zionist Congress convened on August 29, 1897, in the concert hall of the Stadtcasino Basel, Switzerland. The Muslim population was approximately 525,000. The First Zionist Congress produced three foundational documents. The Basel Program, ratified August 30, 1897. The World Zionist Organization's constitutional framework.</w:t>
      </w:r>
    </w:p>
    <w:p>
      <w:pPr>
        <w:spacing w:before="0" w:after="200"/>
        <w:ind w:firstLine="360"/>
      </w:pPr>
      <w:r>
        <w:rPr>
          <w:color w:val="1A1A1A"/>
          <w:sz w:val="22"/>
          <w:szCs w:val="22"/>
          <w:rFonts w:ascii="Georgia" w:cs="Georgia" w:eastAsia="Georgia" w:hAnsi="Georgia"/>
        </w:rPr>
        <w:t xml:space="preserve">Herzl's diary entry from September 3, 1897, written four days after the congress ended. The British Mandate census of 1922, the first census conducted after Britain assumed control of Palestine under the League of Nations Mandate, documented the following.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national consciousness; and preparatory steps to obtain the consent of governments where necessary for the fulfillment of the object of Zionism."
This document contains four methods. The Christian population was 73,024. The Jewish population was 83,790.</w:t>
      </w:r>
    </w:p>
    <w:p>
      <w:pPr>
        <w:spacing w:before="0" w:after="200"/>
        <w:ind w:firstLine="360"/>
      </w:pPr>
      <w:r>
        <w:rPr>
          <w:color w:val="1A1A1A"/>
          <w:sz w:val="22"/>
          <w:szCs w:val="22"/>
          <w:rFonts w:ascii="Georgia" w:cs="Georgia" w:eastAsia="Georgia" w:hAnsi="Georgia"/>
        </w:rPr>
        <w:t xml:space="preserve">Neither Torah nor Talmud nor rabbinic authority appears in any citation. The Jewish population represented approximately 11.1 percent of the total. The decline in the Jewish percentage between 1914 and 1922 reflects the disruption of World War One and the emigration of some Jewish residents during the war period. These census figures are primary source documents.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2.1: HERZL BEFORE BASEL. THE DIARY RECORD.</w:t>
      </w:r>
    </w:p>
    <w:p>
      <w:pPr>
        <w:spacing w:before="0" w:after="200"/>
        <w:ind w:firstLine="360"/>
      </w:pPr>
      <w:r>
        <w:rPr>
          <w:color w:val="1A1A1A"/>
          <w:sz w:val="22"/>
          <w:szCs w:val="22"/>
          <w:rFonts w:ascii="Georgia" w:cs="Georgia" w:eastAsia="Georgia" w:hAnsi="Georgia"/>
        </w:rPr>
        <w:t xml:space="preserve">They establish that Palestine in 1917 was not an empty territory available for settlement. It was a populated territory with an existing majority population. The Balfour Declaration referred to that majority population as existing non-Jewish communities.</w:t>
      </w:r>
    </w:p>
    <w:p>
      <w:pPr>
        <w:spacing w:before="0" w:after="200"/>
        <w:ind w:firstLine="360"/>
      </w:pPr>
      <w:r>
        <w:rPr>
          <w:color w:val="1A1A1A"/>
          <w:sz w:val="22"/>
          <w:szCs w:val="22"/>
          <w:rFonts w:ascii="Georgia" w:cs="Georgia" w:eastAsia="Georgia" w:hAnsi="Georgia"/>
        </w:rPr>
        <w:t xml:space="preserve">Contemporary accounts record that Herzl opened the proceedings to a sustained standing ovation extending fifteen minutes. 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Herzl grasped, according to his diary entries, that the congress required external legitimacy for credible political standing. ClownBinge reports the math. The Ottoman Empire had governed Palestine continuously since 1517. The Ottoman land registry system, discussed in Chapter 5, documented Palestinian land ownership across four centuries of Ottoman administration. Neturei Karta, the Orthodox Jewish organization established in Jerusalem during 1938, takes its name from an Aramaic phrase signifying Guardians of the City.</w:t>
      </w:r>
    </w:p>
    <w:p>
      <w:pPr>
        <w:spacing w:before="0" w:after="200"/>
        <w:ind w:firstLine="360"/>
      </w:pPr>
      <w:r>
        <w:rPr>
          <w:color w:val="1A1A1A"/>
          <w:sz w:val="22"/>
          <w:szCs w:val="22"/>
          <w:rFonts w:ascii="Georgia" w:cs="Georgia" w:eastAsia="Georgia" w:hAnsi="Georgia"/>
        </w:rPr>
        <w:t xml:space="preserve">The organization emerged from its founders' belief that Zionist forces systematically consolidated control over Jewish institutional structures throughout Mandatory Palestine.</w:t>
      </w:r>
    </w:p>
    <w:p>
      <w:pPr>
        <w:spacing w:before="0" w:after="200"/>
        <w:ind w:firstLine="360"/>
      </w:pPr>
      <w:r>
        <w:rPr>
          <w:color w:val="1A1A1A"/>
          <w:sz w:val="22"/>
          <w:szCs w:val="22"/>
          <w:rFonts w:ascii="Georgia" w:cs="Georgia" w:eastAsia="Georgia" w:hAnsi="Georgia"/>
        </w:rPr>
        <w:t xml:space="preserve">Its theological stance draws from the Three Oaths alongside the broader Haredi Orthodox current that has sustained categorical religious opposition to Zionism since 1897. Neturei Karta's 1938 founding surfaces across the organization's own historical records alongside wider archives documenting Jewish institutional formation throughout the Mandate era. Rabbi Amram Blau and Rabbi Aharon Katzenellenbogen founded the organization from their conviction that establishing a Jewish state through human political action, rather than divine intervention, violated Jewish law fundamentally. The organization's institutional documentation reveals continuous operational continuity stretching from 1938 to the present day. It accompanies me wherever I go, broods above my ordinary conversations, looks over my shoulder during my comical little journalistic work, disturbs me and intoxicates me."</w:t>
      </w:r>
    </w:p>
    <w:p>
      <w:pPr>
        <w:spacing w:before="0" w:after="200"/>
        <w:ind w:firstLine="360"/>
      </w:pPr>
      <w:r>
        <w:rPr>
          <w:color w:val="1A1A1A"/>
          <w:sz w:val="22"/>
          <w:szCs w:val="22"/>
          <w:rFonts w:ascii="Georgia" w:cs="Georgia" w:eastAsia="Georgia" w:hAnsi="Georgia"/>
        </w:rPr>
        <w:t xml:space="preserve">The project he describes is not a religious awakening. The organization's intransigent anti-Zionist position receives comprehensive documentation across its published materials, decades of journalistic coverage, and academic examinations of Jewish anti-Zionism. Neturei Karta adherents have participated in conferences and sustained relationships with political figures whose anti-Zionist positions correspond to their theological rejection of Israeli statehood, evidenced repeatedly. Both are in the record. Morris's personal political position has evolved across his career in directions that have surprised many of his scholarly admirers. His scholarly contribution to the primary source record of 1948 is independent of his personal political evolution.</w:t>
      </w:r>
    </w:p>
    <w:p>
      <w:pPr>
        <w:spacing w:before="0" w:after="200"/>
        <w:ind w:firstLine="360"/>
      </w:pPr>
      <w:r>
        <w:rPr>
          <w:color w:val="1A1A1A"/>
          <w:sz w:val="22"/>
          <w:szCs w:val="22"/>
          <w:rFonts w:ascii="Georgia" w:cs="Georgia" w:eastAsia="Georgia" w:hAnsi="Georgia"/>
        </w:rPr>
        <w:t xml:space="preserve">Morris's Birth of the Palestinian Refugee Problem represents secondary analysis grounded in primary documentation drawn from Israeli military archives. This constitutes the most exhaustively documented academic examination of the 1948 displacement accessible in English. In five years perhaps, and certainly in fifty years, everyone will perceive it."
Three elements of this entry require forensic attention. 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w:t>
      </w:r>
    </w:p>
    <w:p>
      <w:pPr>
        <w:spacing w:before="0" w:after="200"/>
        <w:ind w:firstLine="360"/>
      </w:pPr>
      <w:r>
        <w:rPr>
          <w:color w:val="1A1A1A"/>
          <w:sz w:val="22"/>
          <w:szCs w:val="22"/>
          <w:rFonts w:ascii="Georgia" w:cs="Georgia" w:eastAsia="Georgia" w:hAnsi="Georgia"/>
        </w:rPr>
        <w:t xml:space="preserve">It is a primary source document of Israeli Jewish scholarly dissent from the dominant Israeli narrative of 1948. A state. This represents a documented assembly of sourced positions rather than exhaustive cataloguing. Rabbi Elmer Berger served as executive director of the American Council for Judaism from 1943 through 1968. His published works encompass theological and political critiques of Zionism, chief among them The Jewish Dilemma in 1945 and Judaism or Jewish Nationalism in 1957. Both documents represent primary source evidence of American Reform Jewish anti-Zionist sentiment throughout the mid-twentieth century.</w:t>
      </w:r>
    </w:p>
    <w:p>
      <w:pPr>
        <w:spacing w:before="0" w:after="200"/>
        <w:ind w:firstLine="360"/>
      </w:pPr>
      <w:r>
        <w:rPr>
          <w:color w:val="1A1A1A"/>
          <w:sz w:val="22"/>
          <w:szCs w:val="22"/>
          <w:rFonts w:ascii="Georgia" w:cs="Georgia" w:eastAsia="Georgia" w:hAnsi="Georgia"/>
        </w:rPr>
        <w:t xml:space="preserve">He grasped that his complete political vision, founding a sovereign state, would provoke resistance if articulated directly. The discrepancy between Herzl's private diary entries and the public discourse at the congress constitutes primary source evidence regarding Zionist political strategy during the movement's inaugural year. It is held at the British National Archives. Israel proclaimed statehood on May 14, 1948.</w:t>
      </w:r>
    </w:p>
    <w:p>
      <w:pPr>
        <w:spacing w:before="0" w:after="200"/>
        <w:ind w:firstLine="360"/>
      </w:pPr>
      <w:r>
        <w:rPr>
          <w:color w:val="1A1A1A"/>
          <w:sz w:val="22"/>
          <w:szCs w:val="22"/>
          <w:rFonts w:ascii="Georgia" w:cs="Georgia" w:eastAsia="Georgia" w:hAnsi="Georgia"/>
        </w:rPr>
        <w:t xml:space="preserve">The Basel Congress ended on August 31, 1897. The interval spans fifty years and nine months. The Ottoman census of 1914, the most recent census conducted before the Balfour Declaration, documented the population of Palestine as follows. The Muslim population was approximately 525,000.</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2.2: THE BASEL CONGRESS. WHAT THE PROCEEDINGS DOCUMENT.</w:t>
      </w:r>
    </w:p>
    <w:p>
      <w:pPr>
        <w:spacing w:before="0" w:after="200"/>
        <w:ind w:firstLine="360"/>
      </w:pPr>
      <w:r>
        <w:rPr>
          <w:color w:val="1A1A1A"/>
          <w:sz w:val="22"/>
          <w:szCs w:val="22"/>
          <w:rFonts w:ascii="Georgia" w:cs="Georgia" w:eastAsia="Georgia" w:hAnsi="Georgia"/>
        </w:rPr>
        <w:t xml:space="preserve">The diary entry cannot establish that Israel's founding constituted fulfillment of divine promise. This passage exposes Herzl's conviction that state construction required systematic political organization, diplomatic negotiation, and calculated communicative strategies. The founder's private writings expose these documented motivations through handwritten entries conceived for personal reflection alone, retaining his unvarnished ideological framework. The Jewish population represented approximately 13.6 percent of the total.</w:t>
      </w:r>
    </w:p>
    <w:p>
      <w:pPr>
        <w:spacing w:before="0" w:after="200"/>
        <w:ind w:firstLine="360"/>
      </w:pPr>
      <w:r>
        <w:rPr>
          <w:color w:val="1A1A1A"/>
          <w:sz w:val="22"/>
          <w:szCs w:val="22"/>
          <w:rFonts w:ascii="Georgia" w:cs="Georgia" w:eastAsia="Georgia" w:hAnsi="Georgia"/>
        </w:rPr>
        <w:t xml:space="preserve">The British Mandate census of 1922, the first census conducted after Britain assumed control of Palestine under the League of Nations Mandate, documented the following.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national consciousness; and preparatory steps to obtain the consent of governments where necessary for the fulfillment of the object of Zionism."</w:t>
      </w:r>
    </w:p>
    <w:p>
      <w:pPr>
        <w:spacing w:before="0" w:after="200"/>
        <w:ind w:firstLine="360"/>
      </w:pPr>
      <w:r>
        <w:rPr>
          <w:color w:val="1A1A1A"/>
          <w:sz w:val="22"/>
          <w:szCs w:val="22"/>
          <w:rFonts w:ascii="Georgia" w:cs="Georgia" w:eastAsia="Georgia" w:hAnsi="Georgia"/>
        </w:rPr>
        <w:t xml:space="preserve">This document contains four methods. The Christian population was 73,024. The Jewish population was 83,790. The total population was 752,048. The Jewish population represented approximately 11.1 percent of the total. The decline in the Jewish percentage between 1914 and 1922 reflects the disruption of World War One and the emigration of some Jewish residents during the war period. These census figures are primary source documents. They establish that Palestine in 1917 was not an empty territory available for settlement.</w:t>
      </w:r>
    </w:p>
    <w:p>
      <w:pPr>
        <w:spacing w:before="0" w:after="200"/>
        <w:ind w:firstLine="360"/>
      </w:pPr>
      <w:r>
        <w:rPr>
          <w:color w:val="1A1A1A"/>
          <w:sz w:val="22"/>
          <w:szCs w:val="22"/>
          <w:rFonts w:ascii="Georgia" w:cs="Georgia" w:eastAsia="Georgia" w:hAnsi="Georgia"/>
        </w:rPr>
        <w:t xml:space="preserve">It was a populated territory with an existing majority population. The Balfour Declaration referred to that majority population as existing non-Jewish communities. The census documents that those communities represented approximately 86 percent of Palestine's total population at the time the declaration was written. 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w:t>
      </w:r>
    </w:p>
    <w:p>
      <w:pPr>
        <w:spacing w:before="0" w:after="200"/>
        <w:ind w:firstLine="360"/>
      </w:pPr>
      <w:r>
        <w:rPr>
          <w:color w:val="1A1A1A"/>
          <w:sz w:val="22"/>
          <w:szCs w:val="22"/>
          <w:rFonts w:ascii="Georgia" w:cs="Georgia" w:eastAsia="Georgia" w:hAnsi="Georgia"/>
        </w:rPr>
        <w:t xml:space="preserve">ClownBinge reports the math. The Ottoman Empire had governed Palestine continuously since 1517. The Ottoman land registry system, discussed in Chapter 5, documented Palestinian land ownership across four centuries of Ottoman administration. Neturei Karta, the Orthodox Jewish organization established in Jerusalem during 1938, takes its name from an Aramaic phrase signifying Guardians of the City. The organization emerged from its founders' belief that Zionist forces systematically consolidated control over Jewish institutional structures throughout Mandatory Palestine. Its theological stance draws from the Three Oaths alongside the broader Haredi Orthodox current that has sustained categorical religious opposition to Zionism since 1897.</w:t>
      </w:r>
    </w:p>
    <w:p>
      <w:pPr>
        <w:spacing w:before="0" w:after="200"/>
        <w:ind w:firstLine="360"/>
      </w:pPr>
      <w:r>
        <w:rPr>
          <w:color w:val="1A1A1A"/>
          <w:sz w:val="22"/>
          <w:szCs w:val="22"/>
          <w:rFonts w:ascii="Georgia" w:cs="Georgia" w:eastAsia="Georgia" w:hAnsi="Georgia"/>
        </w:rPr>
        <w:t xml:space="preserve">Neturei Karta's 1938 founding surfaces across the organization's own historical records alongside wider archives documenting Jewish institutional formation throughout the Mandate era. Rabbi Amram Blau and Rabbi Aharon Katzenellenbogen founded the organization from their conviction that establishing a Jewish state through human political action, rather than divine intervention, violated Jewish law fundamentally. The organization's institutional documentation reveals continuous operational continuity stretching from 1938 to the present day. The organization has sustained public statements, coordinated demonstrations, and maintained institutional operations across Jerusalem, New York, London, and other urban centers with substantial Orthodox Jewish populations for 86 consecutive years. The organization's intransigent anti-Zionist position receives comprehensive documentation across its published materials, decades of journalistic coverage, and academic examinations of Jewish anti-Zionism. Neturei Karta adherents have participated in conferences and sustained relationships with political figures whose anti-Zionist positions correspond to their theological rejection of Israeli statehood, evidenced repeatedly.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2.3: HERZL'S DIARY, SEPTEMBER 3, 1897. THE FOUNDING ADMISSION.</w:t>
      </w:r>
    </w:p>
    <w:p>
      <w:pPr>
        <w:spacing w:before="0" w:after="200"/>
        <w:ind w:firstLine="360"/>
      </w:pPr>
      <w:r>
        <w:rPr>
          <w:color w:val="1A1A1A"/>
          <w:sz w:val="22"/>
          <w:szCs w:val="22"/>
          <w:rFonts w:ascii="Georgia" w:cs="Georgia" w:eastAsia="Georgia" w:hAnsi="Georgia"/>
        </w:rPr>
        <w:t xml:space="preserve">Both are in the record. Morris's personal political position has evolved across his career in directions that have surprised many of his scholarly admirers. His scholarly contribution to the primary source record of 1948 is independent of his personal political evolution.</w:t>
      </w:r>
    </w:p>
    <w:p>
      <w:pPr>
        <w:pBdr>
          <w:left w:val="thick" w:color="C9A227" w:sz="12" w:space="12"/>
        </w:pBdr>
        <w:spacing w:before="160" w:after="160"/>
        <w:ind w:left="576" w:right="576"/>
      </w:pPr>
      <w:r>
        <w:rPr>
          <w:i/>
          <w:iCs/>
          <w:color w:val="1A1A1A"/>
          <w:sz w:val="20"/>
          <w:szCs w:val="20"/>
          <w:rFonts w:ascii="Georgia" w:cs="Georgia" w:eastAsia="Georgia" w:hAnsi="Georgia"/>
        </w:rPr>
        <w:t xml:space="preserve">Morris's Birth of the Palestinian Refugee Problem represents secondary analysis grounded in primary documentation drawn from Israeli military archives. This constitutes the most exhaustively documented academic examination of the 1948 displacement accessible in English. In five years perhaps, and certainly in fifty years, everyone will perceive it."</w:t>
      </w:r>
    </w:p>
    <w:p>
      <w:pPr>
        <w:spacing w:before="0" w:after="200"/>
        <w:ind w:firstLine="360"/>
      </w:pPr>
      <w:r>
        <w:rPr>
          <w:color w:val="1A1A1A"/>
          <w:sz w:val="22"/>
          <w:szCs w:val="22"/>
          <w:rFonts w:ascii="Georgia" w:cs="Georgia" w:eastAsia="Georgia" w:hAnsi="Georgia"/>
        </w:rPr>
        <w:t xml:space="preserve">Three elements of this entry require forensic attention.</w:t>
      </w:r>
    </w:p>
    <w:p>
      <w:pPr>
        <w:spacing w:before="0" w:after="200"/>
        <w:ind w:firstLine="360"/>
      </w:pPr>
      <w:r>
        <w:rPr>
          <w:color w:val="1A1A1A"/>
          <w:sz w:val="22"/>
          <w:szCs w:val="22"/>
          <w:rFonts w:ascii="Georgia" w:cs="Georgia" w:eastAsia="Georgia" w:hAnsi="Georgia"/>
        </w:rPr>
        <w:t xml:space="preserve">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 It is a primary source document of Israeli Jewish scholarly dissent from the dominant Israeli narrative of 1948. A state. This represents a documented assembly of sourced positions rather than exhaustive cataloguing. Rabbi Elmer Berger served as executive director of the American Council for Judaism from 1943 through 1968. His published works encompass theological and political critiques of Zionism, chief among them The Jewish Dilemma in 1945 and Judaism or Jewish Nationalism in 1957.</w:t>
      </w:r>
    </w:p>
    <w:p>
      <w:pPr>
        <w:spacing w:before="0" w:after="200"/>
        <w:ind w:firstLine="360"/>
      </w:pPr>
      <w:r>
        <w:rPr>
          <w:color w:val="1A1A1A"/>
          <w:sz w:val="22"/>
          <w:szCs w:val="22"/>
          <w:rFonts w:ascii="Georgia" w:cs="Georgia" w:eastAsia="Georgia" w:hAnsi="Georgia"/>
        </w:rPr>
        <w:t xml:space="preserve">Both documents represent primary source evidence of American Reform Jewish anti-Zionist sentiment throughout the mid-twentieth century. The opposition to Zionism within Judaism did not begin after 1948. The Sykes-Picot Agreement constitutes an indispensable primary source for comprehending the geopolitical backdrop against which the Balfour Declaration emerged.</w:t>
      </w:r>
    </w:p>
    <w:p>
      <w:pPr>
        <w:spacing w:before="0" w:after="200"/>
        <w:ind w:firstLine="360"/>
      </w:pPr>
      <w:r>
        <w:rPr>
          <w:color w:val="1A1A1A"/>
          <w:sz w:val="22"/>
          <w:szCs w:val="22"/>
          <w:rFonts w:ascii="Georgia" w:cs="Georgia" w:eastAsia="Georgia" w:hAnsi="Georgia"/>
        </w:rPr>
        <w:t xml:space="preserve">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foreground. It has never stopped. The demographic record of Palestine in 1917 is a primary source that the declaration's language implicitly erased. The Ottoman census of 1914, the most recent census conducted before the Balfour Declaration, documented the population of Palestine as follows. The Muslim population was approximately 525,000.</w:t>
      </w:r>
    </w:p>
    <w:p>
      <w:pPr>
        <w:spacing w:before="0" w:after="200"/>
        <w:ind w:firstLine="360"/>
      </w:pPr>
      <w:r>
        <w:rPr>
          <w:color w:val="1A1A1A"/>
          <w:sz w:val="22"/>
          <w:szCs w:val="22"/>
          <w:rFonts w:ascii="Georgia" w:cs="Georgia" w:eastAsia="Georgia" w:hAnsi="Georgia"/>
        </w:rPr>
        <w:t xml:space="preserve">The Christian population was approximately 70,000. The Jewish population was approximately 94,000. The total population was approximately 689,000.</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2.4: WHO WAS IN THE ROOM. AND WHO WAS NOT.</w:t>
      </w:r>
    </w:p>
    <w:p>
      <w:pPr>
        <w:spacing w:before="0" w:after="200"/>
        <w:ind w:firstLine="360"/>
      </w:pPr>
      <w:r>
        <w:rPr>
          <w:color w:val="1A1A1A"/>
          <w:sz w:val="22"/>
          <w:szCs w:val="22"/>
          <w:rFonts w:ascii="Georgia" w:cs="Georgia" w:eastAsia="Georgia" w:hAnsi="Georgia"/>
        </w:rPr>
        <w:t xml:space="preserve">The Jewish population represented approximately 13.6 percent of the total. The British Mandate census of 1922, the first census conducted after Britain assumed control of Palestine under the League of Nations Mandate, documented the following. The Muslim population was 589,177. The Christian population was 73,024.</w:t>
      </w:r>
    </w:p>
    <w:p>
      <w:pPr>
        <w:spacing w:before="0" w:after="200"/>
        <w:ind w:firstLine="360"/>
      </w:pPr>
      <w:r>
        <w:rPr>
          <w:color w:val="1A1A1A"/>
          <w:sz w:val="22"/>
          <w:szCs w:val="22"/>
          <w:rFonts w:ascii="Georgia" w:cs="Georgia" w:eastAsia="Georgia" w:hAnsi="Georgia"/>
        </w:rPr>
        <w:t xml:space="preserve">The Jewish population was 83,790. The total population was 752,048.</w:t>
      </w:r>
    </w:p>
    <w:p>
      <w:pPr>
        <w:spacing w:before="0" w:after="200"/>
        <w:ind w:firstLine="360"/>
      </w:pPr>
      <w:r>
        <w:rPr>
          <w:color w:val="1A1A1A"/>
          <w:sz w:val="22"/>
          <w:szCs w:val="22"/>
          <w:rFonts w:ascii="Georgia" w:cs="Georgia" w:eastAsia="Georgia" w:hAnsi="Georgia"/>
        </w:rPr>
        <w:t xml:space="preserve">The Jewish population represented approximately 11.1 percent of the total. The decline in the Jewish percentage between 1914 and 1922 reflects the disruption of World War One and the emigration of some Jewish residents during the war period. These census figures are primary source documents. They establish that Palestine in 1917 was not an empty territory available for settlement. It was a populated territory with an existing majority population.</w:t>
      </w:r>
    </w:p>
    <w:p>
      <w:pPr>
        <w:spacing w:before="0" w:after="200"/>
        <w:ind w:firstLine="360"/>
      </w:pPr>
      <w:r>
        <w:rPr>
          <w:color w:val="1A1A1A"/>
          <w:sz w:val="22"/>
          <w:szCs w:val="22"/>
          <w:rFonts w:ascii="Georgia" w:cs="Georgia" w:eastAsia="Georgia" w:hAnsi="Georgia"/>
        </w:rPr>
        <w:t xml:space="preserve">The Balfour Declaration referred to that majority population as existing non-Jewish communities. The census documents that those communities represented approximately 86 percent of Palestine's total population at the time the declaration was written.</w:t>
      </w:r>
    </w:p>
    <w:p>
      <w:pPr>
        <w:spacing w:before="0" w:after="200"/>
        <w:ind w:firstLine="360"/>
      </w:pPr>
      <w:r>
        <w:rPr>
          <w:color w:val="1A1A1A"/>
          <w:sz w:val="22"/>
          <w:szCs w:val="22"/>
          <w:rFonts w:ascii="Georgia" w:cs="Georgia" w:eastAsia="Georgia" w:hAnsi="Georgia"/>
        </w:rPr>
        <w:t xml:space="preserve">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ClownBinge reports the math.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2.5: THE COLONIAL FRAME. HERZL AND RHODES. THE DOCUMENTED RECORD.</w:t>
      </w:r>
    </w:p>
    <w:p>
      <w:pPr>
        <w:spacing w:before="0" w:after="200"/>
        <w:ind w:firstLine="360"/>
      </w:pPr>
      <w:r>
        <w:rPr>
          <w:color w:val="1A1A1A"/>
          <w:sz w:val="22"/>
          <w:szCs w:val="22"/>
          <w:rFonts w:ascii="Georgia" w:cs="Georgia" w:eastAsia="Georgia" w:hAnsi="Georgia"/>
        </w:rPr>
        <w:t xml:space="preserve">Arab reactions to the Balfour Declaration demand scrutiny via primary documentation, principally the Husayn-McMahon Correspondence: diplomatic communications between Mecca's Sharif Hussein bin Ali and British High Commissioner Sir Henry McMahon in Egypt spanning July 1915 to March 1916. British correspondence promised Arab independence in exchange for the Arab Revolt against Ottoman forces during the First World War.</w:t>
      </w:r>
    </w:p>
    <w:p>
      <w:pPr>
        <w:spacing w:before="0" w:after="200"/>
        <w:ind w:firstLine="360"/>
      </w:pPr>
      <w:r>
        <w:rPr>
          <w:color w:val="1A1A1A"/>
          <w:sz w:val="22"/>
          <w:szCs w:val="22"/>
          <w:rFonts w:ascii="Georgia" w:cs="Georgia" w:eastAsia="Georgia" w:hAnsi="Georgia"/>
        </w:rPr>
        <w:t xml:space="preserve">Sharif Hussein interpreted this correspondence as Britain's commitment to Arab sovereignty across extensive Ottoman Arab territories, which Arabs understood to encompass Palestine. The British National Archives houses the Husayn-McMahon Correspondence. The document's interpretation has generated controversy since its inception, with British officials subsequently arguing that Palestine lay beyond the geographical boundaries of the correspondence.</w:t>
      </w:r>
    </w:p>
    <w:p>
      <w:pPr>
        <w:spacing w:before="0" w:after="200"/>
        <w:ind w:firstLine="360"/>
      </w:pPr>
      <w:r>
        <w:rPr>
          <w:color w:val="1A1A1A"/>
          <w:sz w:val="22"/>
          <w:szCs w:val="22"/>
          <w:rFonts w:ascii="Georgia" w:cs="Georgia" w:eastAsia="Georgia" w:hAnsi="Georgia"/>
        </w:rPr>
        <w:t xml:space="preserve">The Arab parties to the correspondence disputed that interpretation. The text of the correspondence itself is ambiguous on the question of Palestine's inclusion. What is not ambiguous is the following primary source fact. Britain committed itself to both the Zionist Federation via the Balfour Declaration and Arab leadership through the Husayn-McMahon Correspondence concerning overlapping territorial futures. The Sykes-Picot Agreement, made simultaneously with both sets of commitments, divided those same territories between Britain and France without reference to either party's understanding of what had been promised. Britain made three sets of commitments regarding the same territory to three different parties between 1915 and 1917.</w:t>
      </w:r>
    </w:p>
    <w:p>
      <w:pPr>
        <w:spacing w:before="0" w:after="200"/>
        <w:ind w:firstLine="360"/>
      </w:pPr>
      <w:r>
        <w:rPr>
          <w:color w:val="1A1A1A"/>
          <w:sz w:val="22"/>
          <w:szCs w:val="22"/>
          <w:rFonts w:ascii="Georgia" w:cs="Georgia" w:eastAsia="Georgia" w:hAnsi="Georgia"/>
        </w:rPr>
        <w:t xml:space="preserve">The primary source record of those commitments is held at the British National Archives. The contradictions between them are not a matter of interpretation. They are a matter of documentary record. Arab political leadership articulated the documented position that the Balfour Declaration constituted a violation of Britain's commitments within the Husayn-McMahon Correspondence. The diplomatic record of the 1919 Paris Peace Conference documents this position, with Faysal ibn Husayn advancing the Arab case before Allied powers as representative of the Arab Kingdom of the Hejaz. His testimony is in the conference record. Palestine was Ottoman territory in 1917.</w:t>
      </w:r>
    </w:p>
    <w:p>
      <w:pPr>
        <w:spacing w:before="0" w:after="200"/>
        <w:ind w:firstLine="360"/>
      </w:pPr>
      <w:r>
        <w:rPr>
          <w:color w:val="1A1A1A"/>
          <w:sz w:val="22"/>
          <w:szCs w:val="22"/>
          <w:rFonts w:ascii="Georgia" w:cs="Georgia" w:eastAsia="Georgia" w:hAnsi="Georgia"/>
        </w:rPr>
        <w:t xml:space="preserve">The Balfour Declaration was issued by a government that did not control Palestine at the time of its issuance. Britain was at war with the Ottoman Empire.</w:t>
      </w:r>
    </w:p>
    <w:p>
      <w:pPr>
        <w:spacing w:before="0" w:after="200"/>
        <w:ind w:firstLine="360"/>
      </w:pPr>
      <w:r>
        <w:rPr>
          <w:color w:val="1A1A1A"/>
          <w:sz w:val="22"/>
          <w:szCs w:val="22"/>
          <w:rFonts w:ascii="Georgia" w:cs="Georgia" w:eastAsia="Georgia" w:hAnsi="Georgia"/>
        </w:rPr>
        <w:t xml:space="preserve">British forces were advancing through Palestine during the period of the declaration's production. Jerusalem fell to British forces on December 9, 1917, five weeks after the declaration was published. The Ottoman government's response to the Balfour Declaration is documented in the diplomatic record of the period. The Ottoman position was that Britain had no authority to make declarations regarding the future of Ottoman territory and that the declaration was a violation of the established principles of international law as they existed in 1917.</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2.6: THE DELTA. WHAT THE SECONDARY LITERATURE OMITS.</w:t>
      </w:r>
    </w:p>
    <w:p>
      <w:pPr>
        <w:spacing w:before="0" w:after="200"/>
        <w:ind w:firstLine="360"/>
      </w:pPr>
      <w:r>
        <w:rPr>
          <w:color w:val="1A1A1A"/>
          <w:sz w:val="22"/>
          <w:szCs w:val="22"/>
          <w:rFonts w:ascii="Georgia" w:cs="Georgia" w:eastAsia="Georgia" w:hAnsi="Georgia"/>
        </w:rPr>
        <w:t xml:space="preserve">The Ottoman Empire had governed Palestine continuously since 1517. The Ottoman land registry system, discussed in Chapter 5, documented Palestinian land ownership across four centuries of Ottoman administration. Neturei Karta, the Orthodox Jewish organization established in Jerusalem during 1938, takes its name from an Aramaic phrase signifying Guardians of the City. The organization emerged from its founders' belief that Zionist forces systematically consolidated control over Jewish institutional structures throughout Mandatory Palestine. Its theological stance draws from the Three Oaths alongside the broader Haredi Orthodox current that has sustained categorical religious opposition to Zionism since 1897. Neturei Karta's 1938 founding surfaces across the organization's own historical records alongside wider archives documenting Jewish institutional formation throughout the Mandate era.</w:t>
      </w:r>
    </w:p>
    <w:p>
      <w:pPr>
        <w:spacing w:before="0" w:after="200"/>
        <w:ind w:firstLine="360"/>
      </w:pPr>
      <w:r>
        <w:rPr>
          <w:color w:val="1A1A1A"/>
          <w:sz w:val="22"/>
          <w:szCs w:val="22"/>
          <w:rFonts w:ascii="Georgia" w:cs="Georgia" w:eastAsia="Georgia" w:hAnsi="Georgia"/>
        </w:rPr>
        <w:t xml:space="preserve">Rabbi Amram Blau and Rabbi Aharon Katzenellenbogen founded the organization from their conviction that establishing a Jewish state through human political action, rather than divine intervention, violated Jewish law fundamentally.</w:t>
      </w:r>
    </w:p>
    <w:p>
      <w:pPr>
        <w:spacing w:before="0" w:after="200"/>
        <w:ind w:firstLine="360"/>
      </w:pPr>
      <w:r>
        <w:rPr>
          <w:color w:val="1A1A1A"/>
          <w:sz w:val="22"/>
          <w:szCs w:val="22"/>
          <w:rFonts w:ascii="Georgia" w:cs="Georgia" w:eastAsia="Georgia" w:hAnsi="Georgia"/>
        </w:rPr>
        <w:t xml:space="preserve">The organization's institutional documentation reveals continuous operational continuity stretching from 1938 to the present day. The organization has sustained public statements, coordinated demonstrations, and maintained institutional operations across Jerusalem, New York, London, and other urban centers with substantial Orthodox Jewish populations for 86 consecutive years. The organization's intransigent anti-Zionist position receives comprehensive documentation across its published materials, decades of journalistic coverage, and academic examinations of Jewish anti-Zionism. Neturei Karta adherents have participated in conferences and sustained relationships with political figures whose anti-Zionist positions correspond to their theological rejection of Israeli statehood, evidenced repeatedly. These meetings have ignited bitter divisions across Jewish communities while solidifying Neturei Karta's standing as a radical fringe organization.</w:t>
      </w:r>
    </w:p>
    <w:p>
      <w:pPr>
        <w:spacing w:before="0" w:after="200"/>
        <w:ind w:firstLine="360"/>
      </w:pPr>
      <w:r>
        <w:rPr>
          <w:color w:val="1A1A1A"/>
          <w:sz w:val="22"/>
          <w:szCs w:val="22"/>
          <w:rFonts w:ascii="Georgia" w:cs="Georgia" w:eastAsia="Georgia" w:hAnsi="Georgia"/>
        </w:rPr>
        <w:t xml:space="preserve">Morris's personal political position has evolved across his career in directions that have surprised many of his scholarly admirers. His scholarly contribution to the primary source record of 1948 is independent of his personal political evolution. Morris's Birth of the Palestinian Refugee Problem represents secondary analysis grounded in primary documentation drawn from Israeli military archives. This constitutes the most exhaustively documented academic examination of the 1948 displacement accessible in English.</w:t>
      </w:r>
    </w:p>
    <w:p>
      <w:pPr>
        <w:spacing w:before="0" w:after="200"/>
        <w:ind w:firstLine="360"/>
      </w:pPr>
      <w:r>
        <w:rPr>
          <w:color w:val="1A1A1A"/>
          <w:sz w:val="22"/>
          <w:szCs w:val="22"/>
          <w:rFonts w:ascii="Georgia" w:cs="Georgia" w:eastAsia="Georgia" w:hAnsi="Georgia"/>
        </w:rPr>
        <w:t xml:space="preserve">Ilan Pappé (b. 1954). 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w:t>
      </w:r>
    </w:p>
    <w:p>
      <w:pPr>
        <w:spacing w:before="0" w:after="200"/>
        <w:ind w:firstLine="360"/>
      </w:pPr>
      <w:r>
        <w:rPr>
          <w:color w:val="1A1A1A"/>
          <w:sz w:val="22"/>
          <w:szCs w:val="22"/>
          <w:rFonts w:ascii="Georgia" w:cs="Georgia" w:eastAsia="Georgia" w:hAnsi="Georgia"/>
        </w:rPr>
        <w:t xml:space="preserve">It is a primary source document of Israeli Jewish scholarly dissent from the dominant Israeli narrative of 1948. Contemporary Jewish anti-Zionist scholarship, religious rulings, and institutional resistance have produced an extensive documentary archive. This represents a documented assembly of sourced positions rather than exhaustive cataloguing. Rabbi Elmer Berger served as executive director of the American Council for Judaism from 1943 through 1968. His published works encompass theological and political critiques of Zionism, chief among them The Jewish Dilemma in 1945 and Judaism or Jewish Nationalism in 1957.</w:t>
      </w:r>
    </w:p>
    <w:p>
      <w:pPr>
        <w:spacing w:before="0" w:after="200"/>
        <w:ind w:firstLine="360"/>
      </w:pPr>
      <w:r>
        <w:rPr>
          <w:color w:val="1A1A1A"/>
          <w:sz w:val="22"/>
          <w:szCs w:val="22"/>
          <w:rFonts w:ascii="Georgia" w:cs="Georgia" w:eastAsia="Georgia" w:hAnsi="Georgia"/>
        </w:rPr>
        <w:t xml:space="preserve">Both documents represent primary source evidence of American Reform Jewish anti-Zionist sentiment throughout the mid-twentieth century.</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Noam Chomsky, MIT professor emeritus and secular Jewish intellectual, has maintained his well-documented critique of Zionism and Israeli state policy across five decades of scholarly work and public commentary. (n.d.). His status as a leading Jewish intellectual holding documented anti-Zionist views offers primary source evidence regarding the spectrum within Jewish intellectual discourse on these questions, regardless of how one evaluates his reasoning. Encyclopaedia Judaica. https://www.encyclopedia.com/religion/encyclopedias-almanacs-transcripts-and-maps/protestrabbiner</w:t>
      </w:r>
    </w:p>
    <w:p>
      <w:pPr>
        <w:spacing w:before="0" w:after="120"/>
        <w:ind w:left="720" w:hanging="720"/>
      </w:pPr>
      <w:r>
        <w:rPr>
          <w:color w:val="5A5A5A"/>
          <w:sz w:val="18"/>
          <w:szCs w:val="18"/>
          <w:rFonts w:ascii="Georgia" w:cs="Georgia" w:eastAsia="Georgia" w:hAnsi="Georgia"/>
        </w:rPr>
        <w:t xml:space="preserve">Grill, T. (n.d.). This constitutes a peer-reviewed scholarly monograph published by a major university press. European History Online, Leibniz Institute of European History. https://www.ieg-ego.eu/en/threads/transnational-movements-and-organisations/international-organisations-and-congresses/tobias-grill-jewish-anti-zionist-movements</w:t>
      </w:r>
    </w:p>
    <w:p>
      <w:pPr>
        <w:spacing w:before="0" w:after="120"/>
        <w:ind w:left="720" w:hanging="720"/>
      </w:pPr>
      <w:r>
        <w:rPr>
          <w:color w:val="5A5A5A"/>
          <w:sz w:val="18"/>
          <w:szCs w:val="18"/>
          <w:rFonts w:ascii="Georgia" w:cs="Georgia" w:eastAsia="Georgia" w:hAnsi="Georgia"/>
        </w:rPr>
        <w:t xml:space="preserve">Herzl, T. (1896). Its membership includes rabbis, scholars, and Jewish activists across the United States. Breitenstein. https://www.jewishvirtuallibrary.org/quot-the-jewish-state-quot-theodor-herzl</w:t>
      </w:r>
    </w:p>
    <w:p>
      <w:pPr>
        <w:spacing w:before="0" w:after="120"/>
        <w:ind w:left="720" w:hanging="720"/>
      </w:pPr>
      <w:r>
        <w:rPr>
          <w:color w:val="5A5A5A"/>
          <w:sz w:val="18"/>
          <w:szCs w:val="18"/>
          <w:rFonts w:ascii="Georgia" w:cs="Georgia" w:eastAsia="Georgia" w:hAnsi="Georgia"/>
        </w:rPr>
        <w:t xml:space="preserve">Herzl, T. They are primary source documents of contemporary organized Jewish opposition to Zionism. If Not Now, the American Jewish organization established in 2014, positions itself in opposition to Israeli occupation of Palestinian territories. The organization's founding documents and stated positions remain available at ifnotnowmovement.org.</w:t>
      </w:r>
    </w:p>
    <w:p>
      <w:pPr>
        <w:spacing w:before="0" w:after="120"/>
        <w:ind w:left="720" w:hanging="720"/>
      </w:pPr>
      <w:r>
        <w:rPr>
          <w:color w:val="5A5A5A"/>
          <w:sz w:val="18"/>
          <w:szCs w:val="18"/>
          <w:rFonts w:ascii="Georgia" w:cs="Georgia" w:eastAsia="Georgia" w:hAnsi="Georgia"/>
        </w:rPr>
        <w:t xml:space="preserve">Herzl, T. (1960). The Satmar Hasidic dynasty, founded by Rabbi Yoel Teitelbaum from its New York headquarters, maintains absolute theological resistance to Zionism and Israeli statehood through doctrinal readings anchored in the Three Oaths. The Satmar community numbers in the tens of thousands. Rabbi Teitelbaum's Vayoel Moshe (1959) articulates this anti-Zionist stance through what represents the most exhaustive contemporary Orthodox theological refutation of Zionism rooted in Talmudic jurisprudence. The interval spans fifty years and nine months. https://archive.org/details/TheCompleteDiariesOfTheodorHerzl_201606</w:t>
      </w:r>
    </w:p>
    <w:p>
      <w:pPr>
        <w:spacing w:before="0" w:after="120"/>
        <w:ind w:left="720" w:hanging="720"/>
      </w:pPr>
      <w:r>
        <w:rPr>
          <w:color w:val="5A5A5A"/>
          <w:sz w:val="18"/>
          <w:szCs w:val="18"/>
          <w:rFonts w:ascii="Georgia" w:cs="Georgia" w:eastAsia="Georgia" w:hAnsi="Georgia"/>
        </w:rPr>
        <w:t xml:space="preserve">Jewish Virtual Library. (n.d.). It was produced by British strategic calculation during the First World War. American-Israeli Cooperative Enterprise. https://jewishvirtuallibrary.org/first-zionist-congress-and-basel-program-1897</w:t>
      </w:r>
    </w:p>
    <w:p>
      <w:pPr>
        <w:spacing w:before="0" w:after="120"/>
        <w:ind w:left="720" w:hanging="720"/>
      </w:pPr>
      <w:r>
        <w:rPr>
          <w:color w:val="5A5A5A"/>
          <w:sz w:val="18"/>
          <w:szCs w:val="18"/>
          <w:rFonts w:ascii="Georgia" w:cs="Georgia" w:eastAsia="Georgia" w:hAnsi="Georgia"/>
        </w:rPr>
        <w:t xml:space="preserve">Posen Library of Jewish Culture and Civilization. (n.d.). Protest against Zionism [Translation of Protestrabbiner declaration, July 9, 1897]. https://www.posenlibrary.com/entry/protest-against-zionism</w:t>
      </w:r>
    </w:p>
    <w:p>
      <w:pPr>
        <w:spacing w:before="0" w:after="120"/>
        <w:ind w:left="720" w:hanging="720"/>
      </w:pPr>
      <w:r>
        <w:rPr>
          <w:color w:val="5A5A5A"/>
          <w:sz w:val="18"/>
          <w:szCs w:val="18"/>
          <w:rFonts w:ascii="Georgia" w:cs="Georgia" w:eastAsia="Georgia" w:hAnsi="Georgia"/>
        </w:rPr>
        <w:t xml:space="preserve">Troy, G. (Ed.). (2022). They capture how British officials read the political terrain in 1917. They reveal profound misjudgments regarding Jewish political influence's actual scope and character within both the United States and Russia.</w:t>
      </w:r>
    </w:p>
    <w:p>
      <w:pPr>
        <w:spacing w:before="0" w:after="120"/>
        <w:ind w:left="720" w:hanging="720"/>
      </w:pPr>
      <w:r>
        <w:rPr>
          <w:color w:val="5A5A5A"/>
          <w:sz w:val="18"/>
          <w:szCs w:val="18"/>
          <w:rFonts w:ascii="Georgia" w:cs="Georgia" w:eastAsia="Georgia" w:hAnsi="Georgia"/>
        </w:rPr>
        <w:t xml:space="preserve">Wikipedia. (2024). First Zionist Congress. https://en.wikipedia.org/wiki/First_Zionist_Congress</w:t>
      </w:r>
    </w:p>
    <w:p>
      <w:pPr>
        <w:spacing w:before="0" w:after="120"/>
        <w:ind w:left="720" w:hanging="720"/>
      </w:pPr>
      <w:r>
        <w:rPr>
          <w:color w:val="5A5A5A"/>
          <w:sz w:val="18"/>
          <w:szCs w:val="18"/>
          <w:rFonts w:ascii="Georgia" w:cs="Georgia" w:eastAsia="Georgia" w:hAnsi="Georgia"/>
        </w:rPr>
        <w:t xml:space="preserve">Wikipedia. (2024). Timeline of anti-Zionism. https://en.wikipedia.org/wiki/Timeline_of_anti-Zionism</w:t>
      </w:r>
    </w:p>
    <w:p>
      <w:r>
        <w:br w:type="page"/>
      </w:r>
    </w:p>
    <w:p>
      <w:pPr>
        <w:spacing w:before="0" w:after="80"/>
      </w:pPr>
      <w:r>
        <w:rPr>
          <w:b/>
          <w:bCs/>
          <w:color w:val="C9A227"/>
          <w:sz w:val="20"/>
          <w:szCs w:val="20"/>
          <w:caps/>
          <w:rFonts w:ascii="Georgia" w:cs="Georgia" w:eastAsia="Georgia" w:hAnsi="Georgia"/>
          <w:spacing w:val="160"/>
        </w:rPr>
        <w:t xml:space="preserve">CHAPTER 3</w:t>
      </w:r>
    </w:p>
    <w:p>
      <w:pPr>
        <w:pStyle w:val="Heading1"/>
        <w:spacing w:before="0" w:after="200"/>
      </w:pPr>
      <w:r>
        <w:rPr>
          <w:b/>
          <w:bCs/>
          <w:color w:val="1A1A1A"/>
          <w:sz w:val="36"/>
          <w:szCs w:val="36"/>
          <w:rFonts w:ascii="Georgia" w:cs="Georgia" w:eastAsia="Georgia" w:hAnsi="Georgia"/>
        </w:rPr>
        <w:t xml:space="preserve">Jewish Anti-Zionism: The Internal Record</w:t>
      </w:r>
    </w:p>
    <w:p>
      <w:pPr>
        <w:spacing w:before="0" w:after="200"/>
        <w:ind w:firstLine="360"/>
      </w:pPr>
      <w:r>
        <w:rPr>
          <w:color w:val="1A1A1A"/>
          <w:sz w:val="22"/>
          <w:szCs w:val="22"/>
          <w:rFonts w:ascii="Georgia" w:cs="Georgia" w:eastAsia="Georgia" w:hAnsi="Georgia"/>
        </w:rPr>
        <w:t xml:space="preserve">The opposition to Zionism within Judaism did not begin after 1948. The Sykes-Picot Agreement constitutes an indispensable primary source for comprehending the geopolitical backdrop against which the Balfour Declaration emerged. 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foreground. The Balfour Declaration referred to the existing non-Jewish communities in Palestine without naming them, quantifying them, or characterizing their relationship to the land. The demographic record of Palestine in 1917 is a primary source that the declaration's language implicitly erased.</w:t>
      </w:r>
    </w:p>
    <w:p>
      <w:pPr>
        <w:spacing w:before="0" w:after="200"/>
        <w:ind w:firstLine="360"/>
      </w:pPr>
      <w:r>
        <w:rPr>
          <w:color w:val="1A1A1A"/>
          <w:sz w:val="22"/>
          <w:szCs w:val="22"/>
          <w:rFonts w:ascii="Georgia" w:cs="Georgia" w:eastAsia="Georgia" w:hAnsi="Georgia"/>
        </w:rPr>
        <w:t xml:space="preserve">The Ottoman census of 1914, the most recent census conducted before the Balfour Declaration, documented the population of Palestine as follows. The Muslim population was approximately 525,000. The Christian population was approximately 70,000. The Jewish population was approximately 94,000. The total population was approximately 689,000.</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3.1: 1897 TO 1917. THE FOUNDING OPPOSITION.</w:t>
      </w:r>
    </w:p>
    <w:p>
      <w:pPr>
        <w:spacing w:before="0" w:after="200"/>
        <w:ind w:firstLine="360"/>
      </w:pPr>
      <w:r>
        <w:rPr>
          <w:color w:val="1A1A1A"/>
          <w:sz w:val="22"/>
          <w:szCs w:val="22"/>
          <w:rFonts w:ascii="Georgia" w:cs="Georgia" w:eastAsia="Georgia" w:hAnsi="Georgia"/>
        </w:rPr>
        <w:t xml:space="preserve">The Jewish population represented approximately 13.6 percent of the total. The British Mandate census of 1922, the first census conducted after Britain assumed control of Palestine under the League of Nations Mandate, documented the following. The Muslim population was 589,177.</w:t>
      </w:r>
    </w:p>
    <w:p>
      <w:pPr>
        <w:spacing w:before="0" w:after="200"/>
        <w:ind w:firstLine="360"/>
      </w:pPr>
      <w:r>
        <w:rPr>
          <w:color w:val="1A1A1A"/>
          <w:sz w:val="22"/>
          <w:szCs w:val="22"/>
          <w:rFonts w:ascii="Georgia" w:cs="Georgia" w:eastAsia="Georgia" w:hAnsi="Georgia"/>
        </w:rPr>
        <w:t xml:space="preserve">The Christian population was 73,024.</w:t>
      </w:r>
    </w:p>
    <w:p>
      <w:pPr>
        <w:spacing w:before="0" w:after="200"/>
        <w:ind w:firstLine="360"/>
      </w:pPr>
      <w:r>
        <w:rPr>
          <w:color w:val="1A1A1A"/>
          <w:sz w:val="22"/>
          <w:szCs w:val="22"/>
          <w:rFonts w:ascii="Georgia" w:cs="Georgia" w:eastAsia="Georgia" w:hAnsi="Georgia"/>
        </w:rPr>
        <w:t xml:space="preserve">The Jewish population was 83,790. The total population was 752,048.</w:t>
      </w:r>
    </w:p>
    <w:p>
      <w:pPr>
        <w:spacing w:before="0" w:after="200"/>
        <w:ind w:firstLine="360"/>
      </w:pPr>
      <w:r>
        <w:rPr>
          <w:color w:val="1A1A1A"/>
          <w:sz w:val="22"/>
          <w:szCs w:val="22"/>
          <w:rFonts w:ascii="Georgia" w:cs="Georgia" w:eastAsia="Georgia" w:hAnsi="Georgia"/>
        </w:rPr>
        <w:t xml:space="preserve">The Jewish population represented approximately 11.1 percent of the total. The decline in the Jewish percentage between 1914 and 1922 reflects the disruption of World War One and the emigration of some Jewish residents during the war period. These census figures are primary source documents. They establish that Palestine in 1917 was not an empty territory available for settlement. It was a populated territory with an existing majority population. The Balfour Declaration referred to that majority population as existing non-Jewish communities.</w:t>
      </w:r>
    </w:p>
    <w:p>
      <w:pPr>
        <w:spacing w:before="0" w:after="200"/>
        <w:ind w:firstLine="360"/>
      </w:pPr>
      <w:r>
        <w:rPr>
          <w:color w:val="1A1A1A"/>
          <w:sz w:val="22"/>
          <w:szCs w:val="22"/>
          <w:rFonts w:ascii="Georgia" w:cs="Georgia" w:eastAsia="Georgia" w:hAnsi="Georgia"/>
        </w:rPr>
        <w:t xml:space="preserve">The census documents that those communities represented approximately 86 percent of Palestine's total population at the time the declaration was written. 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ClownBinge reports the math. Arab reactions to the Balfour Declaration demand scrutiny via primary documentation, principally the Husayn-McMahon Correspondence: diplomatic communications between Mecca's Sharif Hussein bin Ali and British High Commissioner Sir Henry McMahon in Egypt spanning July 1915 to March 1916.</w:t>
      </w:r>
    </w:p>
    <w:p>
      <w:pPr>
        <w:spacing w:before="0" w:after="200"/>
        <w:ind w:firstLine="360"/>
      </w:pPr>
      <w:r>
        <w:rPr>
          <w:color w:val="1A1A1A"/>
          <w:sz w:val="22"/>
          <w:szCs w:val="22"/>
          <w:rFonts w:ascii="Georgia" w:cs="Georgia" w:eastAsia="Georgia" w:hAnsi="Georgia"/>
        </w:rPr>
        <w:t xml:space="preserve">British correspondence promised Arab independence in exchange for the Arab Revolt against Ottoman forces during the First World War. Sharif Hussein interpreted this correspondence as Britain's commitment to Arab sovereignty across extensive Ottoman Arab territories, which Arabs understood to encompass Palestine. The British National Archives houses the Husayn-McMahon Correspondence. The document's interpretation has generated controversy since its inception, with British officials subsequently arguing that Palestine lay beyond the geographical boundaries of the correspondence. The Arab parties to the correspondence disputed that interpretation.</w:t>
      </w:r>
    </w:p>
    <w:p>
      <w:pPr>
        <w:spacing w:before="0" w:after="200"/>
        <w:ind w:firstLine="360"/>
      </w:pPr>
      <w:r>
        <w:rPr>
          <w:color w:val="1A1A1A"/>
          <w:sz w:val="22"/>
          <w:szCs w:val="22"/>
          <w:rFonts w:ascii="Georgia" w:cs="Georgia" w:eastAsia="Georgia" w:hAnsi="Georgia"/>
        </w:rPr>
        <w:t xml:space="preserve">The text of the correspondence itself is ambiguous on the question of Palestine's inclusion. What is not ambiguous is the following primary source fact. Britain committed itself to both the Zionist Federation via the Balfour Declaration and Arab leadership through the Husayn-McMahon Correspondence concerning overlapping territorial futures.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3.2: THE THREE OATHS. THE TALMUDIC FOUNDATION OF ANTI-ZIONISM.</w:t>
      </w:r>
    </w:p>
    <w:p>
      <w:pPr>
        <w:spacing w:before="0" w:after="200"/>
        <w:ind w:firstLine="360"/>
      </w:pPr>
      <w:r>
        <w:rPr>
          <w:color w:val="1A1A1A"/>
          <w:sz w:val="22"/>
          <w:szCs w:val="22"/>
          <w:rFonts w:ascii="Georgia" w:cs="Georgia" w:eastAsia="Georgia" w:hAnsi="Georgia"/>
        </w:rPr>
        <w:t xml:space="preserve">The Sykes-Picot Agreement, made simultaneously with both sets of commitments, divided those same territories between Britain and France without reference to either party's understanding of what had been promised. Britain made three sets of commitments regarding the same territory to three different parties between 1915 and 1917. The primary source record of those commitments is held at the British National Archives.</w:t>
      </w:r>
    </w:p>
    <w:p>
      <w:pPr>
        <w:spacing w:before="0" w:after="200"/>
        <w:ind w:firstLine="360"/>
      </w:pPr>
      <w:r>
        <w:rPr>
          <w:color w:val="1A1A1A"/>
          <w:sz w:val="22"/>
          <w:szCs w:val="22"/>
          <w:rFonts w:ascii="Georgia" w:cs="Georgia" w:eastAsia="Georgia" w:hAnsi="Georgia"/>
        </w:rPr>
        <w:t xml:space="preserve">The contradictions between them are not a matter of interpretation. They are a matter of documentary record. Arab political leadership articulated the documented position that the Balfour Declaration constituted a violation of Britain's commitments within the Husayn-McMahon Correspondence.</w:t>
      </w:r>
    </w:p>
    <w:p>
      <w:pPr>
        <w:spacing w:before="0" w:after="200"/>
        <w:ind w:firstLine="360"/>
      </w:pPr>
      <w:r>
        <w:rPr>
          <w:color w:val="1A1A1A"/>
          <w:sz w:val="22"/>
          <w:szCs w:val="22"/>
          <w:rFonts w:ascii="Georgia" w:cs="Georgia" w:eastAsia="Georgia" w:hAnsi="Georgia"/>
        </w:rPr>
        <w:t xml:space="preserve">The diplomatic record of the 1919 Paris Peace Conference documents this position, with Faysal ibn Husayn advancing the Arab case before Allied powers as representative of the Arab Kingdom of the Hejaz. His testimony is in the conference record. Palestine was Ottoman territory in 1917. The Balfour Declaration was issued by a government that did not control Palestine at the time of its issuance.</w:t>
      </w:r>
    </w:p>
    <w:p>
      <w:pPr>
        <w:spacing w:before="0" w:after="200"/>
        <w:ind w:firstLine="360"/>
      </w:pPr>
      <w:r>
        <w:rPr>
          <w:color w:val="1A1A1A"/>
          <w:sz w:val="22"/>
          <w:szCs w:val="22"/>
          <w:rFonts w:ascii="Georgia" w:cs="Georgia" w:eastAsia="Georgia" w:hAnsi="Georgia"/>
        </w:rPr>
        <w:t xml:space="preserve">Britain was at war with the Ottoman Empire. British forces were advancing through Palestine during the period of the declaration's production. Jerusalem fell to British forces on December 9, 1917, five weeks after the declaration was published. The Ottoman government's response to the Balfour Declaration is documented in the diplomatic record of the period.</w:t>
      </w:r>
    </w:p>
    <w:p>
      <w:pPr>
        <w:spacing w:before="0" w:after="200"/>
        <w:ind w:firstLine="360"/>
      </w:pPr>
      <w:r>
        <w:rPr>
          <w:color w:val="1A1A1A"/>
          <w:sz w:val="22"/>
          <w:szCs w:val="22"/>
          <w:rFonts w:ascii="Georgia" w:cs="Georgia" w:eastAsia="Georgia" w:hAnsi="Georgia"/>
        </w:rPr>
        <w:t xml:space="preserve">The Ottoman position was that Britain had no authority to make declarations regarding the future of Ottoman territory and that the declaration was a violation of the established principles of international law as they existed in 1917. The Ottoman Empire had governed Palestine continuously since 1517. The Ottoman land registry system, discussed in Chapter 5, documented Palestinian land ownership across four centuries of Ottoman administration.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3.3: NETUREI KARTA. THE DOCUMENTED RECORD.</w:t>
      </w:r>
    </w:p>
    <w:p>
      <w:pPr>
        <w:spacing w:before="0" w:after="200"/>
        <w:ind w:firstLine="360"/>
      </w:pPr>
      <w:r>
        <w:rPr>
          <w:color w:val="1A1A1A"/>
          <w:sz w:val="22"/>
          <w:szCs w:val="22"/>
          <w:rFonts w:ascii="Georgia" w:cs="Georgia" w:eastAsia="Georgia" w:hAnsi="Georgia"/>
        </w:rPr>
        <w:t xml:space="preserve">The declaration made no reference to the existing Ottoman administrative and legal framework governing land ownership and residency in Palestine. It made no reference to the rights of the existing landowners documented in the Ottoman registry. It referred only to the civil and religious rights of existing non-Jewish communities, not to their property rights or their political rights.</w:t>
      </w:r>
    </w:p>
    <w:p>
      <w:pPr>
        <w:spacing w:before="0" w:after="200"/>
        <w:ind w:firstLine="360"/>
      </w:pPr>
      <w:r>
        <w:rPr>
          <w:color w:val="1A1A1A"/>
          <w:sz w:val="22"/>
          <w:szCs w:val="22"/>
          <w:rFonts w:ascii="Georgia" w:cs="Georgia" w:eastAsia="Georgia" w:hAnsi="Georgia"/>
        </w:rPr>
        <w:t xml:space="preserve">The Ottoman response is a primary source document of the declaration's reception by the sovereign authority of the territory it addressed. That authority's position is in the diplomatic record.</w:t>
      </w:r>
    </w:p>
    <w:p>
      <w:pPr>
        <w:spacing w:before="0" w:after="200"/>
        <w:ind w:firstLine="360"/>
      </w:pPr>
      <w:r>
        <w:rPr>
          <w:color w:val="1A1A1A"/>
          <w:sz w:val="22"/>
          <w:szCs w:val="22"/>
          <w:rFonts w:ascii="Georgia" w:cs="Georgia" w:eastAsia="Georgia" w:hAnsi="Georgia"/>
        </w:rPr>
        <w:t xml:space="preserve">The catalog in this chapter would be incomplete without documentation of Israeli Jewish voices that have maintained documented critical positions on Zionism and Israeli state policy from within Israel itself. Benny Morris (b. 1948). Benny Morris stands among Israel's leading revisionist historians examining the 1948 war.</w:t>
      </w:r>
    </w:p>
    <w:p>
      <w:pPr>
        <w:spacing w:before="0" w:after="200"/>
        <w:ind w:firstLine="360"/>
      </w:pPr>
      <w:r>
        <w:rPr>
          <w:color w:val="1A1A1A"/>
          <w:sz w:val="22"/>
          <w:szCs w:val="22"/>
          <w:rFonts w:ascii="Georgia" w:cs="Georgia" w:eastAsia="Georgia" w:hAnsi="Georgia"/>
        </w:rPr>
        <w:t xml:space="preserve">Morris's seminal The Birth of the Palestinian Refugee Problem, initially published in 1987 and subsequently revised in 2004, utilized newly accessible Israeli military archives to chronicle Palestinian displacement throughout the 1948 war. His research uncovered through Israeli government documents that Palestinian displacement involved both forced expulsion by Israeli military forces and voluntary departures, contradicting assertions of purely voluntary movement. Morris's personal political position has evolved across his career in directions that have surprised many of his scholarly admirers. His scholarly contribution to the primary source record of 1948 is independent of his personal political evolution. Morris's Birth of the Palestinian Refugee Problem represents secondary analysis grounded in primary documentation drawn from Israeli military archives. This constitutes the most exhaustively documented academic examination of the 1948 displacement accessible in English. Ilan Pappé (b. 1954).</w:t>
      </w:r>
    </w:p>
    <w:p>
      <w:pPr>
        <w:spacing w:before="0" w:after="200"/>
        <w:ind w:firstLine="360"/>
      </w:pPr>
      <w:r>
        <w:rPr>
          <w:color w:val="1A1A1A"/>
          <w:sz w:val="22"/>
          <w:szCs w:val="22"/>
          <w:rFonts w:ascii="Georgia" w:cs="Georgia" w:eastAsia="Georgia" w:hAnsi="Georgia"/>
        </w:rPr>
        <w:t xml:space="preserve">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 It is a primary source document of Israeli Jewish scholarly dissent from the dominant Israeli narrative of 1948.</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3.4: THE AMERICAN COUNCIL FOR JUDAISM. THE DOCUMENTED RECORD.</w:t>
      </w:r>
    </w:p>
    <w:p>
      <w:pPr>
        <w:spacing w:before="0" w:after="200"/>
        <w:ind w:firstLine="360"/>
      </w:pPr>
      <w:r>
        <w:rPr>
          <w:color w:val="1A1A1A"/>
          <w:sz w:val="22"/>
          <w:szCs w:val="22"/>
          <w:rFonts w:ascii="Georgia" w:cs="Georgia" w:eastAsia="Georgia" w:hAnsi="Georgia"/>
        </w:rPr>
        <w:t xml:space="preserve">Pappé's position within Israeli academic life was the subject of documented institutional pressure following the publication of his scholarly work. He documented harassment and threats connected to his scholarship in public statements. The documented institutional response to his scholarship provides primary source evidence of consequences facing Israeli Jewish scholars who challenge dominant 1948 narratives.</w:t>
      </w:r>
    </w:p>
    <w:p>
      <w:pPr>
        <w:spacing w:before="0" w:after="200"/>
        <w:ind w:firstLine="360"/>
      </w:pPr>
      <w:r>
        <w:rPr>
          <w:color w:val="1A1A1A"/>
          <w:sz w:val="22"/>
          <w:szCs w:val="22"/>
          <w:rFonts w:ascii="Georgia" w:cs="Georgia" w:eastAsia="Georgia" w:hAnsi="Georgia"/>
        </w:rPr>
        <w:t xml:space="preserve">Gideon Levy (b. 1953). Gideon Levy works as journalist and columnist for Haaretz, Israel's premier daily newspaper. His reporting from the occupied Palestinian territories spans over three decades. His journalistic work provides primary source documentation of territorial conditions under occupation, recorded by an Israeli Jewish correspondent employed within mainstream Israeli media.</w:t>
      </w:r>
    </w:p>
    <w:p>
      <w:pPr>
        <w:spacing w:before="0" w:after="200"/>
        <w:ind w:firstLine="360"/>
      </w:pPr>
      <w:r>
        <w:rPr>
          <w:color w:val="1A1A1A"/>
          <w:sz w:val="22"/>
          <w:szCs w:val="22"/>
          <w:rFonts w:ascii="Georgia" w:cs="Georgia" w:eastAsia="Georgia" w:hAnsi="Georgia"/>
        </w:rPr>
        <w:t xml:space="preserve">His collected columns, published in English as The Punishment of Gaza in 2010, constitute primary source documentation of Israeli Jewish journalistic resistance to occupation policies. Haaretz stands as Israel's oldest daily newspaper and ranks among the nation's most esteemed journalistic institutions. Levy's work appears in that publication continuously.</w:t>
      </w:r>
    </w:p>
    <w:p>
      <w:pPr>
        <w:spacing w:before="0" w:after="200"/>
        <w:ind w:firstLine="360"/>
      </w:pPr>
      <w:r>
        <w:rPr>
          <w:color w:val="1A1A1A"/>
          <w:sz w:val="22"/>
          <w:szCs w:val="22"/>
          <w:rFonts w:ascii="Georgia" w:cs="Georgia" w:eastAsia="Georgia" w:hAnsi="Georgia"/>
        </w:rPr>
        <w:t xml:space="preserve">B'Tselem. B'Tselem emerged in 1989 as Israel's Information Center for Human Rights in the Occupied Territories via collaborative efforts among Israeli academics, attorneys, journalists, and Knesset members.</w:t>
      </w:r>
    </w:p>
    <w:p>
      <w:pPr>
        <w:spacing w:before="0" w:after="200"/>
        <w:ind w:firstLine="360"/>
      </w:pPr>
      <w:r>
        <w:rPr>
          <w:color w:val="1A1A1A"/>
          <w:sz w:val="22"/>
          <w:szCs w:val="22"/>
          <w:rFonts w:ascii="Georgia" w:cs="Georgia" w:eastAsia="Georgia" w:hAnsi="Georgia"/>
        </w:rPr>
        <w:t xml:space="preserve">This Israeli human rights organization compiles extensive records documenting Israeli military and state activities across the occupied Palestinian territories. B'Tselem's published reports constitute primary source documentation regarding Israeli government conduct in the occupied territories. B'Tselem released their report A Regime of Jewish Supremacy from the Jordan River to the Mediterranean Sea: This Is Apartheid in January 2021.</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3.5: THE REFORM MOVEMENT'S ANTI-ZIONIST FOUNDING POSITION.</w:t>
      </w:r>
    </w:p>
    <w:p>
      <w:pPr>
        <w:spacing w:before="0" w:after="200"/>
        <w:ind w:firstLine="360"/>
      </w:pPr>
      <w:r>
        <w:rPr>
          <w:color w:val="1A1A1A"/>
          <w:sz w:val="22"/>
          <w:szCs w:val="22"/>
          <w:rFonts w:ascii="Georgia" w:cs="Georgia" w:eastAsia="Georgia" w:hAnsi="Georgia"/>
        </w:rPr>
        <w:t xml:space="preserve">The report records how one Israeli Jewish human rights organization characterizes Israeli governance across territories under Israeli control as apartheid. B'Tselem hosts the report on btselem.org. Breaking the Silence.</w:t>
      </w:r>
    </w:p>
    <w:p>
      <w:pPr>
        <w:spacing w:before="0" w:after="200"/>
        <w:ind w:firstLine="360"/>
      </w:pPr>
      <w:r>
        <w:rPr>
          <w:color w:val="1A1A1A"/>
          <w:sz w:val="22"/>
          <w:szCs w:val="22"/>
          <w:rFonts w:ascii="Georgia" w:cs="Georgia" w:eastAsia="Georgia" w:hAnsi="Georgia"/>
        </w:rPr>
        <w:t xml:space="preserve">The Pittsburgh Platform states, in its third plank: "We recognize in the Mosaic legislation a system of training the Jewish people for its mission during its national life in Palestine, and today we accept as binding only its moral laws and maintain only such ceremonies as elevate and sanctify our lives, but reject all such as are not adapted to the views and habits of modern civilization."</w:t>
      </w:r>
    </w:p>
    <w:p>
      <w:pPr>
        <w:spacing w:before="0" w:after="200"/>
        <w:ind w:firstLine="360"/>
      </w:pPr>
      <w:r>
        <w:rPr>
          <w:color w:val="1A1A1A"/>
          <w:sz w:val="22"/>
          <w:szCs w:val="22"/>
          <w:rFonts w:ascii="Georgia" w:cs="Georgia" w:eastAsia="Georgia" w:hAnsi="Georgia"/>
        </w:rPr>
        <w:t xml:space="preserve">The fourth plank states: "We hold that all such Mosaic and rabbinical laws as regulate diet, priestly purity, and dress originated in ages and under the influence of ideas entirely foreign to our present mental and spiritual state. They fail to impress the modern Jew with a spirit of priestly holiness; their observance in our days is apt rather to obstruct than to further modern spiritual elevation."</w:t>
      </w:r>
    </w:p>
    <w:p>
      <w:pPr>
        <w:spacing w:before="0" w:after="200"/>
        <w:ind w:firstLine="360"/>
      </w:pPr>
      <w:r>
        <w:rPr>
          <w:color w:val="1A1A1A"/>
          <w:sz w:val="22"/>
          <w:szCs w:val="22"/>
          <w:rFonts w:ascii="Georgia" w:cs="Georgia" w:eastAsia="Georgia" w:hAnsi="Georgia"/>
        </w:rPr>
        <w:t xml:space="preserve">The fifth plank is the most relevant to the question of Zionism: "We recognize in the modern era of universal culture of heart and intellect the approaching of the realization of Israel's great Messianic hope for the establishment of the kingdom of truth, justice, and peace among all men. We consider ourselves no longer a nation but a religious community and therefore expect neither a return to Palestine, nor a sacrificial worship under the sons of Aaron, nor the restoration of any of the laws concerning the Jewish state."</w:t>
      </w:r>
    </w:p>
    <w:p>
      <w:pPr>
        <w:spacing w:before="0" w:after="200"/>
        <w:ind w:firstLine="360"/>
      </w:pPr>
      <w:r>
        <w:rPr>
          <w:color w:val="1A1A1A"/>
          <w:sz w:val="22"/>
          <w:szCs w:val="22"/>
          <w:rFonts w:ascii="Georgia" w:cs="Georgia" w:eastAsia="Georgia" w:hAnsi="Georgia"/>
        </w:rPr>
        <w:t xml:space="preserve">That sentence is the official position of American Reform Judaism in 1885, twelve years before the First Zionist Congress. They are collected accounts of Israeli Jewish soldiers, in their own words, describing actions they witnessed or participated in during military service. The organization's archive is publicly accessible through its website at breakingthesilence.org.il. Breaking the Silence's published testimony collections constitute the most extensive primary source archive of Israeli military conduct in the occupied territories available in English.</w:t>
      </w:r>
    </w:p>
    <w:p>
      <w:pPr>
        <w:spacing w:before="0" w:after="200"/>
        <w:ind w:firstLine="360"/>
      </w:pPr>
      <w:r>
        <w:rPr>
          <w:color w:val="1A1A1A"/>
          <w:sz w:val="22"/>
          <w:szCs w:val="22"/>
          <w:rFonts w:ascii="Georgia" w:cs="Georgia" w:eastAsia="Georgia" w:hAnsi="Georgia"/>
        </w:rPr>
        <w:t xml:space="preserve">The Pittsburgh Platform remained the official position of the Reform movement until the Columbus Platform of 1937, which introduced a more favorable orientation toward Jewish settlement in Palestine, though still without endorsing Zionist statehood. The shift in the Reform movement's position on Palestine between 1885 and 1937 is itself a documented institutional history that reflects the changing political context of Jewish life in Europe and America during that period. It is not a theological evolution. It is a political response to documented historical circumstances, specifically the rise of European antisemitism and the Holocaust.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3.6: AGUDAT ISRAEL. THE ORTHODOX INSTITUTIONAL RECORD.</w:t>
      </w:r>
    </w:p>
    <w:p>
      <w:pPr>
        <w:spacing w:before="0" w:after="200"/>
        <w:ind w:firstLine="360"/>
      </w:pPr>
      <w:r>
        <w:rPr>
          <w:color w:val="1A1A1A"/>
          <w:sz w:val="22"/>
          <w:szCs w:val="22"/>
          <w:rFonts w:ascii="Georgia" w:cs="Georgia" w:eastAsia="Georgia" w:hAnsi="Georgia"/>
        </w:rPr>
        <w:t xml:space="preserve">Agudat Israel was founded in Katowice in May 1912, attended by approximately 200 Orthodox rabbis from Germany and Eastern Europe. Its founding ideology was developed by Nathan Birnbaum, who had himself been an early Zionist and coined the term Zionism before breaking with the movement on religious grounds.</w:t>
      </w:r>
    </w:p>
    <w:p>
      <w:pPr>
        <w:spacing w:before="0" w:after="200"/>
        <w:ind w:firstLine="360"/>
      </w:pPr>
      <w:r>
        <w:rPr>
          <w:color w:val="1A1A1A"/>
          <w:sz w:val="22"/>
          <w:szCs w:val="22"/>
          <w:rFonts w:ascii="Georgia" w:cs="Georgia" w:eastAsia="Georgia" w:hAnsi="Georgia"/>
        </w:rPr>
        <w:t xml:space="preserve">Agudat Israel represents the first organized Orthodox institutional opposition to Zionism and to the establishment of a Jewish state through human political action. Its founding theology held that the Jewish people's return to the Land of Israel could only occur through divine intervention at the messianic time and that any human political attempt to create a Jewish state was not only premature but theologically forbidden under the Three Oaths.</w:t>
      </w:r>
    </w:p>
    <w:p>
      <w:pPr>
        <w:spacing w:before="0" w:after="200"/>
        <w:ind w:firstLine="360"/>
      </w:pPr>
      <w:r>
        <w:rPr>
          <w:color w:val="1A1A1A"/>
          <w:sz w:val="22"/>
          <w:szCs w:val="22"/>
          <w:rFonts w:ascii="Georgia" w:cs="Georgia" w:eastAsia="Georgia" w:hAnsi="Georgia"/>
        </w:rPr>
        <w:t xml:space="preserve">The organization's founding is documented in its own institutional history and in the academic literature on Orthodox Judaism and Zionism. At its peak in the interwar period, Agudat Israel represented hundreds of thousands of Orthodox Jews across Europe and was one of the most significant Orthodox political organizations in the world.</w:t>
      </w:r>
    </w:p>
    <w:p>
      <w:pPr>
        <w:spacing w:before="0" w:after="200"/>
        <w:ind w:firstLine="360"/>
      </w:pPr>
      <w:r>
        <w:rPr>
          <w:color w:val="1A1A1A"/>
          <w:sz w:val="22"/>
          <w:szCs w:val="22"/>
          <w:rFonts w:ascii="Georgia" w:cs="Georgia" w:eastAsia="Georgia" w:hAnsi="Georgia"/>
        </w:rPr>
        <w:t xml:space="preserve">Agudat Israel's relationship to Zionism and to the State of Israel has evolved across the decades since 1948, with significant internal divisions between those who maintain categorical opposition to the state and those who have adopted a pragmatic engagement with Israeli political institutions while maintaining theological reservations about Zionist ideology. These divisions are documented in the organization's own publications and in the academic literature.</w:t>
      </w:r>
    </w:p>
    <w:p>
      <w:pPr>
        <w:spacing w:before="0" w:after="200"/>
        <w:ind w:firstLine="360"/>
      </w:pPr>
      <w:r>
        <w:rPr>
          <w:color w:val="1A1A1A"/>
          <w:sz w:val="22"/>
          <w:szCs w:val="22"/>
          <w:rFonts w:ascii="Georgia" w:cs="Georgia" w:eastAsia="Georgia" w:hAnsi="Georgia"/>
        </w:rPr>
        <w:t xml:space="preserve">What is not disputed in the primary sources is the fact that Agudat Israel was founded in 1912 as an Orthodox institutional alternative to Zionism, that its founding theology was explicitly anti-Zionist on religious grounds, and that it represented a significant proportion of world Orthodox Jewry in the decades before the Holocaust.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3.7: THE HOLOCAUST, 1948, AND THE INSTITUTIONAL SHIFT.</w:t>
      </w:r>
    </w:p>
    <w:p>
      <w:pPr>
        <w:spacing w:before="0" w:after="200"/>
        <w:ind w:firstLine="360"/>
      </w:pPr>
      <w:r>
        <w:rPr>
          <w:color w:val="1A1A1A"/>
          <w:sz w:val="22"/>
          <w:szCs w:val="22"/>
          <w:rFonts w:ascii="Georgia" w:cs="Georgia" w:eastAsia="Georgia" w:hAnsi="Georgia"/>
        </w:rPr>
        <w:t xml:space="preserve">The Holocaust transformed the political context of Jewish anti-Zionism in ways that require honest forensic documentation.</w:t>
      </w:r>
    </w:p>
    <w:p>
      <w:pPr>
        <w:spacing w:before="0" w:after="200"/>
        <w:ind w:firstLine="360"/>
      </w:pPr>
      <w:r>
        <w:rPr>
          <w:color w:val="1A1A1A"/>
          <w:sz w:val="22"/>
          <w:szCs w:val="22"/>
          <w:rFonts w:ascii="Georgia" w:cs="Georgia" w:eastAsia="Georgia" w:hAnsi="Georgia"/>
        </w:rPr>
        <w:t xml:space="preserve">Before the Holocaust, Jewish anti-Zionism was the documented majority position of Reform Judaism in America, the documented position of the leading Orthodox rabbinic authorities in Europe, and the documented position of significant Jewish labor and socialist organizations across Eastern Europe. The Zionist movement was a minority position within world Jewry in the period from 1897 to 1939.</w:t>
      </w:r>
    </w:p>
    <w:p>
      <w:pPr>
        <w:spacing w:before="0" w:after="200"/>
        <w:ind w:firstLine="360"/>
      </w:pPr>
      <w:r>
        <w:rPr>
          <w:color w:val="1A1A1A"/>
          <w:sz w:val="22"/>
          <w:szCs w:val="22"/>
          <w:rFonts w:ascii="Georgia" w:cs="Georgia" w:eastAsia="Georgia" w:hAnsi="Georgia"/>
        </w:rPr>
        <w:t xml:space="preserve">The systematic murder of six million Jewish people across Europe between 1941 and 1945 destroyed the demographic base of European Jewish anti-Zionism. The rabbis, scholars, labor organizers, and communal leaders who had maintained the anti-Zionist position across four decades were, in enormous numbers, killed. The communities they led were destroyed. The institutional infrastructure of European Jewish anti-Zionism was physically eliminated.</w:t>
      </w:r>
    </w:p>
    <w:p>
      <w:pPr>
        <w:spacing w:before="0" w:after="200"/>
        <w:ind w:firstLine="360"/>
      </w:pPr>
      <w:r>
        <w:rPr>
          <w:color w:val="1A1A1A"/>
          <w:sz w:val="22"/>
          <w:szCs w:val="22"/>
          <w:rFonts w:ascii="Georgia" w:cs="Georgia" w:eastAsia="Georgia" w:hAnsi="Georgia"/>
        </w:rPr>
        <w:t xml:space="preserve">The establishment of the State of Israel in 1948, in the immediate aftermath of the Holocaust, created a political and emotional context in which anti-Zionist positions became not merely unfashionable but, for many Jewish people, morally incomprehensible. The state was understood, by a majority of surviving Jews and by international sympathy, as the necessary refuge produced by the failure of European civilization to protect Jewish people from genocide.</w:t>
      </w:r>
    </w:p>
    <w:p>
      <w:pPr>
        <w:spacing w:before="0" w:after="200"/>
        <w:ind w:firstLine="360"/>
      </w:pPr>
      <w:r>
        <w:rPr>
          <w:color w:val="1A1A1A"/>
          <w:sz w:val="22"/>
          <w:szCs w:val="22"/>
          <w:rFonts w:ascii="Georgia" w:cs="Georgia" w:eastAsia="Georgia" w:hAnsi="Georgia"/>
        </w:rPr>
        <w:t xml:space="preserve">This chapter does not characterize that understanding. It documents it. The political shift is real. The emotional weight of the Holocaust in relation to the establishment of Israel is real. It is in the historical record.</w:t>
      </w:r>
    </w:p>
    <w:p>
      <w:pPr>
        <w:spacing w:before="0" w:after="200"/>
        <w:ind w:firstLine="360"/>
      </w:pPr>
      <w:r>
        <w:rPr>
          <w:color w:val="1A1A1A"/>
          <w:sz w:val="22"/>
          <w:szCs w:val="22"/>
          <w:rFonts w:ascii="Georgia" w:cs="Georgia" w:eastAsia="Georgia" w:hAnsi="Georgia"/>
        </w:rPr>
        <w:t xml:space="preserve">What is also in the historical record is the following. The destruction of the physical infrastructure of Jewish anti-Zionism in Europe did not destroy the theological arguments that produced it. Those arguments are in the Talmud. They are in the Pittsburgh Platform of 1885. They are in the Protestrabbiner declaration of 1897. They are in Güdemann's Nationaljudenthum of 1897. They are in the founding documents of Neturei Karta, the American Council for Judaism, and Agudat Israel. The Holocaust did not rewrite those documents. It destroyed the people who held them. That distinction is forensically significant.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3.8: CONTEMPORARY JEWISH ANTI-ZIONISM. THE DOCUMENTED RECORD.</w:t>
      </w:r>
    </w:p>
    <w:p>
      <w:pPr>
        <w:spacing w:before="0" w:after="200"/>
        <w:ind w:firstLine="360"/>
      </w:pPr>
      <w:r>
        <w:rPr>
          <w:color w:val="1A1A1A"/>
          <w:sz w:val="22"/>
          <w:szCs w:val="22"/>
          <w:rFonts w:ascii="Georgia" w:cs="Georgia" w:eastAsia="Georgia" w:hAnsi="Georgia"/>
        </w:rPr>
        <w:t xml:space="preserve">The contemporary record of Jewish anti-Zionist scholarship, religious ruling, and institutional opposition is extensive. What follows is a sourced catalog of documented positions, not an exhaustive inventory.</w:t>
      </w:r>
    </w:p>
    <w:p>
      <w:pPr>
        <w:spacing w:before="0" w:after="200"/>
        <w:ind w:firstLine="360"/>
      </w:pPr>
      <w:r>
        <w:rPr>
          <w:color w:val="1A1A1A"/>
          <w:sz w:val="22"/>
          <w:szCs w:val="22"/>
          <w:rFonts w:ascii="Georgia" w:cs="Georgia" w:eastAsia="Georgia" w:hAnsi="Georgia"/>
        </w:rPr>
        <w:t xml:space="preserve">Rabbi Elmer Berger served as executive director of the American Council for Judaism from 1943 to 1968. He published multiple works documenting his theological and political opposition to Zionism, including The Jewish Dilemma in 1945 and Judaism or Jewish Nationalism in 1957. Both are primary source documents of American Reform Jewish anti-Zionism in the mid-twentieth century.</w:t>
      </w:r>
    </w:p>
    <w:p>
      <w:pPr>
        <w:spacing w:before="0" w:after="200"/>
        <w:ind w:firstLine="360"/>
      </w:pPr>
      <w:r>
        <w:rPr>
          <w:color w:val="1A1A1A"/>
          <w:sz w:val="22"/>
          <w:szCs w:val="22"/>
          <w:rFonts w:ascii="Georgia" w:cs="Georgia" w:eastAsia="Georgia" w:hAnsi="Georgia"/>
        </w:rPr>
        <w:t xml:space="preserve">Noam Chomsky, a secular Jewish intellectual and professor emeritus at the Massachusetts Institute of Technology, has maintained a documented critical position on Zionism and Israeli state policy across five decades of published scholarship and public commentary. His positions are documented in dozens of published books and articles. Whatever one's assessment of his arguments, his existence as a prominent Jewish intellectual with documented anti-Zionist positions is a primary source fact about the range of Jewish intellectual opinion on these questions.</w:t>
      </w:r>
    </w:p>
    <w:p>
      <w:pPr>
        <w:spacing w:before="0" w:after="200"/>
        <w:ind w:firstLine="360"/>
      </w:pPr>
      <w:r>
        <w:rPr>
          <w:color w:val="1A1A1A"/>
          <w:sz w:val="22"/>
          <w:szCs w:val="22"/>
          <w:rFonts w:ascii="Georgia" w:cs="Georgia" w:eastAsia="Georgia" w:hAnsi="Georgia"/>
        </w:rPr>
        <w:t xml:space="preserve">Judith Butler, a philosopher and professor at the University of California Berkeley, published Parting Ways: Jewishness and the Critique of Zionism in 2012 through Columbia University Press. The book engages with the Jewish philosophical tradition, including the work of Hannah Arendt, Emmanuel Levinas, and Walter Benjamin, to argue that the ethical resources of Jewish thought provide grounds for a critique of Zionism. It is a peer-reviewed academic monograph published by a major university press. It is a primary source document of contemporary Jewish anti-Zionist scholarship.</w:t>
      </w:r>
    </w:p>
    <w:p>
      <w:pPr>
        <w:spacing w:before="0" w:after="200"/>
        <w:ind w:firstLine="360"/>
      </w:pPr>
      <w:r>
        <w:rPr>
          <w:color w:val="1A1A1A"/>
          <w:sz w:val="22"/>
          <w:szCs w:val="22"/>
          <w:rFonts w:ascii="Georgia" w:cs="Georgia" w:eastAsia="Georgia" w:hAnsi="Georgia"/>
        </w:rPr>
        <w:t xml:space="preserve">Jewish Voice for Peace is an American Jewish organization founded in 1996 that maintains an explicitly anti-Zionist position. Its membership includes rabbis, scholars, and Jewish activists across the United States. Its founding documents, published statements, and rabbinic council's positions are publicly available at its website, jewishvoiceforpeace.org. They are primary source documents of contemporary organized Jewish opposition to Zionism.</w:t>
      </w:r>
    </w:p>
    <w:p>
      <w:pPr>
        <w:spacing w:before="0" w:after="200"/>
        <w:ind w:firstLine="360"/>
      </w:pPr>
      <w:r>
        <w:rPr>
          <w:color w:val="1A1A1A"/>
          <w:sz w:val="22"/>
          <w:szCs w:val="22"/>
          <w:rFonts w:ascii="Georgia" w:cs="Georgia" w:eastAsia="Georgia" w:hAnsi="Georgia"/>
        </w:rPr>
        <w:t xml:space="preserve">If Not Now is an American Jewish organization founded in 2014 that describes itself as opposing Israeli occupation of Palestinian territories. Its founding documents and published positions are publicly available at its website, ifnotnowmovement.org.</w:t>
      </w:r>
    </w:p>
    <w:p>
      <w:pPr>
        <w:spacing w:before="0" w:after="200"/>
        <w:ind w:firstLine="360"/>
      </w:pPr>
      <w:r>
        <w:rPr>
          <w:color w:val="1A1A1A"/>
          <w:sz w:val="22"/>
          <w:szCs w:val="22"/>
          <w:rFonts w:ascii="Georgia" w:cs="Georgia" w:eastAsia="Georgia" w:hAnsi="Georgia"/>
        </w:rPr>
        <w:t xml:space="preserve">Rabbi Brant Rosen leads Tzedek Chicago, a congregation that added anti-Zionism to its core values statement in March 2022. That statement is publicly available and constitutes a primary source document of contemporary synagogue-level theological opposition to Zionism.</w:t>
      </w:r>
    </w:p>
    <w:p>
      <w:pPr>
        <w:spacing w:before="0" w:after="200"/>
        <w:ind w:firstLine="360"/>
      </w:pPr>
      <w:r>
        <w:rPr>
          <w:color w:val="1A1A1A"/>
          <w:sz w:val="22"/>
          <w:szCs w:val="22"/>
          <w:rFonts w:ascii="Georgia" w:cs="Georgia" w:eastAsia="Georgia" w:hAnsi="Georgia"/>
        </w:rPr>
        <w:t xml:space="preserve">The Satmar Hasidic dynasty, founded by Rabbi Yoel Teitelbaum and based primarily in New York, maintains categorical opposition to Zionism and to the State of Israel on theological grounds derived from the Three Oaths. The Satmar community numbers in the tens of thousands. Its anti-Zionist position is published in Rabbi Teitelbaum's work Vayoel Moshe, first published in 1959, which constitutes the most extensive modern Orthodox theological argument against Zionism based on Talmudic sources. The work is a primary source document of Orthodox anti-Zionism in the post-Holocaust period.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3.9: THE DELTA. WHAT 128 YEARS OF CONTINUOUS OPPOSITION DOCUMENTS.</w:t>
      </w:r>
    </w:p>
    <w:p>
      <w:pPr>
        <w:spacing w:before="0" w:after="200"/>
        <w:ind w:firstLine="360"/>
      </w:pPr>
      <w:r>
        <w:rPr>
          <w:color w:val="1A1A1A"/>
          <w:sz w:val="22"/>
          <w:szCs w:val="22"/>
          <w:rFonts w:ascii="Georgia" w:cs="Georgia" w:eastAsia="Georgia" w:hAnsi="Georgia"/>
        </w:rPr>
        <w:t xml:space="preserve">The documented record of Jewish anti-Zionism from 1897 to the present establishes the following primary source facts.</w:t>
      </w:r>
    </w:p>
    <w:p>
      <w:pPr>
        <w:spacing w:before="0" w:after="200"/>
        <w:ind w:firstLine="360"/>
      </w:pPr>
      <w:r>
        <w:rPr>
          <w:color w:val="1A1A1A"/>
          <w:sz w:val="22"/>
          <w:szCs w:val="22"/>
          <w:rFonts w:ascii="Georgia" w:cs="Georgia" w:eastAsia="Georgia" w:hAnsi="Georgia"/>
        </w:rPr>
        <w:t xml:space="preserve">Jewish opposition to Zionism began in the year Zionism was founded. The Balfour Declaration referred to the existing non-Jewish communities in Palestine without naming them, quantifying them, or characterizing their relationship to the land. It has been maintained across Orthodox, Reform, Conservative, and secular Jewish intellectual traditions simultaneously. It has been institutionalized in organizations ranging from the Satmar Hasidic community to the American Council for Judaism to Jewish Voice for Peace. It has been articulated by Chief Rabbis of Britain, Vienna, and Germany, by professors at MIT and Berkeley, by synagogue congregations in Chicago, and by Hasidic communities in Brooklyn.</w:t>
      </w:r>
    </w:p>
    <w:p>
      <w:pPr>
        <w:spacing w:before="0" w:after="200"/>
        <w:ind w:firstLine="360"/>
      </w:pPr>
      <w:r>
        <w:rPr>
          <w:color w:val="1A1A1A"/>
          <w:sz w:val="22"/>
          <w:szCs w:val="22"/>
          <w:rFonts w:ascii="Georgia" w:cs="Georgia" w:eastAsia="Georgia" w:hAnsi="Georgia"/>
        </w:rPr>
        <w:t xml:space="preserve">The claim that anti-Zionism is antisemitism cannot be derived from this record. The record documents Jewish people opposing Zionism on Jewish theological grounds, using Jewish textual sources, within Jewish institutional frameworks, continuously for 128 years. The claim that these Jewish people are antisemitic requires a definition of antisemitism that excludes Jewish people from the category of people who can be harmed by antisemitism, which is not a coherent definition.</w:t>
      </w:r>
    </w:p>
    <w:p>
      <w:pPr>
        <w:spacing w:before="0" w:after="200"/>
        <w:ind w:firstLine="360"/>
      </w:pPr>
      <w:r>
        <w:rPr>
          <w:color w:val="1A1A1A"/>
          <w:sz w:val="22"/>
          <w:szCs w:val="22"/>
          <w:rFonts w:ascii="Georgia" w:cs="Georgia" w:eastAsia="Georgia" w:hAnsi="Georgia"/>
        </w:rPr>
        <w:t xml:space="preserve">The political function of that claim is examined in Chapter 8 using the documented legislative and lobbying record of its institutional deployment.</w:t>
      </w:r>
    </w:p>
    <w:p>
      <w:pPr>
        <w:spacing w:before="0" w:after="200"/>
        <w:ind w:firstLine="360"/>
      </w:pPr>
      <w:r>
        <w:rPr>
          <w:color w:val="1A1A1A"/>
          <w:sz w:val="22"/>
          <w:szCs w:val="22"/>
          <w:rFonts w:ascii="Georgia" w:cs="Georgia" w:eastAsia="Georgia" w:hAnsi="Georgia"/>
        </w:rPr>
        <w:t xml:space="preserve">The receipts are 128 years old. They begin with rabbis. They continue with rabbis. They include scholars, philosophers, labor organizers, synagogue congregations, and Hasidic dynasties. The Christian population was approximately 70,000. The opposition is long because the primary sources of Judaism say what they say.</w:t>
      </w:r>
    </w:p>
    <w:p>
      <w:pPr>
        <w:spacing w:before="0" w:after="200"/>
        <w:ind w:firstLine="360"/>
      </w:pPr>
      <w:r>
        <w:rPr>
          <w:color w:val="1A1A1A"/>
          <w:sz w:val="22"/>
          <w:szCs w:val="22"/>
          <w:rFonts w:ascii="Georgia" w:cs="Georgia" w:eastAsia="Georgia" w:hAnsi="Georgia"/>
        </w:rPr>
        <w:t xml:space="preserve">The Torah does not require translation. It requires reading.</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Agudat Israel of America. (n.d.). About Agudath Israel. https://www.agudathisrael.org</w:t>
      </w:r>
    </w:p>
    <w:p>
      <w:pPr>
        <w:spacing w:before="0" w:after="120"/>
        <w:ind w:left="720" w:hanging="720"/>
      </w:pPr>
      <w:r>
        <w:rPr>
          <w:color w:val="5A5A5A"/>
          <w:sz w:val="18"/>
          <w:szCs w:val="18"/>
          <w:rFonts w:ascii="Georgia" w:cs="Georgia" w:eastAsia="Georgia" w:hAnsi="Georgia"/>
        </w:rPr>
        <w:t xml:space="preserve">American Council for Judaism. (n.d.). Issues: A journal of opinion. https://acjna.org</w:t>
      </w:r>
    </w:p>
    <w:p>
      <w:pPr>
        <w:spacing w:before="0" w:after="120"/>
        <w:ind w:left="720" w:hanging="720"/>
      </w:pPr>
      <w:r>
        <w:rPr>
          <w:color w:val="5A5A5A"/>
          <w:sz w:val="18"/>
          <w:szCs w:val="18"/>
          <w:rFonts w:ascii="Georgia" w:cs="Georgia" w:eastAsia="Georgia" w:hAnsi="Georgia"/>
        </w:rPr>
        <w:t xml:space="preserve">Butler, J. (2012). Parting ways: Jewishness and the critique of Zionism. Columbia University Press.</w:t>
      </w:r>
    </w:p>
    <w:p>
      <w:pPr>
        <w:spacing w:before="0" w:after="120"/>
        <w:ind w:left="720" w:hanging="720"/>
      </w:pPr>
      <w:r>
        <w:rPr>
          <w:color w:val="5A5A5A"/>
          <w:sz w:val="18"/>
          <w:szCs w:val="18"/>
          <w:rFonts w:ascii="Georgia" w:cs="Georgia" w:eastAsia="Georgia" w:hAnsi="Georgia"/>
        </w:rPr>
        <w:t xml:space="preserve">Central Conference of American Rabbis. (1885, November). The Pittsburgh Platform. https://www.ccarnet.org/rabbinic-voice/platforms/article-declaration-principles/</w:t>
      </w:r>
    </w:p>
    <w:p>
      <w:pPr>
        <w:spacing w:before="0" w:after="120"/>
        <w:ind w:left="720" w:hanging="720"/>
      </w:pPr>
      <w:r>
        <w:rPr>
          <w:color w:val="5A5A5A"/>
          <w:sz w:val="18"/>
          <w:szCs w:val="18"/>
          <w:rFonts w:ascii="Georgia" w:cs="Georgia" w:eastAsia="Georgia" w:hAnsi="Georgia"/>
        </w:rPr>
        <w:t xml:space="preserve">Grill, T. (n.d.). This constitutes a peer-reviewed scholarly monograph published by a major university press. European History Online, Leibniz Institute of European History. https://www.ieg-ego.eu/en/threads/transnational-movements-and-organisations/international-organisations-and-congresses/tobias-grill-jewish-anti-zionist-movements</w:t>
      </w:r>
    </w:p>
    <w:p>
      <w:pPr>
        <w:spacing w:before="0" w:after="120"/>
        <w:ind w:left="720" w:hanging="720"/>
      </w:pPr>
      <w:r>
        <w:rPr>
          <w:color w:val="5A5A5A"/>
          <w:sz w:val="18"/>
          <w:szCs w:val="18"/>
          <w:rFonts w:ascii="Georgia" w:cs="Georgia" w:eastAsia="Georgia" w:hAnsi="Georgia"/>
        </w:rPr>
        <w:t xml:space="preserve">Güdemann, M. (1897). Neturei Karta's 1938 founding surfaces across the organization's own historical records alongside wider archives documenting Jewish institutional formation throughout the Mandate era. Leipzig.</w:t>
      </w:r>
    </w:p>
    <w:p>
      <w:pPr>
        <w:spacing w:before="0" w:after="120"/>
        <w:ind w:left="720" w:hanging="720"/>
      </w:pPr>
      <w:r>
        <w:rPr>
          <w:color w:val="5A5A5A"/>
          <w:sz w:val="18"/>
          <w:szCs w:val="18"/>
          <w:rFonts w:ascii="Georgia" w:cs="Georgia" w:eastAsia="Georgia" w:hAnsi="Georgia"/>
        </w:rPr>
        <w:t xml:space="preserve">If Not Now Movement. (n.d.). About. https://www.ifnotnowmovement.org</w:t>
      </w:r>
    </w:p>
    <w:p>
      <w:pPr>
        <w:spacing w:before="0" w:after="120"/>
        <w:ind w:left="720" w:hanging="720"/>
      </w:pPr>
      <w:r>
        <w:rPr>
          <w:color w:val="5A5A5A"/>
          <w:sz w:val="18"/>
          <w:szCs w:val="18"/>
          <w:rFonts w:ascii="Georgia" w:cs="Georgia" w:eastAsia="Georgia" w:hAnsi="Georgia"/>
        </w:rPr>
        <w:t xml:space="preserve">Jewish Voice for Peace. (n.d.). Our principles. https://www.jewishvoiceforpeace.org</w:t>
      </w:r>
    </w:p>
    <w:p>
      <w:pPr>
        <w:spacing w:before="0" w:after="120"/>
        <w:ind w:left="720" w:hanging="720"/>
      </w:pPr>
      <w:r>
        <w:rPr>
          <w:color w:val="5A5A5A"/>
          <w:sz w:val="18"/>
          <w:szCs w:val="18"/>
          <w:rFonts w:ascii="Georgia" w:cs="Georgia" w:eastAsia="Georgia" w:hAnsi="Georgia"/>
        </w:rPr>
        <w:t xml:space="preserve">Kolsky, T. A. (1992). Jews against Zionism: The American Council for Judaism, 1942–1948. Temple University Press. https://www.jstor.org/stable/j.ctt14bsxdg</w:t>
      </w:r>
    </w:p>
    <w:p>
      <w:pPr>
        <w:spacing w:before="0" w:after="120"/>
        <w:ind w:left="720" w:hanging="720"/>
      </w:pPr>
      <w:r>
        <w:rPr>
          <w:color w:val="5A5A5A"/>
          <w:sz w:val="18"/>
          <w:szCs w:val="18"/>
          <w:rFonts w:ascii="Georgia" w:cs="Georgia" w:eastAsia="Georgia" w:hAnsi="Georgia"/>
        </w:rPr>
        <w:t xml:space="preserve">Neturei Karta International. (n.d.). About Neturei Karta. https://www.nkusa.org</w:t>
      </w:r>
    </w:p>
    <w:p>
      <w:pPr>
        <w:spacing w:before="0" w:after="120"/>
        <w:ind w:left="720" w:hanging="720"/>
      </w:pPr>
      <w:r>
        <w:rPr>
          <w:color w:val="5A5A5A"/>
          <w:sz w:val="18"/>
          <w:szCs w:val="18"/>
          <w:rFonts w:ascii="Georgia" w:cs="Georgia" w:eastAsia="Georgia" w:hAnsi="Georgia"/>
        </w:rPr>
        <w:t xml:space="preserve">Posen Library of Jewish Culture and Civilization. (n.d.). Protest against Zionism [Translation of Protestrabbiner declaration, July 9, 1897]. https://www.posenlibrary.com/entry/protest-against-zionism</w:t>
      </w:r>
    </w:p>
    <w:p>
      <w:pPr>
        <w:spacing w:before="0" w:after="120"/>
        <w:ind w:left="720" w:hanging="720"/>
      </w:pPr>
      <w:r>
        <w:rPr>
          <w:color w:val="5A5A5A"/>
          <w:sz w:val="18"/>
          <w:szCs w:val="18"/>
          <w:rFonts w:ascii="Georgia" w:cs="Georgia" w:eastAsia="Georgia" w:hAnsi="Georgia"/>
        </w:rPr>
        <w:t xml:space="preserve">Teitelbaum, Y. (1959). Vayoel Moshe [And Moses consented]. Yerushalayim Press.</w:t>
      </w:r>
    </w:p>
    <w:p>
      <w:pPr>
        <w:spacing w:before="0" w:after="120"/>
        <w:ind w:left="720" w:hanging="720"/>
      </w:pPr>
      <w:r>
        <w:rPr>
          <w:color w:val="5A5A5A"/>
          <w:sz w:val="18"/>
          <w:szCs w:val="18"/>
          <w:rFonts w:ascii="Georgia" w:cs="Georgia" w:eastAsia="Georgia" w:hAnsi="Georgia"/>
        </w:rPr>
        <w:t xml:space="preserve">Talmud Bavli. (n.d.). Ketubot 111a [Three Oaths]. https://www.sefaria.org/Ketubot.111a</w:t>
      </w:r>
    </w:p>
    <w:p>
      <w:pPr>
        <w:spacing w:before="0" w:after="120"/>
        <w:ind w:left="720" w:hanging="720"/>
      </w:pPr>
      <w:r>
        <w:rPr>
          <w:color w:val="5A5A5A"/>
          <w:sz w:val="18"/>
          <w:szCs w:val="18"/>
          <w:rFonts w:ascii="Georgia" w:cs="Georgia" w:eastAsia="Georgia" w:hAnsi="Georgia"/>
        </w:rPr>
        <w:t xml:space="preserve">Wikipedia. (2024). Timeline of anti-Zionism. https://en.wikipedia.org/wiki/Timeline_of_anti-Zionism</w:t>
      </w:r>
    </w:p>
    <w:p>
      <w:r>
        <w:br w:type="page"/>
      </w:r>
    </w:p>
    <w:p>
      <w:pPr>
        <w:spacing w:before="0" w:after="80"/>
      </w:pPr>
      <w:r>
        <w:rPr>
          <w:b/>
          <w:bCs/>
          <w:color w:val="C9A227"/>
          <w:sz w:val="20"/>
          <w:szCs w:val="20"/>
          <w:caps/>
          <w:rFonts w:ascii="Georgia" w:cs="Georgia" w:eastAsia="Georgia" w:hAnsi="Georgia"/>
          <w:spacing w:val="160"/>
        </w:rPr>
        <w:t xml:space="preserve">CHAPTER 4</w:t>
      </w:r>
    </w:p>
    <w:p>
      <w:pPr>
        <w:pStyle w:val="Heading1"/>
        <w:spacing w:before="0" w:after="200"/>
      </w:pPr>
      <w:r>
        <w:rPr>
          <w:b/>
          <w:bCs/>
          <w:color w:val="1A1A1A"/>
          <w:sz w:val="36"/>
          <w:szCs w:val="36"/>
          <w:rFonts w:ascii="Georgia" w:cs="Georgia" w:eastAsia="Georgia" w:hAnsi="Georgia"/>
        </w:rPr>
        <w:t xml:space="preserve">The Balfour Declaration</w:t>
      </w:r>
    </w:p>
    <w:p>
      <w:pPr>
        <w:spacing w:before="0" w:after="200"/>
        <w:ind w:firstLine="360"/>
      </w:pPr>
      <w:r>
        <w:rPr>
          <w:color w:val="1A1A1A"/>
          <w:sz w:val="22"/>
          <w:szCs w:val="22"/>
          <w:rFonts w:ascii="Georgia" w:cs="Georgia" w:eastAsia="Georgia" w:hAnsi="Georgia"/>
        </w:rPr>
        <w:t xml:space="preserve">The Balfour Declaration is two hundred and seventeen words long. It was written on November 2, 1917. It was written by Arthur James Balfour, the British Foreign Secretary, on behalf of the British Cabinet. It was addressed to Walter Rothschild, the second Baron Rothschild, a prominent figure in the British Zionist Federation. It was a letter from a government minister to a private citizen representing a political lobby. It was not a treaty. It was not a statute. It was not a United Nations resolution. It was not a legal instrument of any kind recognized under international law as it existed in 1917.</w:t>
      </w:r>
    </w:p>
    <w:p>
      <w:pPr>
        <w:spacing w:before="0" w:after="200"/>
        <w:ind w:firstLine="360"/>
      </w:pPr>
      <w:r>
        <w:rPr>
          <w:color w:val="1A1A1A"/>
          <w:sz w:val="22"/>
          <w:szCs w:val="22"/>
          <w:rFonts w:ascii="Georgia" w:cs="Georgia" w:eastAsia="Georgia" w:hAnsi="Georgia"/>
        </w:rPr>
        <w:t xml:space="preserve">It is the document upon which the political Zionist movement's claim to British governmental support for a Jewish homeland in Palestine rests. It is one of the most consequential letters in the history of the twentieth century. It is also one of the most consistently mischaracterized documents in contemporary political discourse.</w:t>
      </w:r>
    </w:p>
    <w:p>
      <w:pPr>
        <w:spacing w:before="0" w:after="200"/>
        <w:ind w:firstLine="360"/>
      </w:pPr>
      <w:r>
        <w:rPr>
          <w:color w:val="1A1A1A"/>
          <w:sz w:val="22"/>
          <w:szCs w:val="22"/>
          <w:rFonts w:ascii="Georgia" w:cs="Georgia" w:eastAsia="Georgia" w:hAnsi="Georgia"/>
        </w:rPr>
        <w:t xml:space="preserve">This chapter reads the document. It documents who wrote it, under what political circumstances, with what internal opposition, and with what response from the populations most directly affected by its contents. The document says what it says. The political record surrounding its production says what it says. The Ottoman position was that Britain had no authority to make declarations regarding the future of Ottoman territory and that the declaration was a violation of the established principles of international law as they existed in 1917.</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4.1: THE TEXT. IN FULL.</w:t>
      </w:r>
    </w:p>
    <w:p>
      <w:pPr>
        <w:spacing w:before="0" w:after="200"/>
        <w:ind w:firstLine="360"/>
      </w:pPr>
      <w:r>
        <w:rPr>
          <w:color w:val="1A1A1A"/>
          <w:sz w:val="22"/>
          <w:szCs w:val="22"/>
          <w:rFonts w:ascii="Georgia" w:cs="Georgia" w:eastAsia="Georgia" w:hAnsi="Georgia"/>
        </w:rPr>
        <w:t xml:space="preserve">The Balfour Declaration reads, in its entirety:</w:t>
      </w:r>
    </w:p>
    <w:p>
      <w:pPr>
        <w:pBdr>
          <w:left w:val="thick" w:color="C9A227" w:sz="12" w:space="12"/>
        </w:pBdr>
        <w:spacing w:before="160" w:after="160"/>
        <w:ind w:left="576" w:right="576"/>
      </w:pPr>
      <w:r>
        <w:rPr>
          <w:i/>
          <w:iCs/>
          <w:color w:val="1A1A1A"/>
          <w:sz w:val="20"/>
          <w:szCs w:val="20"/>
          <w:rFonts w:ascii="Georgia" w:cs="Georgia" w:eastAsia="Georgia" w:hAnsi="Georgia"/>
        </w:rPr>
        <w:t xml:space="preserve">"Dear Lord Rothschild, I have much pleasure in conveying to you, on behalf of His Majesty's Government, the following declaration of sympathy with Jewish Zionist aspirations which has been submitted to, and approved by, the Cabinet. His Majesty's Government view with favour the establishment in Palestine of a national home for the Jewish people, and will use their best endeavours to facilitate the achievement of this object, it being clearly understood that nothing shall be done which may prejudice the civil and religious rights of existing non-Jewish communities in Palestine, or the rights and political status enjoyed by Jews in any other country. I should be grateful if you would bring this declaration to the knowledge of the Zionist Federation. Yours sincerely, Arthur James Balfour"</w:t>
      </w:r>
    </w:p>
    <w:p>
      <w:pPr>
        <w:spacing w:before="0" w:after="200"/>
        <w:ind w:firstLine="360"/>
      </w:pPr>
      <w:r>
        <w:rPr>
          <w:color w:val="1A1A1A"/>
          <w:sz w:val="22"/>
          <w:szCs w:val="22"/>
          <w:rFonts w:ascii="Georgia" w:cs="Georgia" w:eastAsia="Georgia" w:hAnsi="Georgia"/>
        </w:rPr>
        <w:t xml:space="preserve">Four elements of this text require forensic attention before any historical context is introduced.</w:t>
      </w:r>
    </w:p>
    <w:p>
      <w:pPr>
        <w:spacing w:before="0" w:after="200"/>
        <w:ind w:firstLine="360"/>
      </w:pPr>
      <w:r>
        <w:rPr>
          <w:color w:val="1A1A1A"/>
          <w:sz w:val="22"/>
          <w:szCs w:val="22"/>
          <w:rFonts w:ascii="Georgia" w:cs="Georgia" w:eastAsia="Georgia" w:hAnsi="Georgia"/>
        </w:rPr>
        <w:t xml:space="preserve">First: the document describes itself as a declaration of sympathy with Jewish Zionist aspirations. It is not a declaration of intent to establish a Jewish state. It is not a grant of territory. It is an expression of sympathy with aspirations. The language is deliberately hedged. The hedging is not accidental. It is the product of extensive internal Cabinet deliberation documented in the British government's own records.</w:t>
      </w:r>
    </w:p>
    <w:p>
      <w:pPr>
        <w:spacing w:before="0" w:after="200"/>
        <w:ind w:firstLine="360"/>
      </w:pPr>
      <w:r>
        <w:rPr>
          <w:color w:val="1A1A1A"/>
          <w:sz w:val="22"/>
          <w:szCs w:val="22"/>
          <w:rFonts w:ascii="Georgia" w:cs="Georgia" w:eastAsia="Georgia" w:hAnsi="Georgia"/>
        </w:rPr>
        <w:t xml:space="preserve">Second: the document refers to Palestine as a location for a national home. It does not describe Palestine as an empty territory available for settlement. It acknowledges, explicitly, that Palestine contains existing populations. It refers to them as existing non-Jewish communities. It does not name them. It does not quantify them. It does not characterize their relationship to the land. It simply acknowledges their existence and states that nothing shall be done to prejudice their civil and religious rights.</w:t>
      </w:r>
    </w:p>
    <w:p>
      <w:pPr>
        <w:spacing w:before="0" w:after="200"/>
        <w:ind w:firstLine="360"/>
      </w:pPr>
      <w:r>
        <w:rPr>
          <w:color w:val="1A1A1A"/>
          <w:sz w:val="22"/>
          <w:szCs w:val="22"/>
          <w:rFonts w:ascii="Georgia" w:cs="Georgia" w:eastAsia="Georgia" w:hAnsi="Georgia"/>
        </w:rPr>
        <w:t xml:space="preserve">Third: the document makes no reference to the political rights of existing non-Jewish communities. It protects their civil and religious rights. It is silent on their political rights. That silence is a primary source document of the political framework within which the Balfour Declaration was conceived.</w:t>
      </w:r>
    </w:p>
    <w:p>
      <w:pPr>
        <w:spacing w:before="0" w:after="200"/>
        <w:ind w:firstLine="360"/>
      </w:pPr>
      <w:r>
        <w:rPr>
          <w:color w:val="1A1A1A"/>
          <w:sz w:val="22"/>
          <w:szCs w:val="22"/>
          <w:rFonts w:ascii="Georgia" w:cs="Georgia" w:eastAsia="Georgia" w:hAnsi="Georgia"/>
        </w:rPr>
        <w:t xml:space="preserve">Fourth: the document was written by a British Foreign Secretary and addressed to a banker. It was not written by a Jewish religious authority. It was not written in response to a theological claim. It was written in response to a political lobby operating within British political society in the context of the First World War. It is a political document produced by a political process for political purposes.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4.2: WHO WROTE IT. THE BRITISH POLITICAL CONTEXT.</w:t>
      </w:r>
    </w:p>
    <w:p>
      <w:pPr>
        <w:spacing w:before="0" w:after="200"/>
        <w:ind w:firstLine="360"/>
      </w:pPr>
      <w:r>
        <w:rPr>
          <w:color w:val="1A1A1A"/>
          <w:sz w:val="22"/>
          <w:szCs w:val="22"/>
          <w:rFonts w:ascii="Georgia" w:cs="Georgia" w:eastAsia="Georgia" w:hAnsi="Georgia"/>
        </w:rPr>
        <w:t xml:space="preserve">Arthur James Balfour was born in 1848. He served as Prime Minister of the United Kingdom from 1902 to 1905 and as Foreign Secretary from 1916 to 1919. He was a Scottish Presbyterian with a documented intellectual interest in Jewish history and a documented sympathy with Zionist political aspirations that predated his role as Foreign Secretary.</w:t>
      </w:r>
    </w:p>
    <w:p>
      <w:pPr>
        <w:spacing w:before="0" w:after="200"/>
        <w:ind w:firstLine="360"/>
      </w:pPr>
      <w:r>
        <w:rPr>
          <w:color w:val="1A1A1A"/>
          <w:sz w:val="22"/>
          <w:szCs w:val="22"/>
          <w:rFonts w:ascii="Georgia" w:cs="Georgia" w:eastAsia="Georgia" w:hAnsi="Georgia"/>
        </w:rPr>
        <w:t xml:space="preserve">The British Cabinet's deliberations on what would become the Balfour Declaration began in earnest in 1917. The deliberations are documented in Cabinet minutes held at the British National Archives. The draft that became the final declaration went through multiple revisions across several months. The evolution of the drafts is itself a primary source document of the political calculations that shaped the final text.</w:t>
      </w:r>
    </w:p>
    <w:p>
      <w:pPr>
        <w:spacing w:before="0" w:after="200"/>
        <w:ind w:firstLine="360"/>
      </w:pPr>
      <w:r>
        <w:rPr>
          <w:color w:val="1A1A1A"/>
          <w:sz w:val="22"/>
          <w:szCs w:val="22"/>
          <w:rFonts w:ascii="Georgia" w:cs="Georgia" w:eastAsia="Georgia" w:hAnsi="Georgia"/>
        </w:rPr>
        <w:t xml:space="preserve">The first draft, circulated in July 1917, read: "His Majesty's Government accepts the principle that Palestine should be reconstituted as the national home of the Jewish people." That language was significantly stronger than what appeared in the final declaration. The phrase reconstituted as the national home of the Jewish people implies a historical claim and a definitive political commitment. The phrase establishment in Palestine of a national home for the Jewish people, which appeared in the final text, implies a process rather than a historical right and a home within Palestine rather than Palestine reconstituted as the home.</w:t>
      </w:r>
    </w:p>
    <w:p>
      <w:pPr>
        <w:spacing w:before="0" w:after="200"/>
        <w:ind w:firstLine="360"/>
      </w:pPr>
      <w:r>
        <w:rPr>
          <w:color w:val="1A1A1A"/>
          <w:sz w:val="22"/>
          <w:szCs w:val="22"/>
          <w:rFonts w:ascii="Georgia" w:cs="Georgia" w:eastAsia="Georgia" w:hAnsi="Georgia"/>
        </w:rPr>
        <w:t xml:space="preserve">The weakening of the language between the first draft and the final text is documented in the Cabinet record. It reflects the internal opposition that the declaration generated within the British government.</w:t>
      </w:r>
    </w:p>
    <w:p>
      <w:pPr>
        <w:spacing w:before="0" w:after="200"/>
        <w:ind w:firstLine="360"/>
      </w:pPr>
      <w:r>
        <w:rPr>
          <w:color w:val="1A1A1A"/>
          <w:sz w:val="22"/>
          <w:szCs w:val="22"/>
          <w:rFonts w:ascii="Georgia" w:cs="Georgia" w:eastAsia="Georgia" w:hAnsi="Georgia"/>
        </w:rPr>
        <w:t xml:space="preserve">The most significant internal opposition came from Edwin Samuel Montagu, the Secretary of State for India and the only Jewish member of the British Cabinet at the time. Montagu submitted a memorandum to the Cabinet on August 23, 1917, titled The Anti-Semitism of the British Government. The title is not rhetorical. Montagu argued, in a formal Cabinet memorandum, that the Balfour Declaration would cause non-Jewish governments throughout the world to turn around and say to their Jewish citizens that Palestine was their real home and that they must go there. He argued that the declaration would endanger the position of Jewish people who were citizens of countries other than Britain by suggesting that their true national home was elsewhere.</w:t>
      </w:r>
    </w:p>
    <w:p>
      <w:pPr>
        <w:spacing w:before="0" w:after="200"/>
        <w:ind w:firstLine="360"/>
      </w:pPr>
      <w:r>
        <w:rPr>
          <w:color w:val="1A1A1A"/>
          <w:sz w:val="22"/>
          <w:szCs w:val="22"/>
          <w:rFonts w:ascii="Georgia" w:cs="Georgia" w:eastAsia="Georgia" w:hAnsi="Georgia"/>
        </w:rPr>
        <w:t xml:space="preserve">Montagu's memorandum is a primary source document of the highest importance for understanding the Balfour Declaration. It is a formal government document written by a Jewish Cabinet minister arguing that the Balfour Declaration was itself a form of antisemitism because of its implication that Jewish people were not fully citizens of the countries in which they lived. The memorandum is held at the British National Archives. It is publicly accessible.</w:t>
      </w:r>
    </w:p>
    <w:p>
      <w:pPr>
        <w:spacing w:before="0" w:after="200"/>
        <w:ind w:firstLine="360"/>
      </w:pPr>
      <w:r>
        <w:rPr>
          <w:color w:val="1A1A1A"/>
          <w:sz w:val="22"/>
          <w:szCs w:val="22"/>
          <w:rFonts w:ascii="Georgia" w:cs="Georgia" w:eastAsia="Georgia" w:hAnsi="Georgia"/>
        </w:rPr>
        <w:t xml:space="preserve">The declaration was approved by the Cabinet on October 31, 1917, despite Montagu's opposition. It was published on November 2, 1917.</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4.3: WHO RECEIVED IT. THE ROTHSCHILD CONNECTION.</w:t>
      </w:r>
    </w:p>
    <w:p>
      <w:pPr>
        <w:spacing w:before="0" w:after="200"/>
        <w:ind w:firstLine="360"/>
      </w:pPr>
      <w:r>
        <w:rPr>
          <w:color w:val="1A1A1A"/>
          <w:sz w:val="22"/>
          <w:szCs w:val="22"/>
          <w:rFonts w:ascii="Georgia" w:cs="Georgia" w:eastAsia="Georgia" w:hAnsi="Georgia"/>
        </w:rPr>
        <w:t xml:space="preserve">Walter Rothschild, the second Baron Rothschild, was the addressee of the declaration. He was a member of the prominent Rothschild banking family, a British peer, and a figure in the British Zionist Federation. He was not the president of the Zionist Federation. He was not the most prominent Zionist leader in Britain. He was, however, a peer of the realm and a member of one of the most prominent Jewish families in Britain, which made him a symbolically appropriate addressee for a document intended to signal British governmental sympathy with Zionist aspirations.</w:t>
      </w:r>
    </w:p>
    <w:p>
      <w:pPr>
        <w:spacing w:before="0" w:after="200"/>
        <w:ind w:firstLine="360"/>
      </w:pPr>
      <w:r>
        <w:rPr>
          <w:color w:val="1A1A1A"/>
          <w:sz w:val="22"/>
          <w:szCs w:val="22"/>
          <w:rFonts w:ascii="Georgia" w:cs="Georgia" w:eastAsia="Georgia" w:hAnsi="Georgia"/>
        </w:rPr>
        <w:t xml:space="preserve">The choice of Rothschild as addressee is itself a documented element of the declaration's political context. The British government's decision to address its declaration to a banker and peer rather than to a democratically accountable representative body reflects the nature of the political negotiation that produced it. The Zionist Federation was a lobbying organization. The declaration was the product of its lobbying. The addressee was a member of the social and financial elite within which that lobbying was conducted.</w:t>
      </w:r>
    </w:p>
    <w:p>
      <w:pPr>
        <w:spacing w:before="0" w:after="200"/>
        <w:ind w:firstLine="360"/>
      </w:pPr>
      <w:r>
        <w:rPr>
          <w:color w:val="1A1A1A"/>
          <w:sz w:val="22"/>
          <w:szCs w:val="22"/>
          <w:rFonts w:ascii="Georgia" w:cs="Georgia" w:eastAsia="Georgia" w:hAnsi="Georgia"/>
        </w:rPr>
        <w:t xml:space="preserve">Chaim Weizmann, the president of the British Zionist Federation and the most significant Zionist political figure in Britain during the war years, was the primary architect of the diplomatic campaign that produced the declaration. Weizmann's access to British political society, his relationships with Cabinet ministers, and his persistent lobbying are documented in his own memoirs, Trial and Error, published in 1949, and in the historical scholarship on the period. The declaration was the product of his work as much as of Balfour's sympathy.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4.4: THE BRITISH STRATEGIC CALCULATION. WHAT THE CABINET RECORD DOCUMENTS.</w:t>
      </w:r>
    </w:p>
    <w:p>
      <w:pPr>
        <w:spacing w:before="0" w:after="200"/>
        <w:ind w:firstLine="360"/>
      </w:pPr>
      <w:r>
        <w:rPr>
          <w:color w:val="1A1A1A"/>
          <w:sz w:val="22"/>
          <w:szCs w:val="22"/>
          <w:rFonts w:ascii="Georgia" w:cs="Georgia" w:eastAsia="Georgia" w:hAnsi="Georgia"/>
        </w:rPr>
        <w:t xml:space="preserve">The Balfour Declaration was not produced by British altruism toward the Jewish people. It was produced by British strategic calculation during the First World War. The Cabinet records document the strategic considerations that motivated it.</w:t>
      </w:r>
    </w:p>
    <w:p>
      <w:pPr>
        <w:spacing w:before="0" w:after="200"/>
        <w:ind w:firstLine="360"/>
      </w:pPr>
      <w:r>
        <w:rPr>
          <w:color w:val="1A1A1A"/>
          <w:sz w:val="22"/>
          <w:szCs w:val="22"/>
          <w:rFonts w:ascii="Georgia" w:cs="Georgia" w:eastAsia="Georgia" w:hAnsi="Georgia"/>
        </w:rPr>
        <w:t xml:space="preserve">Britain in 1917 was engaged in a war whose outcome remained uncertain. The United States had entered the war in April 1917 but had not yet deployed significant forces to Europe. The British government believed, based on a significant overestimation of Jewish influence in American and Russian political life, that a declaration of sympathy with Zionist aspirations would help secure American Jewish support for the war effort and stabilize the Russian provisional government, which had come to power after the February 1917 revolution and whose continued participation in the war was uncertain.</w:t>
      </w:r>
    </w:p>
    <w:p>
      <w:pPr>
        <w:spacing w:before="0" w:after="200"/>
        <w:ind w:firstLine="360"/>
      </w:pPr>
      <w:r>
        <w:rPr>
          <w:color w:val="1A1A1A"/>
          <w:sz w:val="22"/>
          <w:szCs w:val="22"/>
          <w:rFonts w:ascii="Georgia" w:cs="Georgia" w:eastAsia="Georgia" w:hAnsi="Georgia"/>
        </w:rPr>
        <w:t xml:space="preserve">These strategic calculations are documented in the Cabinet records. They reflect the British government's understanding of the political landscape in 1917. They also reflect significant miscalculations about the nature and extent of Jewish political influence in the United States and Russia.</w:t>
      </w:r>
    </w:p>
    <w:p>
      <w:pPr>
        <w:spacing w:before="0" w:after="200"/>
        <w:ind w:firstLine="360"/>
      </w:pPr>
      <w:r>
        <w:rPr>
          <w:color w:val="1A1A1A"/>
          <w:sz w:val="22"/>
          <w:szCs w:val="22"/>
          <w:rFonts w:ascii="Georgia" w:cs="Georgia" w:eastAsia="Georgia" w:hAnsi="Georgia"/>
        </w:rPr>
        <w:t xml:space="preserve">The declaration was also motivated by British imperial interests in Palestine itself. The Sykes-Picot Agreement of May 1916, a secret treaty between Britain and France, had divided the anticipated post-war territories of the Ottoman Empire into spheres of influence. Palestine was designated as an international zone under the Sykes-Picot framework. The Balfour Declaration was, among other things, a British move to establish a stronger claim to Palestine than the Sykes-Picot Agreement had granted. A Palestine housing a British-backed Jewish national home was more firmly in the British sphere than a Palestine designated as an international zone.</w:t>
      </w:r>
    </w:p>
    <w:p>
      <w:pPr>
        <w:spacing w:before="0" w:after="200"/>
        <w:ind w:firstLine="360"/>
      </w:pPr>
      <w:r>
        <w:rPr>
          <w:color w:val="1A1A1A"/>
          <w:sz w:val="22"/>
          <w:szCs w:val="22"/>
          <w:rFonts w:ascii="Georgia" w:cs="Georgia" w:eastAsia="Georgia" w:hAnsi="Georgia"/>
        </w:rPr>
        <w:t xml:space="preserve">The Sykes-Picot Agreement is a primary source document of the first importance for understanding the geopolitical context of the Balfour Declaration. 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foreground.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4.5: WHAT PALESTINE ACTUALLY CONTAINED. THE DEMOGRAPHIC RECORD.</w:t>
      </w:r>
    </w:p>
    <w:p>
      <w:pPr>
        <w:spacing w:before="0" w:after="200"/>
        <w:ind w:firstLine="360"/>
      </w:pPr>
      <w:r>
        <w:rPr>
          <w:color w:val="1A1A1A"/>
          <w:sz w:val="22"/>
          <w:szCs w:val="22"/>
          <w:rFonts w:ascii="Georgia" w:cs="Georgia" w:eastAsia="Georgia" w:hAnsi="Georgia"/>
        </w:rPr>
        <w:t xml:space="preserve">The Balfour Declaration referred to the existing non-Jewish communities in Palestine without naming them, quantifying them, or characterizing their relationship to the land. The demographic record of Palestine in 1917 is a primary source that the declaration's language implicitly erased.</w:t>
      </w:r>
    </w:p>
    <w:p>
      <w:pPr>
        <w:spacing w:before="0" w:after="200"/>
        <w:ind w:firstLine="360"/>
      </w:pPr>
      <w:r>
        <w:rPr>
          <w:color w:val="1A1A1A"/>
          <w:sz w:val="22"/>
          <w:szCs w:val="22"/>
          <w:rFonts w:ascii="Georgia" w:cs="Georgia" w:eastAsia="Georgia" w:hAnsi="Georgia"/>
        </w:rPr>
        <w:t xml:space="preserve">The Ottoman census of 1914, the most recent census conducted before the Balfour Declaration, documented the population of Palestine as follows. The Muslim population was approximately 525,000. The Christian population was approximately 70,000. The Jewish population was approximately 94,000. The total population was approximately 689,000. The Jewish population represented approximately 13.6 percent of the total.</w:t>
      </w:r>
    </w:p>
    <w:p>
      <w:pPr>
        <w:spacing w:before="0" w:after="200"/>
        <w:ind w:firstLine="360"/>
      </w:pPr>
      <w:r>
        <w:rPr>
          <w:color w:val="1A1A1A"/>
          <w:sz w:val="22"/>
          <w:szCs w:val="22"/>
          <w:rFonts w:ascii="Georgia" w:cs="Georgia" w:eastAsia="Georgia" w:hAnsi="Georgia"/>
        </w:rPr>
        <w:t xml:space="preserve">The British Mandate census of 1922, the first census conducted after Britain assumed control of Palestine under the League of Nations Mandate, documented the following. The Muslim population was 589,177. The Christian population was 73,024. The Jewish population was 83,790. The total population was 752,048. The Jewish population represented approximately 11.1 percent of the total. The decline in the Jewish percentage between 1914 and 1922 reflects the disruption of World War One and the emigration of some Jewish residents during the war period.</w:t>
      </w:r>
    </w:p>
    <w:p>
      <w:pPr>
        <w:spacing w:before="0" w:after="200"/>
        <w:ind w:firstLine="360"/>
      </w:pPr>
      <w:r>
        <w:rPr>
          <w:color w:val="1A1A1A"/>
          <w:sz w:val="22"/>
          <w:szCs w:val="22"/>
          <w:rFonts w:ascii="Georgia" w:cs="Georgia" w:eastAsia="Georgia" w:hAnsi="Georgia"/>
        </w:rPr>
        <w:t xml:space="preserve">These census figures are primary source documents. They establish that Palestine in 1917 was not an empty territory available for settlement. It was a populated territory with an existing majority population. The Balfour Declaration referred to that majority population as existing non-Jewish communities. The census documents that those communities represented approximately 86 percent of Palestine's total population at the time the declaration was written.</w:t>
      </w:r>
    </w:p>
    <w:p>
      <w:pPr>
        <w:spacing w:before="0" w:after="200"/>
        <w:ind w:firstLine="360"/>
      </w:pPr>
      <w:r>
        <w:rPr>
          <w:color w:val="1A1A1A"/>
          <w:sz w:val="22"/>
          <w:szCs w:val="22"/>
          <w:rFonts w:ascii="Georgia" w:cs="Georgia" w:eastAsia="Georgia" w:hAnsi="Georgia"/>
        </w:rPr>
        <w:t xml:space="preserve">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ClownBinge reports the math.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4.6: THE ARAB RESPONSE. THE HUSAYN-McMAHON CORRESPONDENCE.</w:t>
      </w:r>
    </w:p>
    <w:p>
      <w:pPr>
        <w:spacing w:before="0" w:after="200"/>
        <w:ind w:firstLine="360"/>
      </w:pPr>
      <w:r>
        <w:rPr>
          <w:color w:val="1A1A1A"/>
          <w:sz w:val="22"/>
          <w:szCs w:val="22"/>
          <w:rFonts w:ascii="Georgia" w:cs="Georgia" w:eastAsia="Georgia" w:hAnsi="Georgia"/>
        </w:rPr>
        <w:t xml:space="preserve">The Arab response to the Balfour Declaration cannot be understood without the primary source context of the Husayn-McMahon Correspondence, a series of letters exchanged between Sharif Hussein bin Ali of Mecca and Sir Henry McMahon, the British High Commissioner in Egypt, between July 1915 and March 1916.</w:t>
      </w:r>
    </w:p>
    <w:p>
      <w:pPr>
        <w:spacing w:before="0" w:after="200"/>
        <w:ind w:firstLine="360"/>
      </w:pPr>
      <w:r>
        <w:rPr>
          <w:color w:val="1A1A1A"/>
          <w:sz w:val="22"/>
          <w:szCs w:val="22"/>
          <w:rFonts w:ascii="Georgia" w:cs="Georgia" w:eastAsia="Georgia" w:hAnsi="Georgia"/>
        </w:rPr>
        <w:t xml:space="preserve">In that correspondence, Britain effectively promised Arab independence in exchange for the Arab Revolt against the Ottoman Empire during the First World War. Sharif Hussein understood the correspondence as a British commitment to Arab sovereignty over a large portion of the Arab territories of the Ottoman Empire, including, in the Arab interpretation, Palestine.</w:t>
      </w:r>
    </w:p>
    <w:p>
      <w:pPr>
        <w:spacing w:before="0" w:after="200"/>
        <w:ind w:firstLine="360"/>
      </w:pPr>
      <w:r>
        <w:rPr>
          <w:color w:val="1A1A1A"/>
          <w:sz w:val="22"/>
          <w:szCs w:val="22"/>
          <w:rFonts w:ascii="Georgia" w:cs="Georgia" w:eastAsia="Georgia" w:hAnsi="Georgia"/>
        </w:rPr>
        <w:t xml:space="preserve">The Husayn-McMahon Correspondence is held at the British National Archives. Its interpretation has been contested since its production, with the British government subsequently arguing that Palestine was excluded from the territories covered by the correspondence. The Arab parties to the correspondence disputed that interpretation. The text of the correspondence itself is ambiguous on the question of Palestine's inclusion.</w:t>
      </w:r>
    </w:p>
    <w:p>
      <w:pPr>
        <w:spacing w:before="0" w:after="200"/>
        <w:ind w:firstLine="360"/>
      </w:pPr>
      <w:r>
        <w:rPr>
          <w:color w:val="1A1A1A"/>
          <w:sz w:val="22"/>
          <w:szCs w:val="22"/>
          <w:rFonts w:ascii="Georgia" w:cs="Georgia" w:eastAsia="Georgia" w:hAnsi="Georgia"/>
        </w:rPr>
        <w:t xml:space="preserve">What is not ambiguous is the following primary source fact. Britain made commitments to two different parties, the Zionist Federation through the Balfour Declaration and the Arab leadership through the Husayn-McMahon Correspondence, regarding the future of territories that overlapped. The Sykes-Picot Agreement, made simultaneously with both sets of commitments, divided those same territories between Britain and France without reference to either party's understanding of what had been promised.</w:t>
      </w:r>
    </w:p>
    <w:p>
      <w:pPr>
        <w:spacing w:before="0" w:after="200"/>
        <w:ind w:firstLine="360"/>
      </w:pPr>
      <w:r>
        <w:rPr>
          <w:color w:val="1A1A1A"/>
          <w:sz w:val="22"/>
          <w:szCs w:val="22"/>
          <w:rFonts w:ascii="Georgia" w:cs="Georgia" w:eastAsia="Georgia" w:hAnsi="Georgia"/>
        </w:rPr>
        <w:t xml:space="preserve">Britain made three sets of commitments regarding the same territory to three different parties between 1915 and 1917. The primary source record of those commitments is held at the British National Archives. The contradictions between them are not a matter of interpretation. They are a matter of documentary record.</w:t>
      </w:r>
    </w:p>
    <w:p>
      <w:pPr>
        <w:spacing w:before="0" w:after="200"/>
        <w:ind w:firstLine="360"/>
      </w:pPr>
      <w:r>
        <w:rPr>
          <w:color w:val="1A1A1A"/>
          <w:sz w:val="22"/>
          <w:szCs w:val="22"/>
          <w:rFonts w:ascii="Georgia" w:cs="Georgia" w:eastAsia="Georgia" w:hAnsi="Georgia"/>
        </w:rPr>
        <w:t xml:space="preserve">The Arab political leadership responded to the Balfour Declaration with the documented position that it violated the commitments Britain had made in the Husayn-McMahon Correspondence. That position is documented in the diplomatic record of the Paris Peace Conference of 1919, where Faysal ibn Husayn, representing the Arab Kingdom of the Hejaz, presented the Arab case to the Allied powers. His testimony is in the conference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4.7: THE OTTOMAN RESPONSE. THE DOCUMENTARY RECORD.</w:t>
      </w:r>
    </w:p>
    <w:p>
      <w:pPr>
        <w:spacing w:before="0" w:after="200"/>
        <w:ind w:firstLine="360"/>
      </w:pPr>
      <w:r>
        <w:rPr>
          <w:color w:val="1A1A1A"/>
          <w:sz w:val="22"/>
          <w:szCs w:val="22"/>
          <w:rFonts w:ascii="Georgia" w:cs="Georgia" w:eastAsia="Georgia" w:hAnsi="Georgia"/>
        </w:rPr>
        <w:t xml:space="preserve">Palestine was Ottoman territory in 1917. The Balfour Declaration was issued by a government that did not control Palestine at the time of its issuance. Britain was at war with the Ottoman Empire. British forces were advancing through Palestine during the period of the declaration's production. Jerusalem fell to British forces on December 9, 1917, five weeks after the declaration was published.</w:t>
      </w:r>
    </w:p>
    <w:p>
      <w:pPr>
        <w:spacing w:before="0" w:after="200"/>
        <w:ind w:firstLine="360"/>
      </w:pPr>
      <w:r>
        <w:rPr>
          <w:color w:val="1A1A1A"/>
          <w:sz w:val="22"/>
          <w:szCs w:val="22"/>
          <w:rFonts w:ascii="Georgia" w:cs="Georgia" w:eastAsia="Georgia" w:hAnsi="Georgia"/>
        </w:rPr>
        <w:t xml:space="preserve">The Ottoman government's response to the Balfour Declaration is documented in the diplomatic record of the period. The Ottoman position was that Britain had no authority to make declarations regarding the future of Ottoman territory and that the declaration was a violation of the established principles of international law as they existed in 1917.</w:t>
      </w:r>
    </w:p>
    <w:p>
      <w:pPr>
        <w:spacing w:before="0" w:after="200"/>
        <w:ind w:firstLine="360"/>
      </w:pPr>
      <w:r>
        <w:rPr>
          <w:color w:val="1A1A1A"/>
          <w:sz w:val="22"/>
          <w:szCs w:val="22"/>
          <w:rFonts w:ascii="Georgia" w:cs="Georgia" w:eastAsia="Georgia" w:hAnsi="Georgia"/>
        </w:rPr>
        <w:t xml:space="preserve">The Ottoman Empire had governed Palestine continuously since 1517. The Ottoman land registry system, discussed in Chapter 5, documented Palestinian land ownership across four centuries of Ottoman administration. The declaration made no reference to the existing Ottoman administrative and legal framework governing land ownership and residency in Palestine. It made no reference to the rights of the existing landowners documented in the Ottoman registry. It referred only to the civil and religious rights of existing non-Jewish communities, not to their property rights or their political rights.</w:t>
      </w:r>
    </w:p>
    <w:p>
      <w:pPr>
        <w:spacing w:before="0" w:after="200"/>
        <w:ind w:firstLine="360"/>
      </w:pPr>
      <w:r>
        <w:rPr>
          <w:color w:val="1A1A1A"/>
          <w:sz w:val="22"/>
          <w:szCs w:val="22"/>
          <w:rFonts w:ascii="Georgia" w:cs="Georgia" w:eastAsia="Georgia" w:hAnsi="Georgia"/>
        </w:rPr>
        <w:t xml:space="preserve">The Ottoman response is a primary source document of the declaration's reception by the sovereign authority of the territory it addressed. That authority's position is in the diplomatic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4.8: THE DELTA. WHAT THE STANDARD ACCOUNT OMITS.</w:t>
      </w:r>
    </w:p>
    <w:p>
      <w:pPr>
        <w:spacing w:before="0" w:after="200"/>
        <w:ind w:firstLine="360"/>
      </w:pPr>
      <w:r>
        <w:rPr>
          <w:color w:val="1A1A1A"/>
          <w:sz w:val="22"/>
          <w:szCs w:val="22"/>
          <w:rFonts w:ascii="Georgia" w:cs="Georgia" w:eastAsia="Georgia" w:hAnsi="Georgia"/>
        </w:rPr>
        <w:t xml:space="preserve">The standard account of the Balfour Declaration focuses on its significance as a milestone in Zionist political achievement. That significance is real. The declaration was the first major governmental endorsement of the Zionist program. It shaped the subsequent history of the Middle East in ways that continue to produce documented consequences in the present.</w:t>
      </w:r>
    </w:p>
    <w:p>
      <w:pPr>
        <w:spacing w:before="0" w:after="200"/>
        <w:ind w:firstLine="360"/>
      </w:pPr>
      <w:r>
        <w:rPr>
          <w:color w:val="1A1A1A"/>
          <w:sz w:val="22"/>
          <w:szCs w:val="22"/>
          <w:rFonts w:ascii="Georgia" w:cs="Georgia" w:eastAsia="Georgia" w:hAnsi="Georgia"/>
        </w:rPr>
        <w:t xml:space="preserve">What the standard account consistently omits or minimizes is the following documented record.</w:t>
      </w:r>
    </w:p>
    <w:p>
      <w:pPr>
        <w:spacing w:before="0" w:after="200"/>
        <w:ind w:firstLine="360"/>
      </w:pPr>
      <w:r>
        <w:rPr>
          <w:color w:val="1A1A1A"/>
          <w:sz w:val="22"/>
          <w:szCs w:val="22"/>
          <w:rFonts w:ascii="Georgia" w:cs="Georgia" w:eastAsia="Georgia" w:hAnsi="Georgia"/>
        </w:rPr>
        <w:t xml:space="preserve">Edwin Samuel Montagu, the only Jewish member of the British Cabinet, formally opposed the declaration as itself a form of antisemitism. His memorandum, The Anti-Semitism of the British Government, is a primary source document that the standard popular account of the Balfour Declaration rarely cites in full. It is in the British National Archives.</w:t>
      </w:r>
    </w:p>
    <w:p>
      <w:pPr>
        <w:spacing w:before="0" w:after="200"/>
        <w:ind w:firstLine="360"/>
      </w:pPr>
      <w:r>
        <w:rPr>
          <w:color w:val="1A1A1A"/>
          <w:sz w:val="22"/>
          <w:szCs w:val="22"/>
          <w:rFonts w:ascii="Georgia" w:cs="Georgia" w:eastAsia="Georgia" w:hAnsi="Georgia"/>
        </w:rPr>
        <w:t xml:space="preserve">The declaration was motivated in significant part by British strategic calculations about Jewish influence in American and Russian politics that have been documented by subsequent scholarship as significantly overestimated. The declaration was, in part, a product of antisemitic assumptions about Jewish financial and political power dressed in the language of sympathy.</w:t>
      </w:r>
    </w:p>
    <w:p>
      <w:pPr>
        <w:spacing w:before="0" w:after="200"/>
        <w:ind w:firstLine="360"/>
      </w:pPr>
      <w:r>
        <w:rPr>
          <w:color w:val="1A1A1A"/>
          <w:sz w:val="22"/>
          <w:szCs w:val="22"/>
          <w:rFonts w:ascii="Georgia" w:cs="Georgia" w:eastAsia="Georgia" w:hAnsi="Georgia"/>
        </w:rPr>
        <w:t xml:space="preserve">The declaration was produced in the context of the Sykes-Picot Agreement, which divided the anticipated post-war territories of the Ottoman Empire between Britain and France. The declaration was, in part, a British maneuver to secure a stronger claim to Palestine than the Sykes-Picot framework had granted. The strategic interests of the British Empire, not the religious claims of Judaism, were the primary driver of the declaration's production.</w:t>
      </w:r>
    </w:p>
    <w:p>
      <w:pPr>
        <w:spacing w:before="0" w:after="200"/>
        <w:ind w:firstLine="360"/>
      </w:pPr>
      <w:r>
        <w:rPr>
          <w:color w:val="1A1A1A"/>
          <w:sz w:val="22"/>
          <w:szCs w:val="22"/>
          <w:rFonts w:ascii="Georgia" w:cs="Georgia" w:eastAsia="Georgia" w:hAnsi="Georgia"/>
        </w:rPr>
        <w:t xml:space="preserve">The existing population of Palestine at the time of the declaration represented approximately 86 percent of the territory's total population. The declaration referred to this population as existing non-Jewish communities. The Ottoman census of 1914 named them. The British census of 1922 counted them. The declaration erased them into a subordinate clause.</w:t>
      </w:r>
    </w:p>
    <w:p>
      <w:pPr>
        <w:spacing w:before="0" w:after="200"/>
        <w:ind w:firstLine="360"/>
      </w:pPr>
      <w:r>
        <w:rPr>
          <w:color w:val="1A1A1A"/>
          <w:sz w:val="22"/>
          <w:szCs w:val="22"/>
          <w:rFonts w:ascii="Georgia" w:cs="Georgia" w:eastAsia="Georgia" w:hAnsi="Georgia"/>
        </w:rPr>
        <w:t xml:space="preserve">The receipts predate the declaration. The census is older than the letter. The land registry is older than the census. The Torah is older than all of them. The documents do not require editorial assistance. They require reading.</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Balfour, A. J. (1917, November 2). The Balfour Declaration [Letter to Lord Walter Rothschild]. British Foreign Office. https://www.jewishvirtuallibrary.org/text-of-the-balfour-declaration</w:t>
      </w:r>
    </w:p>
    <w:p>
      <w:pPr>
        <w:spacing w:before="0" w:after="120"/>
        <w:ind w:left="720" w:hanging="720"/>
      </w:pPr>
      <w:r>
        <w:rPr>
          <w:color w:val="5A5A5A"/>
          <w:sz w:val="18"/>
          <w:szCs w:val="18"/>
          <w:rFonts w:ascii="Georgia" w:cs="Georgia" w:eastAsia="Georgia" w:hAnsi="Georgia"/>
        </w:rPr>
        <w:t xml:space="preserve">British Cabinet Office. (1917). Cabinet minutes and memoranda, 1917 [including Montagu memorandum, August 23, 1917]. British National Archives, CAB 24/24. https://www.nationalarchives.gov.uk</w:t>
      </w:r>
    </w:p>
    <w:p>
      <w:pPr>
        <w:spacing w:before="0" w:after="120"/>
        <w:ind w:left="720" w:hanging="720"/>
      </w:pPr>
      <w:r>
        <w:rPr>
          <w:color w:val="5A5A5A"/>
          <w:sz w:val="18"/>
          <w:szCs w:val="18"/>
          <w:rFonts w:ascii="Georgia" w:cs="Georgia" w:eastAsia="Georgia" w:hAnsi="Georgia"/>
        </w:rPr>
        <w:t xml:space="preserve">British Mandate Palestine. (1922). Census of Palestine, 1922. Government of Palestine. https://www.jewishvirtuallibrary.org/population-of-israel-palestine-1517-1948</w:t>
      </w:r>
    </w:p>
    <w:p>
      <w:pPr>
        <w:spacing w:before="0" w:after="120"/>
        <w:ind w:left="720" w:hanging="720"/>
      </w:pPr>
      <w:r>
        <w:rPr>
          <w:color w:val="5A5A5A"/>
          <w:sz w:val="18"/>
          <w:szCs w:val="18"/>
          <w:rFonts w:ascii="Georgia" w:cs="Georgia" w:eastAsia="Georgia" w:hAnsi="Georgia"/>
        </w:rPr>
        <w:t xml:space="preserve">Faysal ibn Husayn. (1919). Statement to the Paris Peace Conference [January 1919]. Paris Peace Conference Records.</w:t>
      </w:r>
    </w:p>
    <w:p>
      <w:pPr>
        <w:spacing w:before="0" w:after="120"/>
        <w:ind w:left="720" w:hanging="720"/>
      </w:pPr>
      <w:r>
        <w:rPr>
          <w:color w:val="5A5A5A"/>
          <w:sz w:val="18"/>
          <w:szCs w:val="18"/>
          <w:rFonts w:ascii="Georgia" w:cs="Georgia" w:eastAsia="Georgia" w:hAnsi="Georgia"/>
        </w:rPr>
        <w:t xml:space="preserve">Husayn, S., &amp; McMahon, H. (1915–1916). The Husayn-McMahon Correspondence [July 1915–March 1916]. British National Archives, FO 371. https://www.nationalarchives.gov.uk</w:t>
      </w:r>
    </w:p>
    <w:p>
      <w:pPr>
        <w:spacing w:before="0" w:after="120"/>
        <w:ind w:left="720" w:hanging="720"/>
      </w:pPr>
      <w:r>
        <w:rPr>
          <w:color w:val="5A5A5A"/>
          <w:sz w:val="18"/>
          <w:szCs w:val="18"/>
          <w:rFonts w:ascii="Georgia" w:cs="Georgia" w:eastAsia="Georgia" w:hAnsi="Georgia"/>
        </w:rPr>
        <w:t xml:space="preserve">Montagu, E. S. (1917, August 23). The anti-Semitism of the present British government [Cabinet memorandum]. British Cabinet Office, CAB 24/24. British National Archives.</w:t>
      </w:r>
    </w:p>
    <w:p>
      <w:pPr>
        <w:spacing w:before="0" w:after="120"/>
        <w:ind w:left="720" w:hanging="720"/>
      </w:pPr>
      <w:r>
        <w:rPr>
          <w:color w:val="5A5A5A"/>
          <w:sz w:val="18"/>
          <w:szCs w:val="18"/>
          <w:rFonts w:ascii="Georgia" w:cs="Georgia" w:eastAsia="Georgia" w:hAnsi="Georgia"/>
        </w:rPr>
        <w:t xml:space="preserve">Ottoman Empire. (1914). Ottoman census of 1914: Palestine population data. Ottoman Imperial Archives, Istanbul.</w:t>
      </w:r>
    </w:p>
    <w:p>
      <w:pPr>
        <w:spacing w:before="0" w:after="120"/>
        <w:ind w:left="720" w:hanging="720"/>
      </w:pPr>
      <w:r>
        <w:rPr>
          <w:color w:val="5A5A5A"/>
          <w:sz w:val="18"/>
          <w:szCs w:val="18"/>
          <w:rFonts w:ascii="Georgia" w:cs="Georgia" w:eastAsia="Georgia" w:hAnsi="Georgia"/>
        </w:rPr>
        <w:t xml:space="preserve">Sykes, M., &amp; Picot, F. (1916, May 16). The Sykes-Picot Agreement [Secret treaty between Britain and France]. British National Archives, FO 371/2767. https://www.nationalarchives.gov.uk</w:t>
      </w:r>
    </w:p>
    <w:p>
      <w:pPr>
        <w:spacing w:before="0" w:after="120"/>
        <w:ind w:left="720" w:hanging="720"/>
      </w:pPr>
      <w:r>
        <w:rPr>
          <w:color w:val="5A5A5A"/>
          <w:sz w:val="18"/>
          <w:szCs w:val="18"/>
          <w:rFonts w:ascii="Georgia" w:cs="Georgia" w:eastAsia="Georgia" w:hAnsi="Georgia"/>
        </w:rPr>
        <w:t xml:space="preserve">Weizmann, C. (1949). Trial and error: The autobiography of Chaim Weizmann. Harper &amp; Brothers.</w:t>
      </w:r>
    </w:p>
    <w:p>
      <w:pPr>
        <w:spacing w:before="0" w:after="120"/>
        <w:ind w:left="720" w:hanging="720"/>
      </w:pPr>
      <w:r>
        <w:rPr>
          <w:color w:val="5A5A5A"/>
          <w:sz w:val="18"/>
          <w:szCs w:val="18"/>
          <w:rFonts w:ascii="Georgia" w:cs="Georgia" w:eastAsia="Georgia" w:hAnsi="Georgia"/>
        </w:rPr>
        <w:t xml:space="preserve">Wikipedia. (2024). Balfour Declaration. https://en.wikipedia.org/wiki/Balfour_Declaration</w:t>
      </w:r>
    </w:p>
    <w:p>
      <w:pPr>
        <w:spacing w:before="0" w:after="120"/>
        <w:ind w:left="720" w:hanging="720"/>
      </w:pPr>
      <w:r>
        <w:rPr>
          <w:color w:val="5A5A5A"/>
          <w:sz w:val="18"/>
          <w:szCs w:val="18"/>
          <w:rFonts w:ascii="Georgia" w:cs="Georgia" w:eastAsia="Georgia" w:hAnsi="Georgia"/>
        </w:rPr>
        <w:t xml:space="preserve">Wikipedia. (2024). Hussein-McMahon correspondence. https://en.wikipedia.org/wiki/Hussein%E2%80%93McMahon_correspondence</w:t>
      </w:r>
    </w:p>
    <w:p>
      <w:r>
        <w:br w:type="page"/>
      </w:r>
    </w:p>
    <w:p>
      <w:pPr>
        <w:spacing w:before="0" w:after="80"/>
      </w:pPr>
      <w:r>
        <w:rPr>
          <w:b/>
          <w:bCs/>
          <w:color w:val="C9A227"/>
          <w:sz w:val="20"/>
          <w:szCs w:val="20"/>
          <w:caps/>
          <w:rFonts w:ascii="Georgia" w:cs="Georgia" w:eastAsia="Georgia" w:hAnsi="Georgia"/>
          <w:spacing w:val="160"/>
        </w:rPr>
        <w:t xml:space="preserve">CHAPTER 5</w:t>
      </w:r>
    </w:p>
    <w:p>
      <w:pPr>
        <w:pStyle w:val="Heading1"/>
        <w:spacing w:before="0" w:after="200"/>
      </w:pPr>
      <w:r>
        <w:rPr>
          <w:b/>
          <w:bCs/>
          <w:color w:val="1A1A1A"/>
          <w:sz w:val="36"/>
          <w:szCs w:val="36"/>
          <w:rFonts w:ascii="Georgia" w:cs="Georgia" w:eastAsia="Georgia" w:hAnsi="Georgia"/>
        </w:rPr>
        <w:t xml:space="preserve">Land, Census, and Demographic Reality</w:t>
      </w:r>
    </w:p>
    <w:p>
      <w:pPr>
        <w:spacing w:before="0" w:after="200"/>
        <w:ind w:firstLine="360"/>
      </w:pPr>
      <w:r>
        <w:rPr>
          <w:color w:val="1A1A1A"/>
          <w:sz w:val="22"/>
          <w:szCs w:val="22"/>
          <w:rFonts w:ascii="Georgia" w:cs="Georgia" w:eastAsia="Georgia" w:hAnsi="Georgia"/>
        </w:rPr>
        <w:t xml:space="preserve">A land registry does not have a political agenda. It records who owned what land, in what quantity, in what location, on what date, under what legal instrument of transfer. The Ottoman land registry system, known as the tapu, operated continuously in Palestine from 1858 to 1918. The British Mandate land administration system operated continuously from 1920 to 1948. Both systems produced primary source documents of land ownership and population distribution that exist in archives in Istanbul, London, Ramallah, and Jerusalem. Those documents are the subject of this chapter.</w:t>
      </w:r>
    </w:p>
    <w:p>
      <w:pPr>
        <w:spacing w:before="0" w:after="200"/>
        <w:ind w:firstLine="360"/>
      </w:pPr>
      <w:r>
        <w:rPr>
          <w:color w:val="1A1A1A"/>
          <w:sz w:val="22"/>
          <w:szCs w:val="22"/>
          <w:rFonts w:ascii="Georgia" w:cs="Georgia" w:eastAsia="Georgia" w:hAnsi="Georgia"/>
        </w:rPr>
        <w:t xml:space="preserve">The political discourse about Palestine before 1948 frequently describes the land as either largely empty and available for settlement or as fully owned and occupied by an existing population. Neither characterization requires editorial adjudication. The primary source record requires reading.</w:t>
      </w:r>
    </w:p>
    <w:p>
      <w:pPr>
        <w:spacing w:before="0" w:after="200"/>
        <w:ind w:firstLine="360"/>
      </w:pPr>
      <w:r>
        <w:rPr>
          <w:color w:val="1A1A1A"/>
          <w:sz w:val="22"/>
          <w:szCs w:val="22"/>
          <w:rFonts w:ascii="Georgia" w:cs="Georgia" w:eastAsia="Georgia" w:hAnsi="Georgia"/>
        </w:rPr>
        <w:t xml:space="preserve">This chapter reads those documents. It does not argue from them. It reports what they recorded. The demographic reality of Palestine before 1948 is not a contested matter in the primary sources. It is a documented matter. The contest is political. The documentation is archival. This chapter concerns itself exclusively with the documentation.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5.1: THE OTTOMAN LAND REGISTRY SYSTEM. WHAT IT WAS AND WHAT IT PRODUCED.</w:t>
      </w:r>
    </w:p>
    <w:p>
      <w:pPr>
        <w:spacing w:before="0" w:after="200"/>
        <w:ind w:firstLine="360"/>
      </w:pPr>
      <w:r>
        <w:rPr>
          <w:color w:val="1A1A1A"/>
          <w:sz w:val="22"/>
          <w:szCs w:val="22"/>
          <w:rFonts w:ascii="Georgia" w:cs="Georgia" w:eastAsia="Georgia" w:hAnsi="Georgia"/>
        </w:rPr>
        <w:t xml:space="preserve">The Ottoman Land Code of 1858 established the tapu system as the formal framework for land registration across the Ottoman Empire. The code required landowners to register their holdings with the Ottoman land registry, known as the tapu sicili, in exchange for official title deeds, known as tapu senedi. The system was modeled in part on European land registration practices and was intended to modernize Ottoman land administration, facilitate tax collection, and create a formal legal record of land ownership across the empire.</w:t>
      </w:r>
    </w:p>
    <w:p>
      <w:pPr>
        <w:spacing w:before="0" w:after="200"/>
        <w:ind w:firstLine="360"/>
      </w:pPr>
      <w:r>
        <w:rPr>
          <w:color w:val="1A1A1A"/>
          <w:sz w:val="22"/>
          <w:szCs w:val="22"/>
          <w:rFonts w:ascii="Georgia" w:cs="Georgia" w:eastAsia="Georgia" w:hAnsi="Georgia"/>
        </w:rPr>
        <w:t xml:space="preserve">The Ottoman Land Code divided land into five categories. Mulk land was privately owned land subject to full individual ownership rights. Miri land was state land that could be allocated to individuals for cultivation under conditions of continuous use. Waqf land was land held in religious endowment, typically for the support of mosques, schools, or charitable institutions. Matruka land was land reserved for public use. Mawat land was uncultivated or dead land that had no registered owner.</w:t>
      </w:r>
    </w:p>
    <w:p>
      <w:pPr>
        <w:spacing w:before="0" w:after="200"/>
        <w:ind w:firstLine="360"/>
      </w:pPr>
      <w:r>
        <w:rPr>
          <w:color w:val="1A1A1A"/>
          <w:sz w:val="22"/>
          <w:szCs w:val="22"/>
          <w:rFonts w:ascii="Georgia" w:cs="Georgia" w:eastAsia="Georgia" w:hAnsi="Georgia"/>
        </w:rPr>
        <w:t xml:space="preserve">The distinction between these categories is forensically significant for the question of Palestinian land ownership before 1948. Subsequent legal arguments about the availability of land for Jewish settlement frequently relied on the classification of large portions of Palestinian land as miri or mawat, meaning state land or dead land available for allocation, rather than mulk land under individual private ownership. The Ottoman land registry documents are the primary sources against which those arguments must be evaluated.</w:t>
      </w:r>
    </w:p>
    <w:p>
      <w:pPr>
        <w:spacing w:before="0" w:after="200"/>
        <w:ind w:firstLine="360"/>
      </w:pPr>
      <w:r>
        <w:rPr>
          <w:color w:val="1A1A1A"/>
          <w:sz w:val="22"/>
          <w:szCs w:val="22"/>
          <w:rFonts w:ascii="Georgia" w:cs="Georgia" w:eastAsia="Georgia" w:hAnsi="Georgia"/>
        </w:rPr>
        <w:t xml:space="preserve">The tapu records for Palestine are held in multiple archives. The primary repository is the Ottoman Imperial Archives, known as the Başbakanlık Osmanlı Arşivi, in Istanbul. The Turkish government has digitized significant portions of these records. In 2018, the Turkish Directorate of Ottoman Archives transferred a full electronic archive of 140,000 documents spanning over 400 years of Ottoman administration in Palestinian territories to the Palestinian Land Authority through the Turkish embassy in Ramallah. The transfer is documented in Anadolu Agency reporting of March 2018 and is publicly accessible.</w:t>
      </w:r>
    </w:p>
    <w:p>
      <w:pPr>
        <w:spacing w:before="0" w:after="200"/>
        <w:ind w:firstLine="360"/>
      </w:pPr>
      <w:r>
        <w:rPr>
          <w:color w:val="1A1A1A"/>
          <w:sz w:val="22"/>
          <w:szCs w:val="22"/>
          <w:rFonts w:ascii="Georgia" w:cs="Georgia" w:eastAsia="Georgia" w:hAnsi="Georgia"/>
        </w:rPr>
        <w:t xml:space="preserve">The Open Jerusalem project, a collaborative scholarly initiative, has digitized and made publicly accessible more than 5,000 documents from the Ottoman Imperial Archives related to Jerusalem's administrative history. The shari'a court records of Jerusalem, covering the period from 1529 to 1917, constitute one of the richest primary source collections for the social and economic history of Ottoman Palestine. They are accessible through the Open Jerusalem database.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5.2: WHAT THE OTTOMAN REGISTRY RECORDED. THE LAND OWNERSHIP DATA.</w:t>
      </w:r>
    </w:p>
    <w:p>
      <w:pPr>
        <w:spacing w:before="0" w:after="200"/>
        <w:ind w:firstLine="360"/>
      </w:pPr>
      <w:r>
        <w:rPr>
          <w:color w:val="1A1A1A"/>
          <w:sz w:val="22"/>
          <w:szCs w:val="22"/>
          <w:rFonts w:ascii="Georgia" w:cs="Georgia" w:eastAsia="Georgia" w:hAnsi="Georgia"/>
        </w:rPr>
        <w:t xml:space="preserve">The most frequently cited systematic analysis of Ottoman and early British Mandate land ownership data in Palestine is the work of scholar Sami Hadawi, a Palestinian land assessor who worked for the British Mandate government's land registry department and subsequently compiled a systematic analysis of land ownership patterns based on the official records to which he had direct professional access.</w:t>
      </w:r>
    </w:p>
    <w:p>
      <w:pPr>
        <w:spacing w:before="0" w:after="200"/>
        <w:ind w:firstLine="360"/>
      </w:pPr>
      <w:r>
        <w:rPr>
          <w:color w:val="1A1A1A"/>
          <w:sz w:val="22"/>
          <w:szCs w:val="22"/>
          <w:rFonts w:ascii="Georgia" w:cs="Georgia" w:eastAsia="Georgia" w:hAnsi="Georgia"/>
        </w:rPr>
        <w:t xml:space="preserve">Hadawi's analysis, published in Palestinian Rights and Losses in 1948 and in Bitter Harvest, documents land ownership in Palestine by population group based on the official registry data. His analysis constitutes a primary source of the second order: it is a professional analysis conducted by a trained land assessor using the original registry documents as its source material.</w:t>
      </w:r>
    </w:p>
    <w:p>
      <w:pPr>
        <w:spacing w:before="0" w:after="200"/>
        <w:ind w:firstLine="360"/>
      </w:pPr>
      <w:r>
        <w:rPr>
          <w:color w:val="1A1A1A"/>
          <w:sz w:val="22"/>
          <w:szCs w:val="22"/>
          <w:rFonts w:ascii="Georgia" w:cs="Georgia" w:eastAsia="Georgia" w:hAnsi="Georgia"/>
        </w:rPr>
        <w:t xml:space="preserve">The United Nations Special Committee on Palestine, known as UNSCOP, was established in May 1947 to investigate the situation in Palestine and make recommendations for its future. UNSCOP's report, submitted to the United Nations General Assembly in September 1947, contains land ownership data derived from the British Mandate government's official records.</w:t>
      </w:r>
    </w:p>
    <w:p>
      <w:pPr>
        <w:spacing w:before="0" w:after="200"/>
        <w:ind w:firstLine="360"/>
      </w:pPr>
      <w:r>
        <w:rPr>
          <w:color w:val="1A1A1A"/>
          <w:sz w:val="22"/>
          <w:szCs w:val="22"/>
          <w:rFonts w:ascii="Georgia" w:cs="Georgia" w:eastAsia="Georgia" w:hAnsi="Georgia"/>
        </w:rPr>
        <w:t xml:space="preserve">According to the data compiled by the Anglo-American Committee of Inquiry in 1946, drawing on official British Mandate land records, of the approximately 26.3 million dunams of land in Palestine, approximately 1.5 million dunams were registered as Jewish owned. That is approximately 5.8 percent of Palestine's total land area. Approximately 9.2 million dunams were registered in Arab ownership. Approximately 16.9 million dunams were classified as public, state, or uncultivated land.</w:t>
      </w:r>
    </w:p>
    <w:p>
      <w:pPr>
        <w:spacing w:before="0" w:after="200"/>
        <w:ind w:firstLine="360"/>
      </w:pPr>
      <w:r>
        <w:rPr>
          <w:color w:val="1A1A1A"/>
          <w:sz w:val="22"/>
          <w:szCs w:val="22"/>
          <w:rFonts w:ascii="Georgia" w:cs="Georgia" w:eastAsia="Georgia" w:hAnsi="Georgia"/>
        </w:rPr>
        <w:t xml:space="preserve">The 5.8 percent figure for Jewish-owned land in 1946 is a primary source figure derived from the official British Mandate land registry. It is not a Palestinian political claim. It is the documented output of the British colonial administration's own land recording system.</w:t>
      </w:r>
    </w:p>
    <w:p>
      <w:pPr>
        <w:spacing w:before="0" w:after="200"/>
        <w:ind w:firstLine="360"/>
      </w:pPr>
      <w:r>
        <w:rPr>
          <w:color w:val="1A1A1A"/>
          <w:sz w:val="22"/>
          <w:szCs w:val="22"/>
          <w:rFonts w:ascii="Georgia" w:cs="Georgia" w:eastAsia="Georgia" w:hAnsi="Georgia"/>
        </w:rPr>
        <w:t xml:space="preserve">The classification of 16.9 million dunams as public, state, or uncultivated land is the primary source basis for subsequent arguments about land availability for Jewish settlement. The forensic question those arguments require engaging is whether the Ottoman and British classification of land as miri, mawat, or state land accurately reflected the actual use and traditional ownership of those lands by Palestinian Arab communities, many of which had cultivated land under traditional arrangements that predated the Ottoman Land Code's registration requirements.</w:t>
      </w:r>
    </w:p>
    <w:p>
      <w:pPr>
        <w:spacing w:before="0" w:after="200"/>
        <w:ind w:firstLine="360"/>
      </w:pPr>
      <w:r>
        <w:rPr>
          <w:color w:val="1A1A1A"/>
          <w:sz w:val="22"/>
          <w:szCs w:val="22"/>
          <w:rFonts w:ascii="Georgia" w:cs="Georgia" w:eastAsia="Georgia" w:hAnsi="Georgia"/>
        </w:rPr>
        <w:t xml:space="preserve">That forensic question is not resolved in this volume. It is documented as a primary source dispute between the official land registry record and the documented traditional usage patterns of Palestinian agricultural communities.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5.3: THE BRITISH MANDATE CENSUSES. THE DEMOGRAPHIC RECORD.</w:t>
      </w:r>
    </w:p>
    <w:p>
      <w:pPr>
        <w:spacing w:before="0" w:after="200"/>
        <w:ind w:firstLine="360"/>
      </w:pPr>
      <w:r>
        <w:rPr>
          <w:color w:val="1A1A1A"/>
          <w:sz w:val="22"/>
          <w:szCs w:val="22"/>
          <w:rFonts w:ascii="Georgia" w:cs="Georgia" w:eastAsia="Georgia" w:hAnsi="Georgia"/>
        </w:rPr>
        <w:t xml:space="preserve">The British Mandate government conducted two comprehensive censuses of Palestine. The census of 1922 and the census of 1931. A third census was planned for 1941 but was not conducted due to the Second World War. Population estimates for subsequent years through 1948 are derived from the Mandate government's statistical abstracts and vital statistics records.</w:t>
      </w:r>
    </w:p>
    <w:p>
      <w:pPr>
        <w:spacing w:before="0" w:after="200"/>
        <w:ind w:firstLine="360"/>
      </w:pPr>
      <w:r>
        <w:rPr>
          <w:color w:val="1A1A1A"/>
          <w:sz w:val="22"/>
          <w:szCs w:val="22"/>
          <w:rFonts w:ascii="Georgia" w:cs="Georgia" w:eastAsia="Georgia" w:hAnsi="Georgia"/>
        </w:rPr>
        <w:t xml:space="preserve">The 1922 census, conducted under the direction of J.B. Barron, documented the following population: Muslims 589,177 (78.3%); Christians 73,024 (9.7%); Jews 83,790 (11.1%); Other 7,617 (1.0%); Total 752,048.</w:t>
      </w:r>
    </w:p>
    <w:p>
      <w:pPr>
        <w:spacing w:before="0" w:after="200"/>
        <w:ind w:firstLine="360"/>
      </w:pPr>
      <w:r>
        <w:rPr>
          <w:color w:val="1A1A1A"/>
          <w:sz w:val="22"/>
          <w:szCs w:val="22"/>
          <w:rFonts w:ascii="Georgia" w:cs="Georgia" w:eastAsia="Georgia" w:hAnsi="Georgia"/>
        </w:rPr>
        <w:t xml:space="preserve">The 1931 census, conducted under the direction of E. Mills, documented the following population: Muslims 759,700 (73.4%); Christians 88,907 (8.6%); Jews 174,606 (16.9%); Other 10,101 (1.0%); Total 1,033,314.</w:t>
      </w:r>
    </w:p>
    <w:p>
      <w:pPr>
        <w:spacing w:before="0" w:after="200"/>
        <w:ind w:firstLine="360"/>
      </w:pPr>
      <w:r>
        <w:rPr>
          <w:color w:val="1A1A1A"/>
          <w:sz w:val="22"/>
          <w:szCs w:val="22"/>
          <w:rFonts w:ascii="Georgia" w:cs="Georgia" w:eastAsia="Georgia" w:hAnsi="Georgia"/>
        </w:rPr>
        <w:t xml:space="preserve">The increase in the Jewish population between 1922 and 1931, from 83,790 to 174,606, represents a 108 percent increase over nine years. This increase is documented in the census record as a product of Jewish immigration from Europe during the period. The Mandate government's statistical abstracts document immigration figures by year and by country of origin.</w:t>
      </w:r>
    </w:p>
    <w:p>
      <w:pPr>
        <w:spacing w:before="0" w:after="200"/>
        <w:ind w:firstLine="360"/>
      </w:pPr>
      <w:r>
        <w:rPr>
          <w:color w:val="1A1A1A"/>
          <w:sz w:val="22"/>
          <w:szCs w:val="22"/>
          <w:rFonts w:ascii="Georgia" w:cs="Georgia" w:eastAsia="Georgia" w:hAnsi="Georgia"/>
        </w:rPr>
        <w:t xml:space="preserve">By 1947, the Mandate government's statistical estimates documented the following population: Muslims approximately 1,157,000 (68.0%); Christians approximately 146,000 (8.6%); Jews approximately 630,000 (31.0%); Other approximately 36,000 (2.1%); Total approximately 1,970,000.</w:t>
      </w:r>
    </w:p>
    <w:p>
      <w:pPr>
        <w:spacing w:before="0" w:after="200"/>
        <w:ind w:firstLine="360"/>
      </w:pPr>
      <w:r>
        <w:rPr>
          <w:color w:val="1A1A1A"/>
          <w:sz w:val="22"/>
          <w:szCs w:val="22"/>
          <w:rFonts w:ascii="Georgia" w:cs="Georgia" w:eastAsia="Georgia" w:hAnsi="Georgia"/>
        </w:rPr>
        <w:t xml:space="preserve">These figures are from the British Mandate government's own official records. They document the demographic transformation of Palestine between 1922 and 1947 produced by Jewish immigration from Europe. In 1922, Jewish residents represented 11.1 percent of Palestine's total population. In 1947, they represented approximately 31.0 percent. In 1922, the Muslim population represented 78.3 percent of the total. In 1947, it represented approximately 68.0 percent. The demographic shift is documented in the colonial administration's own statistical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5.4: THE UN PARTITION PLAN. WHAT IT DIVIDED AND ON WHAT BASIS.</w:t>
      </w:r>
    </w:p>
    <w:p>
      <w:pPr>
        <w:spacing w:before="0" w:after="200"/>
        <w:ind w:firstLine="360"/>
      </w:pPr>
      <w:r>
        <w:rPr>
          <w:color w:val="1A1A1A"/>
          <w:sz w:val="22"/>
          <w:szCs w:val="22"/>
          <w:rFonts w:ascii="Georgia" w:cs="Georgia" w:eastAsia="Georgia" w:hAnsi="Georgia"/>
        </w:rPr>
        <w:t xml:space="preserve">United Nations General Assembly Resolution 181, adopted on November 29, 1947, recommended the partition of Palestine into a Jewish state and an Arab state, with Jerusalem under international administration. The resolution passed with 33 votes in favor, 13 against, and 10 abstentions.</w:t>
      </w:r>
    </w:p>
    <w:p>
      <w:pPr>
        <w:spacing w:before="0" w:after="200"/>
        <w:ind w:firstLine="360"/>
      </w:pPr>
      <w:r>
        <w:rPr>
          <w:color w:val="1A1A1A"/>
          <w:sz w:val="22"/>
          <w:szCs w:val="22"/>
          <w:rFonts w:ascii="Georgia" w:cs="Georgia" w:eastAsia="Georgia" w:hAnsi="Georgia"/>
        </w:rPr>
        <w:t xml:space="preserve">The partition plan proposed the following territorial division. The Jewish state would receive approximately 56 percent of the total territory of Mandatory Palestine, including the Negev desert. The Arab state would receive approximately 43 percent. Jerusalem and Bethlehem would be placed under international administration.</w:t>
      </w:r>
    </w:p>
    <w:p>
      <w:pPr>
        <w:spacing w:before="0" w:after="200"/>
        <w:ind w:firstLine="360"/>
      </w:pPr>
      <w:r>
        <w:rPr>
          <w:color w:val="1A1A1A"/>
          <w:sz w:val="22"/>
          <w:szCs w:val="22"/>
          <w:rFonts w:ascii="Georgia" w:cs="Georgia" w:eastAsia="Georgia" w:hAnsi="Georgia"/>
        </w:rPr>
        <w:t xml:space="preserve">The forensic tension in the partition plan is documentable from the plan's own data. The Jewish population of Palestine in 1947 represented approximately 31 percent of the total population and owned approximately 5.8 percent of the total land area as registered in the official land registry. The partition plan proposed allocating 56 percent of the territory to a Jewish state.</w:t>
      </w:r>
    </w:p>
    <w:p>
      <w:pPr>
        <w:spacing w:before="0" w:after="200"/>
        <w:ind w:firstLine="360"/>
      </w:pPr>
      <w:r>
        <w:rPr>
          <w:color w:val="1A1A1A"/>
          <w:sz w:val="22"/>
          <w:szCs w:val="22"/>
          <w:rFonts w:ascii="Georgia" w:cs="Georgia" w:eastAsia="Georgia" w:hAnsi="Georgia"/>
        </w:rPr>
        <w:t xml:space="preserve">The Arab state proposed by the partition plan would have housed a population that was approximately 99 percent Arab. The Jewish state proposed by the partition plan would have housed a population that was approximately 55 percent Jewish and 45 percent Arab. That demographic composition of the proposed Jewish state is documented in the UNSCOP report and in the General Assembly's own records.</w:t>
      </w:r>
    </w:p>
    <w:p>
      <w:pPr>
        <w:spacing w:before="0" w:after="200"/>
        <w:ind w:firstLine="360"/>
      </w:pPr>
      <w:r>
        <w:rPr>
          <w:color w:val="1A1A1A"/>
          <w:sz w:val="22"/>
          <w:szCs w:val="22"/>
          <w:rFonts w:ascii="Georgia" w:cs="Georgia" w:eastAsia="Georgia" w:hAnsi="Georgia"/>
        </w:rPr>
        <w:t xml:space="preserve">The Jewish Agency accepted the partition plan. The Arab League rejected it. The reasons for each position are documented in the respective parties' formal statements to the United Nations. The Arab League's rejection was based on the position that the partition plan allocated a disproportionate share of territory to a population that represented a minority of Palestine's total residents and a small fraction of its registered landowners. The Jewish Agency's acceptance was based on the position that the partition plan provided the political and territorial framework necessary for the establishment of a Jewish state.</w:t>
      </w:r>
    </w:p>
    <w:p>
      <w:pPr>
        <w:spacing w:before="0" w:after="200"/>
        <w:ind w:firstLine="360"/>
      </w:pPr>
      <w:r>
        <w:rPr>
          <w:color w:val="1A1A1A"/>
          <w:sz w:val="22"/>
          <w:szCs w:val="22"/>
          <w:rFonts w:ascii="Georgia" w:cs="Georgia" w:eastAsia="Georgia" w:hAnsi="Georgia"/>
        </w:rPr>
        <w:t xml:space="preserve">Both positions are in the United Nations record. The Ottoman position was that Britain had no authority to make declarations regarding the future of Ottoman territory and that the declaration was a violation of the established principles of international law as they existed in 1917.</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5.5: 1948. THE NAKBA. THE DOCUMENTED DISPLACEMENT RECORD.</w:t>
      </w:r>
    </w:p>
    <w:p>
      <w:pPr>
        <w:spacing w:before="0" w:after="200"/>
        <w:ind w:firstLine="360"/>
      </w:pPr>
      <w:r>
        <w:rPr>
          <w:color w:val="1A1A1A"/>
          <w:sz w:val="22"/>
          <w:szCs w:val="22"/>
          <w:rFonts w:ascii="Georgia" w:cs="Georgia" w:eastAsia="Georgia" w:hAnsi="Georgia"/>
        </w:rPr>
        <w:t xml:space="preserve">The establishment of the State of Israel on May 14, 1948, and the subsequent Arab-Israeli War of 1948 produced a documented displacement of the Palestinian Arab population that is recorded in United Nations records, British Mandate records, Israeli government records, and the testimony archives of Palestinian survivors.</w:t>
      </w:r>
    </w:p>
    <w:p>
      <w:pPr>
        <w:spacing w:before="0" w:after="200"/>
        <w:ind w:firstLine="360"/>
      </w:pPr>
      <w:r>
        <w:rPr>
          <w:color w:val="1A1A1A"/>
          <w:sz w:val="22"/>
          <w:szCs w:val="22"/>
          <w:rFonts w:ascii="Georgia" w:cs="Georgia" w:eastAsia="Georgia" w:hAnsi="Georgia"/>
        </w:rPr>
        <w:t xml:space="preserve">The United Nations Relief and Works Agency for Palestine Refugees in the Near East, known as UNRWA, was established by United Nations General Assembly Resolution 302 on December 8, 1949, specifically to provide relief and works programs for Palestinian refugees. UNRWA's mandate documents the existence and scale of Palestinian refugee displacement as a primary source fact of the highest institutional authority.</w:t>
      </w:r>
    </w:p>
    <w:p>
      <w:pPr>
        <w:spacing w:before="0" w:after="200"/>
        <w:ind w:firstLine="360"/>
      </w:pPr>
      <w:r>
        <w:rPr>
          <w:color w:val="1A1A1A"/>
          <w:sz w:val="22"/>
          <w:szCs w:val="22"/>
          <w:rFonts w:ascii="Georgia" w:cs="Georgia" w:eastAsia="Georgia" w:hAnsi="Georgia"/>
        </w:rPr>
        <w:t xml:space="preserve">UNRWA's foundational records document the following. Approximately 750,000 Palestinian Arabs were displaced from their homes during the 1948 war and its aftermath. They fled or were expelled to the West Bank, the Gaza Strip, Jordan, Lebanon, and Syria. They left behind approximately 400 villages, the majority of which were subsequently depopulated, demolished, or repopulated by Jewish immigrants.</w:t>
      </w:r>
    </w:p>
    <w:p>
      <w:pPr>
        <w:spacing w:before="0" w:after="200"/>
        <w:ind w:firstLine="360"/>
      </w:pPr>
      <w:r>
        <w:rPr>
          <w:color w:val="1A1A1A"/>
          <w:sz w:val="22"/>
          <w:szCs w:val="22"/>
          <w:rFonts w:ascii="Georgia" w:cs="Georgia" w:eastAsia="Georgia" w:hAnsi="Georgia"/>
        </w:rPr>
        <w:t xml:space="preserve">The figure of approximately 750,000 displaced Palestinians is UNRWA's own operational figure, derived from its registration records for refugee relief. It is not a Palestinian political claim. It is the documented basis on which the United Nations established an agency, funded it, and has maintained it in continuous operation for seventy-five consecutive years.</w:t>
      </w:r>
    </w:p>
    <w:p>
      <w:pPr>
        <w:spacing w:before="0" w:after="200"/>
        <w:ind w:firstLine="360"/>
      </w:pPr>
      <w:r>
        <w:rPr>
          <w:color w:val="1A1A1A"/>
          <w:sz w:val="22"/>
          <w:szCs w:val="22"/>
          <w:rFonts w:ascii="Georgia" w:cs="Georgia" w:eastAsia="Georgia" w:hAnsi="Georgia"/>
        </w:rPr>
        <w:t xml:space="preserve">As of 2024, UNRWA documents 5.9 million registered Palestinian refugees, representing the original displaced population and their descendants across three generations. The registration system is UNRWA's own administrative record. It is publicly accessible through UNRWA's website.</w:t>
      </w:r>
    </w:p>
    <w:p>
      <w:pPr>
        <w:spacing w:before="0" w:after="200"/>
        <w:ind w:firstLine="360"/>
      </w:pPr>
      <w:r>
        <w:rPr>
          <w:color w:val="1A1A1A"/>
          <w:sz w:val="22"/>
          <w:szCs w:val="22"/>
          <w:rFonts w:ascii="Georgia" w:cs="Georgia" w:eastAsia="Georgia" w:hAnsi="Georgia"/>
        </w:rPr>
        <w:t xml:space="preserve">The Israeli government's own records, specifically the Haganah and Israel Defense Forces operational documents that have been partially declassified and studied by Israeli historians including Benny Morris, document the military operations of 1948 in detail. Morris's research, published in The Birth of the Palestinian Refugee Problem, 1947 to 1949, first published in 1987 and revised in 2004, draws on Israeli military archives to document the circumstances of Palestinian displacement during the 1948 war. Morris's work is a secondary source drawing on primary source Israeli military records. It documents cases of expulsion alongside cases of flight, establishing that the displacement was not exclusively voluntary.</w:t>
      </w:r>
    </w:p>
    <w:p>
      <w:pPr>
        <w:spacing w:before="0" w:after="200"/>
        <w:ind w:firstLine="360"/>
      </w:pPr>
      <w:r>
        <w:rPr>
          <w:color w:val="1A1A1A"/>
          <w:sz w:val="22"/>
          <w:szCs w:val="22"/>
          <w:rFonts w:ascii="Georgia" w:cs="Georgia" w:eastAsia="Georgia" w:hAnsi="Georgia"/>
        </w:rPr>
        <w:t xml:space="preserve">The village-by-village documentation of Palestinian displacement is compiled in All That Remains: The Palestinian Villages Occupied and Depopulated by Israel in 1948, edited by Walid Khalidi and published by the Institute for Palestine Studies in 1992. The volume documents 418 Palestinian villages that were depopulated during the 1948 war using British Mandate records, Israeli military records, aerial photography, and survivor testimony. It is a primary source compilation of the documented record of displacement.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5.6: THE SHEIKH JARRAH EVICTION ORDERS. THE CONTEMPORARY RECORD.</w:t>
      </w:r>
    </w:p>
    <w:p>
      <w:pPr>
        <w:spacing w:before="0" w:after="200"/>
        <w:ind w:firstLine="360"/>
      </w:pPr>
      <w:r>
        <w:rPr>
          <w:color w:val="1A1A1A"/>
          <w:sz w:val="22"/>
          <w:szCs w:val="22"/>
          <w:rFonts w:ascii="Georgia" w:cs="Georgia" w:eastAsia="Georgia" w:hAnsi="Georgia"/>
        </w:rPr>
        <w:t xml:space="preserve">Sheikh Jarrah is a neighborhood in East Jerusalem. Palestinian families have lived in Sheikh Jarrah since 1956, when they were resettled there by the United Nations Relief and Works Agency following their displacement from other parts of Palestine in 1948. The resettlement is documented in UNRWA's own administrative records.</w:t>
      </w:r>
    </w:p>
    <w:p>
      <w:pPr>
        <w:spacing w:before="0" w:after="200"/>
        <w:ind w:firstLine="360"/>
      </w:pPr>
      <w:r>
        <w:rPr>
          <w:color w:val="1A1A1A"/>
          <w:sz w:val="22"/>
          <w:szCs w:val="22"/>
          <w:rFonts w:ascii="Georgia" w:cs="Georgia" w:eastAsia="Georgia" w:hAnsi="Georgia"/>
        </w:rPr>
        <w:t xml:space="preserve">Since the 1970s, Israeli settler organizations have pursued legal proceedings in Israeli courts to evict Palestinian families from Sheikh Jarrah on the basis of land ownership claims derived from Jewish ownership of the land before 1948. The legal proceedings are documented in Israeli court records.</w:t>
      </w:r>
    </w:p>
    <w:p>
      <w:pPr>
        <w:spacing w:before="0" w:after="200"/>
        <w:ind w:firstLine="360"/>
      </w:pPr>
      <w:r>
        <w:rPr>
          <w:color w:val="1A1A1A"/>
          <w:sz w:val="22"/>
          <w:szCs w:val="22"/>
          <w:rFonts w:ascii="Georgia" w:cs="Georgia" w:eastAsia="Georgia" w:hAnsi="Georgia"/>
        </w:rPr>
        <w:t xml:space="preserve">The Sheikh Jarrah eviction proceedings are a primary source document of the contemporary application of the 1948 displacement's legal consequences. Palestinian families who were displaced in 1948 and resettled by UNRWA in Sheikh Jarrah in 1956 face eviction in 2024 based on pre-1948 Jewish land ownership claims. Israeli law allows Jewish families to reclaim property owned before 1948 in areas that became part of Israel. Israeli law does not provide a reciprocal right for Palestinian families to reclaim property owned before 1948 in areas that became part of Israel.</w:t>
      </w:r>
    </w:p>
    <w:p>
      <w:pPr>
        <w:spacing w:before="0" w:after="200"/>
        <w:ind w:firstLine="360"/>
      </w:pPr>
      <w:r>
        <w:rPr>
          <w:color w:val="1A1A1A"/>
          <w:sz w:val="22"/>
          <w:szCs w:val="22"/>
          <w:rFonts w:ascii="Georgia" w:cs="Georgia" w:eastAsia="Georgia" w:hAnsi="Georgia"/>
        </w:rPr>
        <w:t xml:space="preserve">The asymmetry is in the statute. The statute is a primary source. Adalah's database documents it as one of more than 55 laws that explicitly distinguish between Jewish and non-Jewish rights in Israel. The eviction orders are dated. The UNRWA resettlement records are dated. The Ottoman land registry entries that predate both are dated. The documents do not require editorial assistance. They require reading.</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5.7: THE DELTA. THE OTTOMAN REGISTRY AS LEGAL INSTRUMENT.</w:t>
      </w:r>
    </w:p>
    <w:p>
      <w:pPr>
        <w:spacing w:before="0" w:after="200"/>
        <w:ind w:firstLine="360"/>
      </w:pPr>
      <w:r>
        <w:rPr>
          <w:color w:val="1A1A1A"/>
          <w:sz w:val="22"/>
          <w:szCs w:val="22"/>
          <w:rFonts w:ascii="Georgia" w:cs="Georgia" w:eastAsia="Georgia" w:hAnsi="Georgia"/>
        </w:rPr>
        <w:t xml:space="preserve">The Delta of this chapter is the Ottoman land registry's contemporary legal function.</w:t>
      </w:r>
    </w:p>
    <w:p>
      <w:pPr>
        <w:spacing w:before="0" w:after="200"/>
        <w:ind w:firstLine="360"/>
      </w:pPr>
      <w:r>
        <w:rPr>
          <w:color w:val="1A1A1A"/>
          <w:sz w:val="22"/>
          <w:szCs w:val="22"/>
          <w:rFonts w:ascii="Georgia" w:cs="Georgia" w:eastAsia="Georgia" w:hAnsi="Georgia"/>
        </w:rPr>
        <w:t xml:space="preserve">Palestinian lawyers and surveyors in the West Bank and East Jerusalem are actively using Ottoman-era land registry documents, tapu deeds more than 100 years old, in Israeli courts and in international legal forums to establish proof of Palestinian land ownership prior to the establishment of the State of Israel. The use of these documents in active litigation is documented in the academic literature, specifically in Munira Khayyat-Fakher's research on Palestinian counter-forensics published in the American Ethnologist journal in 2022, and in Al-Monitor's 2020 reporting on the Palestinian Land Authority's use of the Ottoman archive transferred by Turkey.</w:t>
      </w:r>
    </w:p>
    <w:p>
      <w:pPr>
        <w:spacing w:before="0" w:after="200"/>
        <w:ind w:firstLine="360"/>
      </w:pPr>
      <w:r>
        <w:rPr>
          <w:color w:val="1A1A1A"/>
          <w:sz w:val="22"/>
          <w:szCs w:val="22"/>
          <w:rFonts w:ascii="Georgia" w:cs="Georgia" w:eastAsia="Georgia" w:hAnsi="Georgia"/>
        </w:rPr>
        <w:t xml:space="preserve">The Colonization and Wall Resistance Commission, affiliated with the Palestine Liberation Organization, has reported reclaiming 6,000 dunams of land in 2019 alone using Ottoman registry documents as legal evidence. The commission's director, Walid Assaf, documented this figure at a press conference in Ramallah on January 5, 2020. That statement is in the public record.</w:t>
      </w:r>
    </w:p>
    <w:p>
      <w:pPr>
        <w:spacing w:before="0" w:after="200"/>
        <w:ind w:firstLine="360"/>
      </w:pPr>
      <w:r>
        <w:rPr>
          <w:color w:val="1A1A1A"/>
          <w:sz w:val="22"/>
          <w:szCs w:val="22"/>
          <w:rFonts w:ascii="Georgia" w:cs="Georgia" w:eastAsia="Georgia" w:hAnsi="Georgia"/>
        </w:rPr>
        <w:t xml:space="preserve">What the Ottoman land registry establishes, as a primary source document, is the following. Land ownership in Palestine before the establishment of the State of Israel is a documented matter, not an undocumented claim. The documents exist. They are in archives. They are being used in courts. They are producing legal outcomes. The argument that Palestinian land claims are historical grievances unsupported by documentary evidence is contradicted by the existence of a 140,000-document archive of Ottoman land registry records that documents those claims with the precision of a colonial administration's official record-keeping system.</w:t>
      </w:r>
    </w:p>
    <w:p>
      <w:pPr>
        <w:spacing w:before="0" w:after="200"/>
        <w:ind w:firstLine="360"/>
      </w:pPr>
      <w:r>
        <w:rPr>
          <w:color w:val="1A1A1A"/>
          <w:sz w:val="22"/>
          <w:szCs w:val="22"/>
          <w:rFonts w:ascii="Georgia" w:cs="Georgia" w:eastAsia="Georgia" w:hAnsi="Georgia"/>
        </w:rPr>
        <w:t xml:space="preserve">A tapu deed from 1890 does not have a political agenda. It records who owned what land on what date under what legal instrument. The Israeli court that receives it as evidence must engage with what it says. The political discourse that ignores it does not change what it says.</w:t>
      </w:r>
    </w:p>
    <w:p>
      <w:pPr>
        <w:spacing w:before="0" w:after="200"/>
        <w:ind w:firstLine="360"/>
      </w:pPr>
      <w:r>
        <w:rPr>
          <w:color w:val="1A1A1A"/>
          <w:sz w:val="22"/>
          <w:szCs w:val="22"/>
          <w:rFonts w:ascii="Georgia" w:cs="Georgia" w:eastAsia="Georgia" w:hAnsi="Georgia"/>
        </w:rPr>
        <w:t xml:space="preserve">The receipts are in Istanbul. They are in Ramallah. They are in the Open Jerusalem database. They are 400 years old in some cases. They were produced by the Ottoman Empire's own bureaucratic system. They document what they document.</w:t>
      </w:r>
    </w:p>
    <w:p>
      <w:pPr>
        <w:spacing w:before="0" w:after="200"/>
        <w:ind w:firstLine="360"/>
      </w:pPr>
      <w:r>
        <w:rPr>
          <w:color w:val="1A1A1A"/>
          <w:sz w:val="22"/>
          <w:szCs w:val="22"/>
          <w:rFonts w:ascii="Georgia" w:cs="Georgia" w:eastAsia="Georgia" w:hAnsi="Georgia"/>
        </w:rPr>
        <w:t xml:space="preserve">ClownBinge reports what they document.</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Anglo-American Committee of Inquiry. (1946). Report of the Anglo-American Committee of Inquiry regarding the problems of European Jewry and Palestine. United States Government Printing Office. https://avalon.law.yale.edu/20th_century/anglocom.asp</w:t>
      </w:r>
    </w:p>
    <w:p>
      <w:pPr>
        <w:spacing w:before="0" w:after="120"/>
        <w:ind w:left="720" w:hanging="720"/>
      </w:pPr>
      <w:r>
        <w:rPr>
          <w:color w:val="5A5A5A"/>
          <w:sz w:val="18"/>
          <w:szCs w:val="18"/>
          <w:rFonts w:ascii="Georgia" w:cs="Georgia" w:eastAsia="Georgia" w:hAnsi="Georgia"/>
        </w:rPr>
        <w:t xml:space="preserve">Barron, J. B. (1923). Palestine: Report and general abstracts of the census of 1922. Government of Palestine.</w:t>
      </w:r>
    </w:p>
    <w:p>
      <w:pPr>
        <w:spacing w:before="0" w:after="120"/>
        <w:ind w:left="720" w:hanging="720"/>
      </w:pPr>
      <w:r>
        <w:rPr>
          <w:color w:val="5A5A5A"/>
          <w:sz w:val="18"/>
          <w:szCs w:val="18"/>
          <w:rFonts w:ascii="Georgia" w:cs="Georgia" w:eastAsia="Georgia" w:hAnsi="Georgia"/>
        </w:rPr>
        <w:t xml:space="preserve">Hadawi, S. (1988). Palestinian rights and losses in 1948: A comprehensive study. Saqi Books.</w:t>
      </w:r>
    </w:p>
    <w:p>
      <w:pPr>
        <w:spacing w:before="0" w:after="120"/>
        <w:ind w:left="720" w:hanging="720"/>
      </w:pPr>
      <w:r>
        <w:rPr>
          <w:color w:val="5A5A5A"/>
          <w:sz w:val="18"/>
          <w:szCs w:val="18"/>
          <w:rFonts w:ascii="Georgia" w:cs="Georgia" w:eastAsia="Georgia" w:hAnsi="Georgia"/>
        </w:rPr>
        <w:t xml:space="preserve">Khalidi, W. (Ed.). (1992). All that remains: The Palestinian villages occupied and depopulated by Israel in 1948. Institute for Palestine Studies.</w:t>
      </w:r>
    </w:p>
    <w:p>
      <w:pPr>
        <w:spacing w:before="0" w:after="120"/>
        <w:ind w:left="720" w:hanging="720"/>
      </w:pPr>
      <w:r>
        <w:rPr>
          <w:color w:val="5A5A5A"/>
          <w:sz w:val="18"/>
          <w:szCs w:val="18"/>
          <w:rFonts w:ascii="Georgia" w:cs="Georgia" w:eastAsia="Georgia" w:hAnsi="Georgia"/>
        </w:rPr>
        <w:t xml:space="preserve">Khayyat-Fakher, M. (2022). Palestinian counter-forensics and the cruel paradox of property. American Ethnologist, 49(3). https://anthrosource.onlinelibrary.wiley.com/doi/full/10.1111/amet.13084</w:t>
      </w:r>
    </w:p>
    <w:p>
      <w:pPr>
        <w:spacing w:before="0" w:after="120"/>
        <w:ind w:left="720" w:hanging="720"/>
      </w:pPr>
      <w:r>
        <w:rPr>
          <w:color w:val="5A5A5A"/>
          <w:sz w:val="18"/>
          <w:szCs w:val="18"/>
          <w:rFonts w:ascii="Georgia" w:cs="Georgia" w:eastAsia="Georgia" w:hAnsi="Georgia"/>
        </w:rPr>
        <w:t xml:space="preserve">Mills, E. (1932). Census of Palestine 1931: Population of villages, towns and administrative areas. Government of Palestine.</w:t>
      </w:r>
    </w:p>
    <w:p>
      <w:pPr>
        <w:spacing w:before="0" w:after="120"/>
        <w:ind w:left="720" w:hanging="720"/>
      </w:pPr>
      <w:r>
        <w:rPr>
          <w:color w:val="5A5A5A"/>
          <w:sz w:val="18"/>
          <w:szCs w:val="18"/>
          <w:rFonts w:ascii="Georgia" w:cs="Georgia" w:eastAsia="Georgia" w:hAnsi="Georgia"/>
        </w:rPr>
        <w:t xml:space="preserve">Morris, B. (2004). The birth of the Palestinian refugee problem revisited. Cambridge University Press.</w:t>
      </w:r>
    </w:p>
    <w:p>
      <w:pPr>
        <w:spacing w:before="0" w:after="120"/>
        <w:ind w:left="720" w:hanging="720"/>
      </w:pPr>
      <w:r>
        <w:rPr>
          <w:color w:val="5A5A5A"/>
          <w:sz w:val="18"/>
          <w:szCs w:val="18"/>
          <w:rFonts w:ascii="Georgia" w:cs="Georgia" w:eastAsia="Georgia" w:hAnsi="Georgia"/>
        </w:rPr>
        <w:t xml:space="preserve">Open Jerusalem Project. (n.d.). The collections: Shari'a court records and Ottoman Imperial Archives. https://www.openjerusalem.org/our-collections</w:t>
      </w:r>
    </w:p>
    <w:p>
      <w:pPr>
        <w:spacing w:before="0" w:after="120"/>
        <w:ind w:left="720" w:hanging="720"/>
      </w:pPr>
      <w:r>
        <w:rPr>
          <w:color w:val="5A5A5A"/>
          <w:sz w:val="18"/>
          <w:szCs w:val="18"/>
          <w:rFonts w:ascii="Georgia" w:cs="Georgia" w:eastAsia="Georgia" w:hAnsi="Georgia"/>
        </w:rPr>
        <w:t xml:space="preserve">Ottoman Imperial Archives. (1858–1918). Tapu sicili: Land registry records for Palestine [140,000 digitized documents]. Başbakanlık Osmanlı Arşivi, Istanbul.</w:t>
      </w:r>
    </w:p>
    <w:p>
      <w:pPr>
        <w:spacing w:before="0" w:after="120"/>
        <w:ind w:left="720" w:hanging="720"/>
      </w:pPr>
      <w:r>
        <w:rPr>
          <w:color w:val="5A5A5A"/>
          <w:sz w:val="18"/>
          <w:szCs w:val="18"/>
          <w:rFonts w:ascii="Georgia" w:cs="Georgia" w:eastAsia="Georgia" w:hAnsi="Georgia"/>
        </w:rPr>
        <w:t xml:space="preserve">Turkish Directorate of Ottoman Archives. (2018, March). Transfer of Ottoman Palestine archive to Palestinian Land Authority [Press documentation]. Anadolu Agency. https://www.aa.com.tr/en/culture/ottoman-archive-palestines-weapon-against-occupation/1720151</w:t>
      </w:r>
    </w:p>
    <w:p>
      <w:pPr>
        <w:spacing w:before="0" w:after="120"/>
        <w:ind w:left="720" w:hanging="720"/>
      </w:pPr>
      <w:r>
        <w:rPr>
          <w:color w:val="5A5A5A"/>
          <w:sz w:val="18"/>
          <w:szCs w:val="18"/>
          <w:rFonts w:ascii="Georgia" w:cs="Georgia" w:eastAsia="Georgia" w:hAnsi="Georgia"/>
        </w:rPr>
        <w:t xml:space="preserve">United Nations General Assembly. (1947, November 29). Resolution 181: Future government of Palestine. A/RES/181(II). https://www.un.org/unispal/document/auto-insert-178432/</w:t>
      </w:r>
    </w:p>
    <w:p>
      <w:pPr>
        <w:spacing w:before="0" w:after="120"/>
        <w:ind w:left="720" w:hanging="720"/>
      </w:pPr>
      <w:r>
        <w:rPr>
          <w:color w:val="5A5A5A"/>
          <w:sz w:val="18"/>
          <w:szCs w:val="18"/>
          <w:rFonts w:ascii="Georgia" w:cs="Georgia" w:eastAsia="Georgia" w:hAnsi="Georgia"/>
        </w:rPr>
        <w:t xml:space="preserve">United Nations General Assembly. (1949, December 8). Resolution 302: Establishment of UNRWA. A/RES/302(IV). https://www.unrwa.org/content/general-assembly-resolution-302</w:t>
      </w:r>
    </w:p>
    <w:p>
      <w:pPr>
        <w:spacing w:before="0" w:after="120"/>
        <w:ind w:left="720" w:hanging="720"/>
      </w:pPr>
      <w:r>
        <w:rPr>
          <w:color w:val="5A5A5A"/>
          <w:sz w:val="18"/>
          <w:szCs w:val="18"/>
          <w:rFonts w:ascii="Georgia" w:cs="Georgia" w:eastAsia="Georgia" w:hAnsi="Georgia"/>
        </w:rPr>
        <w:t xml:space="preserve">United Nations Relief and Works Agency. (2024). Palestine refugees: Who are Palestine refugees? https://www.unrwa.org/palestine-refugees</w:t>
      </w:r>
    </w:p>
    <w:p>
      <w:pPr>
        <w:spacing w:before="0" w:after="120"/>
        <w:ind w:left="720" w:hanging="720"/>
      </w:pPr>
      <w:r>
        <w:rPr>
          <w:color w:val="5A5A5A"/>
          <w:sz w:val="18"/>
          <w:szCs w:val="18"/>
          <w:rFonts w:ascii="Georgia" w:cs="Georgia" w:eastAsia="Georgia" w:hAnsi="Georgia"/>
        </w:rPr>
        <w:t xml:space="preserve">United Nations Special Committee on Palestine. (1947, September 3). Report to the General Assembly (A/364). United Nations. https://www.un.org/unispal/document/auto-insert-178393/</w:t>
      </w:r>
    </w:p>
    <w:p>
      <w:r>
        <w:br w:type="page"/>
      </w:r>
    </w:p>
    <w:p>
      <w:pPr>
        <w:spacing w:before="0" w:after="80"/>
      </w:pPr>
      <w:r>
        <w:rPr>
          <w:b/>
          <w:bCs/>
          <w:color w:val="C9A227"/>
          <w:sz w:val="20"/>
          <w:szCs w:val="20"/>
          <w:caps/>
          <w:rFonts w:ascii="Georgia" w:cs="Georgia" w:eastAsia="Georgia" w:hAnsi="Georgia"/>
          <w:spacing w:val="160"/>
        </w:rPr>
        <w:t xml:space="preserve">CHAPTER 6</w:t>
      </w:r>
    </w:p>
    <w:p>
      <w:pPr>
        <w:pStyle w:val="Heading1"/>
        <w:spacing w:before="0" w:after="200"/>
      </w:pPr>
      <w:r>
        <w:rPr>
          <w:b/>
          <w:bCs/>
          <w:color w:val="1A1A1A"/>
          <w:sz w:val="36"/>
          <w:szCs w:val="36"/>
          <w:rFonts w:ascii="Georgia" w:cs="Georgia" w:eastAsia="Georgia" w:hAnsi="Georgia"/>
        </w:rPr>
        <w:t xml:space="preserve">The UN Record</w:t>
      </w:r>
    </w:p>
    <w:p>
      <w:pPr>
        <w:spacing w:before="0" w:after="200"/>
        <w:ind w:firstLine="360"/>
      </w:pPr>
      <w:r>
        <w:rPr>
          <w:color w:val="1A1A1A"/>
          <w:sz w:val="22"/>
          <w:szCs w:val="22"/>
          <w:rFonts w:ascii="Georgia" w:cs="Georgia" w:eastAsia="Georgia" w:hAnsi="Georgia"/>
        </w:rPr>
        <w:t xml:space="preserve">On November 10, 1975, the United Nations General Assembly adopted Resolution 3379 by a vote of 72 in favor, 35 against, and 32 abstentions. The resolution determined that Zionism is a form of racism and racial discrimination. Sixteen years later, on December 16, 1991, the United Nations General Assembly adopted Resolution 46/86 by a vote of 111 in favor, 25 against, and 13 abstentions. Resolution 46/86 revoked Resolution 3379 in its entirety.</w:t>
      </w:r>
    </w:p>
    <w:p>
      <w:pPr>
        <w:spacing w:before="0" w:after="200"/>
        <w:ind w:firstLine="360"/>
      </w:pPr>
      <w:r>
        <w:rPr>
          <w:color w:val="1A1A1A"/>
          <w:sz w:val="22"/>
          <w:szCs w:val="22"/>
          <w:rFonts w:ascii="Georgia" w:cs="Georgia" w:eastAsia="Georgia" w:hAnsi="Georgia"/>
        </w:rPr>
        <w:t xml:space="preserve">These two votes are among the most politically significant actions in the history of the United Nations General Assembly. They are also among the most consistently mischaracterized in contemporary political discourse. Resolution 3379 is cited as evidence of institutional antisemitism at the United Nations. Resolution 46/86 is cited as evidence of American political pressure overriding the will of the international community. Both characterizations are political positions. The primary source record documents both the resolutions and the political context that produced them.</w:t>
      </w:r>
    </w:p>
    <w:p>
      <w:pPr>
        <w:spacing w:before="0" w:after="200"/>
        <w:ind w:firstLine="360"/>
      </w:pPr>
      <w:r>
        <w:rPr>
          <w:color w:val="1A1A1A"/>
          <w:sz w:val="22"/>
          <w:szCs w:val="22"/>
          <w:rFonts w:ascii="Georgia" w:cs="Georgia" w:eastAsia="Georgia" w:hAnsi="Georgia"/>
        </w:rPr>
        <w:t xml:space="preserve">This chapter reads the primary sources. The resolutions themselves. The voting records. The statements made by member states in explanation of their votes. The political context documented in the historical record. The reasoning advanced on all sides. ClownBinge does not characterize either resolution. It documents both.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6.1: RESOLUTION 3379. THE TEXT. IN FULL.</w:t>
      </w:r>
    </w:p>
    <w:p>
      <w:pPr>
        <w:spacing w:before="0" w:after="200"/>
        <w:ind w:firstLine="360"/>
      </w:pPr>
      <w:r>
        <w:rPr>
          <w:color w:val="1A1A1A"/>
          <w:sz w:val="22"/>
          <w:szCs w:val="22"/>
          <w:rFonts w:ascii="Georgia" w:cs="Georgia" w:eastAsia="Georgia" w:hAnsi="Georgia"/>
        </w:rPr>
        <w:t xml:space="preserve">United Nations General Assembly Resolution 3379, adopted November 10, 1975, reads as follows in its operative paragraphs:</w:t>
      </w:r>
    </w:p>
    <w:p>
      <w:pPr>
        <w:pBdr>
          <w:left w:val="thick" w:color="C9A227" w:sz="12" w:space="12"/>
        </w:pBdr>
        <w:spacing w:before="160" w:after="160"/>
        <w:ind w:left="576" w:right="576"/>
      </w:pPr>
      <w:r>
        <w:rPr>
          <w:i/>
          <w:iCs/>
          <w:color w:val="1A1A1A"/>
          <w:sz w:val="20"/>
          <w:szCs w:val="20"/>
          <w:rFonts w:ascii="Georgia" w:cs="Georgia" w:eastAsia="Georgia" w:hAnsi="Georgia"/>
        </w:rPr>
        <w:t xml:space="preserve">"The General Assembly, Recalling its resolution 1904 (XVIII) of 20 November 1963, proclaiming the United Nations Declaration on the Elimination of All Forms of Racial Discrimination, and in particular its affirmation that 'any doctrine of racial differentiation or superiority is scientifically false, morally condemnable, socially unjust and dangerous' and its expression of alarm at 'the manifestations of racial discrimination still in evidence in some areas in the world, some of which are imposed by certain Governments by means of legislative, administrative or other measures,' Recalling also that, in its resolution 3151 G (XXVIII) of 14 December 1973, the General Assembly condemned, inter alia, the unholy alliance between South African racism and Zionism, Taking note of the Declaration of Mexico on the Equality of Women and Their Contribution to Development and Peace 1975, which states that 'international co-operation and peace require the achievement of national liberation and independence, the elimination of colonialism and neo-colonialism, foreign occupation, Zionism, apartheid and racial discrimination in all its forms, as well as the recognition of the dignity of peoples and their right to self-determination,' Taking note also of resolution 77 (XII) adopted by the Assembly of Heads of State and Government of the Organization of African Unity at its twelfth ordinary session, held at Kampala from 28 July to 1 August 1975, which considered 'that the racist regime in occupied Palestine and the racist regime in Zimbabwe and South Africa have a common imperialist origin, forming a whole and having the same racist structure and being organically linked in their policy aimed at repression of the dignity and integrity of the human being,' Taking note also of the Political Declaration and Strategy to Strengthen International Peace and Security and to Intensify Solidarity and Mutual Assistance among Non-Aligned Countries, adopted at the Conference of Ministers for Foreign Affairs of Non-Aligned Countries held at Lima from 25 to 30 August 1975, which most severely condemned Zionism as a threat to world peace and security and called upon all countries to oppose this racist and imperialist ideology, Determines that Zionism is a form of racism and racial discrimination."</w:t>
      </w:r>
    </w:p>
    <w:p>
      <w:pPr>
        <w:spacing w:before="0" w:after="200"/>
        <w:ind w:firstLine="360"/>
      </w:pPr>
      <w:r>
        <w:rPr>
          <w:color w:val="1A1A1A"/>
          <w:sz w:val="22"/>
          <w:szCs w:val="22"/>
          <w:rFonts w:ascii="Georgia" w:cs="Georgia" w:eastAsia="Georgia" w:hAnsi="Georgia"/>
        </w:rPr>
        <w:t xml:space="preserve">This is the complete operative text of Resolution 3379. It is eleven paragraphs of recitals and one operative paragraph. The operative paragraph contains one sentence. That sentence is: Determines that Zionism is a form of racism and racial discrimination.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6.2: THE POLITICAL CONTEXT OF 1975. WHAT PRODUCED THE VOTE.</w:t>
      </w:r>
    </w:p>
    <w:p>
      <w:pPr>
        <w:spacing w:before="0" w:after="200"/>
        <w:ind w:firstLine="360"/>
      </w:pPr>
      <w:r>
        <w:rPr>
          <w:color w:val="1A1A1A"/>
          <w:sz w:val="22"/>
          <w:szCs w:val="22"/>
          <w:rFonts w:ascii="Georgia" w:cs="Georgia" w:eastAsia="Georgia" w:hAnsi="Georgia"/>
        </w:rPr>
        <w:t xml:space="preserve">Resolution 3379 did not emerge from a vacuum. It emerged from a specific political context documented in the United Nations record and in the diplomatic history of the mid-1970s.</w:t>
      </w:r>
    </w:p>
    <w:p>
      <w:pPr>
        <w:spacing w:before="0" w:after="200"/>
        <w:ind w:firstLine="360"/>
      </w:pPr>
      <w:r>
        <w:rPr>
          <w:color w:val="1A1A1A"/>
          <w:sz w:val="22"/>
          <w:szCs w:val="22"/>
          <w:rFonts w:ascii="Georgia" w:cs="Georgia" w:eastAsia="Georgia" w:hAnsi="Georgia"/>
        </w:rPr>
        <w:t xml:space="preserve">The resolution was sponsored by a coalition of Arab states, African states, and Soviet bloc states. Its passage reflected the political arithmetic of the United Nations General Assembly in 1975, where the combined voting bloc of Arab states, African states, Asian states, and Soviet bloc states commanded a majority of votes. The resolution was co-sponsored by Cuba, Libya, and the Soviet Union, among others.</w:t>
      </w:r>
    </w:p>
    <w:p>
      <w:pPr>
        <w:spacing w:before="0" w:after="200"/>
        <w:ind w:firstLine="360"/>
      </w:pPr>
      <w:r>
        <w:rPr>
          <w:color w:val="1A1A1A"/>
          <w:sz w:val="22"/>
          <w:szCs w:val="22"/>
          <w:rFonts w:ascii="Georgia" w:cs="Georgia" w:eastAsia="Georgia" w:hAnsi="Georgia"/>
        </w:rPr>
        <w:t xml:space="preserve">The 1973 Arab-Israeli War, known as the Yom Kippur War in Israel and the October War in the Arab world, had concluded two years before the resolution's adoption. The war had produced an oil embargo by Arab members of OPEC against countries perceived as supporting Israel, including the United States and several European nations. The political weight of Arab states in international forums was significantly elevated in the immediate post-embargo period.</w:t>
      </w:r>
    </w:p>
    <w:p>
      <w:pPr>
        <w:spacing w:before="0" w:after="200"/>
        <w:ind w:firstLine="360"/>
      </w:pPr>
      <w:r>
        <w:rPr>
          <w:color w:val="1A1A1A"/>
          <w:sz w:val="22"/>
          <w:szCs w:val="22"/>
          <w:rFonts w:ascii="Georgia" w:cs="Georgia" w:eastAsia="Georgia" w:hAnsi="Georgia"/>
        </w:rPr>
        <w:t xml:space="preserve">The 1975 United Nations World Conference on Women, held in Mexico City, produced the Declaration of Mexico cited in Resolution 3379's recitals. The inclusion of Zionism alongside colonialism and racial discrimination in the Mexico City declaration established a precedent for the language that appeared in Resolution 3379.</w:t>
      </w:r>
    </w:p>
    <w:p>
      <w:pPr>
        <w:spacing w:before="0" w:after="200"/>
        <w:ind w:firstLine="360"/>
      </w:pPr>
      <w:r>
        <w:rPr>
          <w:color w:val="1A1A1A"/>
          <w:sz w:val="22"/>
          <w:szCs w:val="22"/>
          <w:rFonts w:ascii="Georgia" w:cs="Georgia" w:eastAsia="Georgia" w:hAnsi="Georgia"/>
        </w:rPr>
        <w:t xml:space="preserve">The Organization of African Unity's resolution cited in the recitals, adopted at Kampala in July 1975, linked Zionism explicitly to apartheid South Africa. This linkage reflected the documented position of African states that Israel's relationship with the apartheid government of South Africa, which included documented military and intelligence cooperation, placed Zionism within the same political category as apartheid.</w:t>
      </w:r>
    </w:p>
    <w:p>
      <w:pPr>
        <w:spacing w:before="0" w:after="200"/>
        <w:ind w:firstLine="360"/>
      </w:pPr>
      <w:r>
        <w:rPr>
          <w:color w:val="1A1A1A"/>
          <w:sz w:val="22"/>
          <w:szCs w:val="22"/>
          <w:rFonts w:ascii="Georgia" w:cs="Georgia" w:eastAsia="Georgia" w:hAnsi="Georgia"/>
        </w:rPr>
        <w:t xml:space="preserve">The documented military and intelligence cooperation between Israel and apartheid South Africa is a primary source record of the first importance for understanding why African states voted as they did on Resolution 3379. That cooperation is documented in South African government records, Israeli government records that have been partially declassified, and in the academic scholarship on Israel-South Africa relations during the apartheid period. Benjamin Beit-Hallahmi's The Israeli Connection, published in 1987, and Sasha Polakow-Suransky's The Unspoken Alliance, published in 2010, draw on primary source government documents to document this cooperation in detail.</w:t>
      </w:r>
    </w:p>
    <w:p>
      <w:pPr>
        <w:spacing w:before="0" w:after="200"/>
        <w:ind w:firstLine="360"/>
      </w:pPr>
      <w:r>
        <w:rPr>
          <w:color w:val="1A1A1A"/>
          <w:sz w:val="22"/>
          <w:szCs w:val="22"/>
          <w:rFonts w:ascii="Georgia" w:cs="Georgia" w:eastAsia="Georgia" w:hAnsi="Georgia"/>
        </w:rPr>
        <w:t xml:space="preserve">The African states that voted for Resolution 3379 were voting, in significant part, in response to documented Israeli government policy toward the apartheid regime that governed their continent's southernmost nation. That context is in the primary source record of the vote.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6.3: THE VOTE RECORD. WHO VOTED HOW AND WHY.</w:t>
      </w:r>
    </w:p>
    <w:p>
      <w:pPr>
        <w:spacing w:before="0" w:after="200"/>
        <w:ind w:firstLine="360"/>
      </w:pPr>
      <w:r>
        <w:rPr>
          <w:color w:val="1A1A1A"/>
          <w:sz w:val="22"/>
          <w:szCs w:val="22"/>
          <w:rFonts w:ascii="Georgia" w:cs="Georgia" w:eastAsia="Georgia" w:hAnsi="Georgia"/>
        </w:rPr>
        <w:t xml:space="preserve">The vote on Resolution 3379 on November 10, 1975, produced the following result: 72 in favor, 35 against, 32 abstentions, 3 absent.</w:t>
      </w:r>
    </w:p>
    <w:p>
      <w:pPr>
        <w:spacing w:before="0" w:after="200"/>
        <w:ind w:firstLine="360"/>
      </w:pPr>
      <w:r>
        <w:rPr>
          <w:color w:val="1A1A1A"/>
          <w:sz w:val="22"/>
          <w:szCs w:val="22"/>
          <w:rFonts w:ascii="Georgia" w:cs="Georgia" w:eastAsia="Georgia" w:hAnsi="Georgia"/>
        </w:rPr>
        <w:t xml:space="preserve">The 72 states voting in favor included all Arab League member states, the majority of African states, all Soviet bloc states, and a number of Asian and Latin American states. The 35 states voting against included the United States, Israel, the majority of Western European states, Australia, Canada, and several Latin American states. The 32 states abstaining included a significant number of states from various regions that declined to endorse the resolution but were unwilling to vote against it.</w:t>
      </w:r>
    </w:p>
    <w:p>
      <w:pPr>
        <w:spacing w:before="0" w:after="200"/>
        <w:ind w:firstLine="360"/>
      </w:pPr>
      <w:r>
        <w:rPr>
          <w:color w:val="1A1A1A"/>
          <w:sz w:val="22"/>
          <w:szCs w:val="22"/>
          <w:rFonts w:ascii="Georgia" w:cs="Georgia" w:eastAsia="Georgia" w:hAnsi="Georgia"/>
        </w:rPr>
        <w:t xml:space="preserve">The United States Ambassador to the United Nations, Daniel Patrick Moynihan, delivered a speech in response to the resolution's adoption that became one of the most cited statements in the history of American diplomacy at the United Nations. Moynihan called the resolution a lie and stated that the United States did not acknowledge, would not abide by, and would never acquiesce in this infamous act. His speech is a primary source document of the American governmental response to the resolution.</w:t>
      </w:r>
    </w:p>
    <w:p>
      <w:pPr>
        <w:spacing w:before="0" w:after="200"/>
        <w:ind w:firstLine="360"/>
      </w:pPr>
      <w:r>
        <w:rPr>
          <w:color w:val="1A1A1A"/>
          <w:sz w:val="22"/>
          <w:szCs w:val="22"/>
          <w:rFonts w:ascii="Georgia" w:cs="Georgia" w:eastAsia="Georgia" w:hAnsi="Georgia"/>
        </w:rPr>
        <w:t xml:space="preserve">The Israeli delegation's response to the resolution's adoption is documented in the United Nations record. Israeli Ambassador Chaim Herzog delivered a statement in which he tore the resolution in half on the floor of the General Assembly. That act is documented in the United Nations meeting record.</w:t>
      </w:r>
    </w:p>
    <w:p>
      <w:pPr>
        <w:spacing w:before="0" w:after="200"/>
        <w:ind w:firstLine="360"/>
      </w:pPr>
      <w:r>
        <w:rPr>
          <w:color w:val="1A1A1A"/>
          <w:sz w:val="22"/>
          <w:szCs w:val="22"/>
          <w:rFonts w:ascii="Georgia" w:cs="Georgia" w:eastAsia="Georgia" w:hAnsi="Georgia"/>
        </w:rPr>
        <w:t xml:space="preserve">The explanations of vote delivered by member states are primary source documents of the reasoning that produced the 72 to 35 vote. The Soviet bloc states cited the linkage between Zionism and Western imperialism. The Arab states cited the documented displacement of the Palestinian people documented in the UNRWA records examined in the previous chapter. The African states cited the documented relationship between Israel and apartheid South Africa. The Western states voting against cited the resolution's equation of a political movement with racism as a misuse of the United Nations framework and an act of political warfare against the State of Israel.</w:t>
      </w:r>
    </w:p>
    <w:p>
      <w:pPr>
        <w:spacing w:before="0" w:after="200"/>
        <w:ind w:firstLine="360"/>
      </w:pPr>
      <w:r>
        <w:rPr>
          <w:color w:val="1A1A1A"/>
          <w:sz w:val="22"/>
          <w:szCs w:val="22"/>
          <w:rFonts w:ascii="Georgia" w:cs="Georgia" w:eastAsia="Georgia" w:hAnsi="Georgia"/>
        </w:rPr>
        <w:t xml:space="preserve">All of these statements are in the United Nations record. They document the reasoning of the parties on all sides of the vote. ClownBinge reports all of them.</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6.4: WHAT THE RESOLUTION DID NOT DO. A FORENSIC CLARIFICATION.</w:t>
      </w:r>
    </w:p>
    <w:p>
      <w:pPr>
        <w:spacing w:before="0" w:after="200"/>
        <w:ind w:firstLine="360"/>
      </w:pPr>
      <w:r>
        <w:rPr>
          <w:color w:val="1A1A1A"/>
          <w:sz w:val="22"/>
          <w:szCs w:val="22"/>
          <w:rFonts w:ascii="Georgia" w:cs="Georgia" w:eastAsia="Georgia" w:hAnsi="Georgia"/>
        </w:rPr>
        <w:t xml:space="preserve">Resolution 3379 is frequently cited as equating Jewish people with racism or as characterizing Judaism as racist. The text of the resolution does neither.</w:t>
      </w:r>
    </w:p>
    <w:p>
      <w:pPr>
        <w:spacing w:before="0" w:after="200"/>
        <w:ind w:firstLine="360"/>
      </w:pPr>
      <w:r>
        <w:rPr>
          <w:color w:val="1A1A1A"/>
          <w:sz w:val="22"/>
          <w:szCs w:val="22"/>
          <w:rFonts w:ascii="Georgia" w:cs="Georgia" w:eastAsia="Georgia" w:hAnsi="Georgia"/>
        </w:rPr>
        <w:t xml:space="preserve">The resolution's operative paragraph determines that Zionism is a form of racism and racial discrimination. It does not determine that Jewish people are racist. It does not determine that Judaism is racist. It does not determine that the State of Israel is illegitimate. It determines that Zionism, as a political movement, constitutes a form of racism and racial discrimination.</w:t>
      </w:r>
    </w:p>
    <w:p>
      <w:pPr>
        <w:spacing w:before="0" w:after="200"/>
        <w:ind w:firstLine="360"/>
      </w:pPr>
      <w:r>
        <w:rPr>
          <w:color w:val="1A1A1A"/>
          <w:sz w:val="22"/>
          <w:szCs w:val="22"/>
          <w:rFonts w:ascii="Georgia" w:cs="Georgia" w:eastAsia="Georgia" w:hAnsi="Georgia"/>
        </w:rPr>
        <w:t xml:space="preserve">Whether that determination is correct is a political question. What the determination says, as a matter of textual analysis, is a forensic question. The text says what it says. It applies its determination to a political movement. It does not apply it to a religion or to a people.</w:t>
      </w:r>
    </w:p>
    <w:p>
      <w:pPr>
        <w:spacing w:before="0" w:after="200"/>
        <w:ind w:firstLine="360"/>
      </w:pPr>
      <w:r>
        <w:rPr>
          <w:color w:val="1A1A1A"/>
          <w:sz w:val="22"/>
          <w:szCs w:val="22"/>
          <w:rFonts w:ascii="Georgia" w:cs="Georgia" w:eastAsia="Georgia" w:hAnsi="Georgia"/>
        </w:rPr>
        <w:t xml:space="preserve">The conflation of the resolution's determination about a political movement with a characterization of a religion or a people is itself a documented political strategy. It is the same conflation examined throughout this volume. The resolution targeted Zionism. The political response to the resolution characterized it as targeting Judaism. The distinction between the two is the subject of this entire book. The United Nations voting record documents both the resolution and the response to it.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6.5: THE SIXTEEN YEARS BETWEEN 3379 AND 46/86. WHAT THE RECORD DOCUMENTS.</w:t>
      </w:r>
    </w:p>
    <w:p>
      <w:pPr>
        <w:spacing w:before="0" w:after="200"/>
        <w:ind w:firstLine="360"/>
      </w:pPr>
      <w:r>
        <w:rPr>
          <w:color w:val="1A1A1A"/>
          <w:sz w:val="22"/>
          <w:szCs w:val="22"/>
          <w:rFonts w:ascii="Georgia" w:cs="Georgia" w:eastAsia="Georgia" w:hAnsi="Georgia"/>
        </w:rPr>
        <w:t xml:space="preserve">Between November 10, 1975, and December 16, 1991, Resolution 3379 remained in force as an adopted resolution of the United Nations General Assembly. During those sixteen years, the resolution was consistently cited by Arab states and their allies in debates about Israel and Palestine at the United Nations. It was consistently rejected by Israel and Western states as illegitimate and antisemitic. It produced a documented diplomatic rupture between Israel and the United Nations system that shaped the diplomatic environment of the subsequent sixteen years.</w:t>
      </w:r>
    </w:p>
    <w:p>
      <w:pPr>
        <w:spacing w:before="0" w:after="200"/>
        <w:ind w:firstLine="360"/>
      </w:pPr>
      <w:r>
        <w:rPr>
          <w:color w:val="1A1A1A"/>
          <w:sz w:val="22"/>
          <w:szCs w:val="22"/>
          <w:rFonts w:ascii="Georgia" w:cs="Georgia" w:eastAsia="Georgia" w:hAnsi="Georgia"/>
        </w:rPr>
        <w:t xml:space="preserve">The political context of the 1991 reversal is as important to document as the political context of the 1975 adoption.</w:t>
      </w:r>
    </w:p>
    <w:p>
      <w:pPr>
        <w:spacing w:before="0" w:after="200"/>
        <w:ind w:firstLine="360"/>
      </w:pPr>
      <w:r>
        <w:rPr>
          <w:color w:val="1A1A1A"/>
          <w:sz w:val="22"/>
          <w:szCs w:val="22"/>
          <w:rFonts w:ascii="Georgia" w:cs="Georgia" w:eastAsia="Georgia" w:hAnsi="Georgia"/>
        </w:rPr>
        <w:t xml:space="preserve">The Gulf War of 1990 to 1991 fundamentally reorganized the political coalitions of the United Nations. The United States-led coalition that expelled Iraqi forces from Kuwait included Arab states, most prominently Saudi Arabia, Egypt, and Syria, fighting alongside American, British, and other Western forces. The diplomatic negotiations that assembled that coalition required American engagement with Arab states on multiple diplomatic fronts simultaneously.</w:t>
      </w:r>
    </w:p>
    <w:p>
      <w:pPr>
        <w:spacing w:before="0" w:after="200"/>
        <w:ind w:firstLine="360"/>
      </w:pPr>
      <w:r>
        <w:rPr>
          <w:color w:val="1A1A1A"/>
          <w:sz w:val="22"/>
          <w:szCs w:val="22"/>
          <w:rFonts w:ascii="Georgia" w:cs="Georgia" w:eastAsia="Georgia" w:hAnsi="Georgia"/>
        </w:rPr>
        <w:t xml:space="preserve">The United States made the revocation of Resolution 3379 an explicit condition of its engagement with the peace process that followed the Gulf War. Secretary of State James Baker made clear that American participation in the Madrid Peace Conference of October 1991, which brought Israeli and Arab parties to the negotiating table for the first time in a formal conference setting, was linked to progress on the revocation of Resolution 3379.</w:t>
      </w:r>
    </w:p>
    <w:p>
      <w:pPr>
        <w:spacing w:before="0" w:after="200"/>
        <w:ind w:firstLine="360"/>
      </w:pPr>
      <w:r>
        <w:rPr>
          <w:color w:val="1A1A1A"/>
          <w:sz w:val="22"/>
          <w:szCs w:val="22"/>
          <w:rFonts w:ascii="Georgia" w:cs="Georgia" w:eastAsia="Georgia" w:hAnsi="Georgia"/>
        </w:rPr>
        <w:t xml:space="preserve">This linkage is documented in the diplomatic record of the period, in Secretary Baker's memoirs The Politics of Diplomacy, published in 1995, and in the scholarly literature on the Madrid Peace Conference and its diplomatic context.</w:t>
      </w:r>
    </w:p>
    <w:p>
      <w:pPr>
        <w:spacing w:before="0" w:after="200"/>
        <w:ind w:firstLine="360"/>
      </w:pPr>
      <w:r>
        <w:rPr>
          <w:color w:val="1A1A1A"/>
          <w:sz w:val="22"/>
          <w:szCs w:val="22"/>
          <w:rFonts w:ascii="Georgia" w:cs="Georgia" w:eastAsia="Georgia" w:hAnsi="Georgia"/>
        </w:rPr>
        <w:t xml:space="preserve">The Soviet Union, which had co-sponsored Resolution 3379 in 1975, dissolved on December 25, 1991, nine days after Resolution 46/86 was adopted. By December 1991, the Soviet successor states were in no political position to maintain the Soviet bloc's Cold War-era positions at the United Nations. The political coalition that had produced the 72-vote majority for Resolution 3379 in 1975 had disintegrated by 1991. The Cold War was over. The Soviet bloc had collapsed. The Gulf War coalition had fundamentally reorganized the political arithmetic of the United Nations General Assembly.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6.6: RESOLUTION 46/86. THE TEXT, THE VOTE, AND THE REASONING.</w:t>
      </w:r>
    </w:p>
    <w:p>
      <w:pPr>
        <w:spacing w:before="0" w:after="200"/>
        <w:ind w:firstLine="360"/>
      </w:pPr>
      <w:r>
        <w:rPr>
          <w:color w:val="1A1A1A"/>
          <w:sz w:val="22"/>
          <w:szCs w:val="22"/>
          <w:rFonts w:ascii="Georgia" w:cs="Georgia" w:eastAsia="Georgia" w:hAnsi="Georgia"/>
        </w:rPr>
        <w:t xml:space="preserve">United Nations General Assembly Resolution 46/86, adopted December 16, 1991, reads in its entirety:</w:t>
      </w:r>
    </w:p>
    <w:p>
      <w:pPr>
        <w:pBdr>
          <w:left w:val="thick" w:color="C9A227" w:sz="12" w:space="12"/>
        </w:pBdr>
        <w:spacing w:before="160" w:after="160"/>
        <w:ind w:left="576" w:right="576"/>
      </w:pPr>
      <w:r>
        <w:rPr>
          <w:i/>
          <w:iCs/>
          <w:color w:val="1A1A1A"/>
          <w:sz w:val="20"/>
          <w:szCs w:val="20"/>
          <w:rFonts w:ascii="Georgia" w:cs="Georgia" w:eastAsia="Georgia" w:hAnsi="Georgia"/>
        </w:rPr>
        <w:t xml:space="preserve">"The General Assembly decides to revoke the determination contained in its resolution 3379 (XXX) of 10 November 1975."</w:t>
      </w:r>
    </w:p>
    <w:p>
      <w:pPr>
        <w:spacing w:before="0" w:after="200"/>
        <w:ind w:firstLine="360"/>
      </w:pPr>
      <w:r>
        <w:rPr>
          <w:color w:val="1A1A1A"/>
          <w:sz w:val="22"/>
          <w:szCs w:val="22"/>
          <w:rFonts w:ascii="Georgia" w:cs="Georgia" w:eastAsia="Georgia" w:hAnsi="Georgia"/>
        </w:rPr>
        <w:t xml:space="preserve">That is the complete text of Resolution 46/86. It contains one operative sentence. It revokes Resolution 3379 without providing reasoning, without establishing a replacement framework, and without addressing the underlying political questions that had produced the original resolution.</w:t>
      </w:r>
    </w:p>
    <w:p>
      <w:pPr>
        <w:spacing w:before="0" w:after="200"/>
        <w:ind w:firstLine="360"/>
      </w:pPr>
      <w:r>
        <w:rPr>
          <w:color w:val="1A1A1A"/>
          <w:sz w:val="22"/>
          <w:szCs w:val="22"/>
          <w:rFonts w:ascii="Georgia" w:cs="Georgia" w:eastAsia="Georgia" w:hAnsi="Georgia"/>
        </w:rPr>
        <w:t xml:space="preserve">The vote produced the following result: 111 in favor, 25 against, 13 abstentions, 17 absent.</w:t>
      </w:r>
    </w:p>
    <w:p>
      <w:pPr>
        <w:spacing w:before="0" w:after="200"/>
        <w:ind w:firstLine="360"/>
      </w:pPr>
      <w:r>
        <w:rPr>
          <w:color w:val="1A1A1A"/>
          <w:sz w:val="22"/>
          <w:szCs w:val="22"/>
          <w:rFonts w:ascii="Georgia" w:cs="Georgia" w:eastAsia="Georgia" w:hAnsi="Georgia"/>
        </w:rPr>
        <w:t xml:space="preserve">The 111 states voting in favor included the United States, the majority of European states, the majority of Latin American states, a number of African states, and several Arab states. The 25 states voting against included a reduced bloc of Arab states, including Syria, Lebanon, and Jordan, several African states, and Cuba. The 13 abstentions included several states that had supported Resolution 3379 in 1975 but declined to vote against its revocation in 1991.</w:t>
      </w:r>
    </w:p>
    <w:p>
      <w:pPr>
        <w:spacing w:before="0" w:after="200"/>
        <w:ind w:firstLine="360"/>
      </w:pPr>
      <w:r>
        <w:rPr>
          <w:color w:val="1A1A1A"/>
          <w:sz w:val="22"/>
          <w:szCs w:val="22"/>
          <w:rFonts w:ascii="Georgia" w:cs="Georgia" w:eastAsia="Georgia" w:hAnsi="Georgia"/>
        </w:rPr>
        <w:t xml:space="preserve">The comparison between the 1975 vote and the 1991 vote is itself a primary source document of the political transformation of the international system between those two dates. In 1975, 72 states voted to determine that Zionism is a form of racism. In 1991, 111 states voted to revoke that determination. The 39-vote swing reflects the collapse of the Soviet bloc, the reorganization of African state positions following the end of apartheid negotiations in South Africa, and the diplomatic pressure applied by the United States in the context of the Gulf War peace process.</w:t>
      </w:r>
    </w:p>
    <w:p>
      <w:pPr>
        <w:spacing w:before="0" w:after="200"/>
        <w:ind w:firstLine="360"/>
      </w:pPr>
      <w:r>
        <w:rPr>
          <w:color w:val="1A1A1A"/>
          <w:sz w:val="22"/>
          <w:szCs w:val="22"/>
          <w:rFonts w:ascii="Georgia" w:cs="Georgia" w:eastAsia="Georgia" w:hAnsi="Georgia"/>
        </w:rPr>
        <w:t xml:space="preserve">The explanation of vote statements delivered by member states in 1991 are primary source documents of the reasoning behind the reversal. Several states that voted for revocation explicitly stated that they were doing so not because they had changed their assessment of Israeli policy toward Palestinians but because the resolution had been used in ways that conflated legitimate criticism of Israeli policy with antisemitism. Several states that voted against revocation stated that the revocation was being driven by American political pressure rather than by a genuine change in the international community's assessment of Zionism.</w:t>
      </w:r>
    </w:p>
    <w:p>
      <w:pPr>
        <w:spacing w:before="0" w:after="200"/>
        <w:ind w:firstLine="360"/>
      </w:pPr>
      <w:r>
        <w:rPr>
          <w:color w:val="1A1A1A"/>
          <w:sz w:val="22"/>
          <w:szCs w:val="22"/>
          <w:rFonts w:ascii="Georgia" w:cs="Georgia" w:eastAsia="Georgia" w:hAnsi="Georgia"/>
        </w:rPr>
        <w:t xml:space="preserve">All of these statements are in the United Nations record. They document the complexity of the reversal. The reversal was a political act produced by political circumstances. It was not a theological act and it was not a legal judgment. It was a General Assembly vote produced by the same political arithmetic that had produced the original resolution, operating in a fundamentally changed political environment.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6.7: WHAT THE TWO VOTES ESTABLISH. A FORENSIC SUMMARY.</w:t>
      </w:r>
    </w:p>
    <w:p>
      <w:pPr>
        <w:spacing w:before="0" w:after="200"/>
        <w:ind w:firstLine="360"/>
      </w:pPr>
      <w:r>
        <w:rPr>
          <w:color w:val="1A1A1A"/>
          <w:sz w:val="22"/>
          <w:szCs w:val="22"/>
          <w:rFonts w:ascii="Georgia" w:cs="Georgia" w:eastAsia="Georgia" w:hAnsi="Georgia"/>
        </w:rPr>
        <w:t xml:space="preserve">The two votes, read together as primary source documents, establish the following facts.</w:t>
      </w:r>
    </w:p>
    <w:p>
      <w:pPr>
        <w:spacing w:before="0" w:after="200"/>
        <w:ind w:firstLine="360"/>
      </w:pPr>
      <w:r>
        <w:rPr>
          <w:color w:val="1A1A1A"/>
          <w:sz w:val="22"/>
          <w:szCs w:val="22"/>
          <w:rFonts w:ascii="Georgia" w:cs="Georgia" w:eastAsia="Georgia" w:hAnsi="Georgia"/>
        </w:rPr>
        <w:t xml:space="preserve">In 1975, a majority of the member states of the United Nations General Assembly, voting after deliberation and in explanation of their votes, determined that Zionism as a political movement constituted a form of racism and racial discrimination. The majority included the entire Arab League, the majority of African states, the entire Soviet bloc, and a number of Asian and Latin American states.</w:t>
      </w:r>
    </w:p>
    <w:p>
      <w:pPr>
        <w:spacing w:before="0" w:after="200"/>
        <w:ind w:firstLine="360"/>
      </w:pPr>
      <w:r>
        <w:rPr>
          <w:color w:val="1A1A1A"/>
          <w:sz w:val="22"/>
          <w:szCs w:val="22"/>
          <w:rFonts w:ascii="Georgia" w:cs="Georgia" w:eastAsia="Georgia" w:hAnsi="Georgia"/>
        </w:rPr>
        <w:t xml:space="preserve">In 1991, a larger majority of the member states of the United Nations General Assembly, voting after deliberation and in explanation of their votes, revoked that determination. The larger majority reflected the collapse of the Soviet bloc, the reorganization of post-Gulf War Arab state alignments, and the diplomatic pressure applied by the United States in the context of the Madrid Peace Process.</w:t>
      </w:r>
    </w:p>
    <w:p>
      <w:pPr>
        <w:spacing w:before="0" w:after="200"/>
        <w:ind w:firstLine="360"/>
      </w:pPr>
      <w:r>
        <w:rPr>
          <w:color w:val="1A1A1A"/>
          <w:sz w:val="22"/>
          <w:szCs w:val="22"/>
          <w:rFonts w:ascii="Georgia" w:cs="Georgia" w:eastAsia="Georgia" w:hAnsi="Georgia"/>
        </w:rPr>
        <w:t xml:space="preserve">Neither vote resolved the underlying political question about the relationship between Zionism as a political movement and the rights of the Palestinian population documented in the previous chapters. The 1975 vote determined that the relationship constituted racism. The 1991 vote revoked that determination. Neither vote changed the Ottoman land registry record. Neither vote changed the British Mandate census figures. Neither vote changed the UNRWA registration records documenting 5.9 million Palestinian refugees. Neither vote changed what Theodor Herzl wrote in his diary.</w:t>
      </w:r>
    </w:p>
    <w:p>
      <w:pPr>
        <w:spacing w:before="0" w:after="200"/>
        <w:ind w:firstLine="360"/>
      </w:pPr>
      <w:r>
        <w:rPr>
          <w:color w:val="1A1A1A"/>
          <w:sz w:val="22"/>
          <w:szCs w:val="22"/>
          <w:rFonts w:ascii="Georgia" w:cs="Georgia" w:eastAsia="Georgia" w:hAnsi="Georgia"/>
        </w:rPr>
        <w:t xml:space="preserve">The documents predate both votes. The documents postdate both votes. The documents are indifferent to both votes. They record what they record. The political process of the United Nations General Assembly does not change what the tapu deeds say or what Leviticus 19:34 requires.</w:t>
      </w:r>
    </w:p>
    <w:p>
      <w:pPr>
        <w:spacing w:before="0" w:after="200"/>
        <w:ind w:firstLine="360"/>
      </w:pPr>
      <w:r>
        <w:rPr>
          <w:color w:val="1A1A1A"/>
          <w:sz w:val="22"/>
          <w:szCs w:val="22"/>
          <w:rFonts w:ascii="Georgia" w:cs="Georgia" w:eastAsia="Georgia" w:hAnsi="Georgia"/>
        </w:rPr>
        <w:t xml:space="preserve">The receipts are not subject to revocation by General Assembly resolution.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6.8: THE DELTA. THE ISRAEL-SOUTH AFRICA CONNECTION AND THE AFRICAN VOTE.</w:t>
      </w:r>
    </w:p>
    <w:p>
      <w:pPr>
        <w:spacing w:before="0" w:after="200"/>
        <w:ind w:firstLine="360"/>
      </w:pPr>
      <w:r>
        <w:rPr>
          <w:color w:val="1A1A1A"/>
          <w:sz w:val="22"/>
          <w:szCs w:val="22"/>
          <w:rFonts w:ascii="Georgia" w:cs="Georgia" w:eastAsia="Georgia" w:hAnsi="Georgia"/>
        </w:rPr>
        <w:t xml:space="preserve">The forensic Delta of this chapter is the documented relationship between Israel and apartheid South Africa and its role in producing the African bloc's support for Resolution 3379.</w:t>
      </w:r>
    </w:p>
    <w:p>
      <w:pPr>
        <w:spacing w:before="0" w:after="200"/>
        <w:ind w:firstLine="360"/>
      </w:pPr>
      <w:r>
        <w:rPr>
          <w:color w:val="1A1A1A"/>
          <w:sz w:val="22"/>
          <w:szCs w:val="22"/>
          <w:rFonts w:ascii="Georgia" w:cs="Georgia" w:eastAsia="Georgia" w:hAnsi="Georgia"/>
        </w:rPr>
        <w:t xml:space="preserve">The standard account of Resolution 3379 in Western political discourse focuses on the Soviet and Arab sponsorship of the resolution and characterizes the African vote as following the Soviet and Arab lead in an expression of Cold War political alignment. The primary source record of Israel-South Africa relations during the apartheid period documents a more specific reason for African state opposition to Israel in 1975.</w:t>
      </w:r>
    </w:p>
    <w:p>
      <w:pPr>
        <w:spacing w:before="0" w:after="200"/>
        <w:ind w:firstLine="360"/>
      </w:pPr>
      <w:r>
        <w:rPr>
          <w:color w:val="1A1A1A"/>
          <w:sz w:val="22"/>
          <w:szCs w:val="22"/>
          <w:rFonts w:ascii="Georgia" w:cs="Georgia" w:eastAsia="Georgia" w:hAnsi="Georgia"/>
        </w:rPr>
        <w:t xml:space="preserve">Israel and South Africa maintained documented diplomatic, military, and economic relations throughout the apartheid period. The relationship included arms sales, military training, nuclear cooperation, and intelligence sharing. These relationships are documented in South African government records released after the end of apartheid, in Israeli government documents partially declassified during the same period, and in the scholarship of Benjamin Beit-Hallahmi and Sasha Polakow-Suransky.</w:t>
      </w:r>
    </w:p>
    <w:p>
      <w:pPr>
        <w:spacing w:before="0" w:after="200"/>
        <w:ind w:firstLine="360"/>
      </w:pPr>
      <w:r>
        <w:rPr>
          <w:color w:val="1A1A1A"/>
          <w:sz w:val="22"/>
          <w:szCs w:val="22"/>
          <w:rFonts w:ascii="Georgia" w:cs="Georgia" w:eastAsia="Georgia" w:hAnsi="Georgia"/>
        </w:rPr>
        <w:t xml:space="preserve">Polakow-Suransky's research, drawing on documents obtained from the South African Department of Defense under post-apartheid freedom of information provisions, documents that Israel sold South Africa Jericho missiles and offered to sell nuclear warheads to the apartheid government in 1975, the same year Resolution 3379 was adopted. The documents were classified by the South African government under apartheid-era secrecy provisions and were declassified by the post-apartheid government. They are primary source government documents.</w:t>
      </w:r>
    </w:p>
    <w:p>
      <w:pPr>
        <w:spacing w:before="0" w:after="200"/>
        <w:ind w:firstLine="360"/>
      </w:pPr>
      <w:r>
        <w:rPr>
          <w:color w:val="1A1A1A"/>
          <w:sz w:val="22"/>
          <w:szCs w:val="22"/>
          <w:rFonts w:ascii="Georgia" w:cs="Georgia" w:eastAsia="Georgia" w:hAnsi="Georgia"/>
        </w:rPr>
        <w:t xml:space="preserve">The African states that voted for Resolution 3379 in 1975 were voting, in part, in response to an Israeli government that was documented as an arms supplier and military partner of the government that operated the apartheid system across their continent. That context does not appear in the standard Western account of Resolution 3379 as an act of Soviet-Arab antisemitism at the United Nations.</w:t>
      </w:r>
    </w:p>
    <w:p>
      <w:pPr>
        <w:spacing w:before="0" w:after="200"/>
        <w:ind w:firstLine="360"/>
      </w:pPr>
      <w:r>
        <w:rPr>
          <w:color w:val="1A1A1A"/>
          <w:sz w:val="22"/>
          <w:szCs w:val="22"/>
          <w:rFonts w:ascii="Georgia" w:cs="Georgia" w:eastAsia="Georgia" w:hAnsi="Georgia"/>
        </w:rPr>
        <w:t xml:space="preserve">The primary source record does not support the standard account's omission of this context. The African vote for Resolution 3379 was not exclusively an expression of Cold War alignment or Arab political pressure. It was, in documented part, a response to Israeli government policy toward apartheid South Africa.</w:t>
      </w:r>
    </w:p>
    <w:p>
      <w:pPr>
        <w:spacing w:before="0" w:after="200"/>
        <w:ind w:firstLine="360"/>
      </w:pPr>
      <w:r>
        <w:rPr>
          <w:color w:val="1A1A1A"/>
          <w:sz w:val="22"/>
          <w:szCs w:val="22"/>
          <w:rFonts w:ascii="Georgia" w:cs="Georgia" w:eastAsia="Georgia" w:hAnsi="Georgia"/>
        </w:rPr>
        <w:t xml:space="preserve">That context is in the primary source record. It is in the declassified South African Defense Ministry documents. It is in Polakow-Suransky's scholarship. It has been consistently omitted from the dominant political account of Resolution 3379 in Western political discourse.</w:t>
      </w:r>
    </w:p>
    <w:p>
      <w:pPr>
        <w:spacing w:before="0" w:after="200"/>
        <w:ind w:firstLine="360"/>
      </w:pPr>
      <w:r>
        <w:rPr>
          <w:color w:val="1A1A1A"/>
          <w:sz w:val="22"/>
          <w:szCs w:val="22"/>
          <w:rFonts w:ascii="Georgia" w:cs="Georgia" w:eastAsia="Georgia" w:hAnsi="Georgia"/>
        </w:rPr>
        <w:t xml:space="preserve">The receipts were classified. They have been declassified. They say what they say.</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Baker, J. A. (1995). The politics of diplomacy: Revolution, war and peace, 1989–1992. G.P. Putnam's Sons.</w:t>
      </w:r>
    </w:p>
    <w:p>
      <w:pPr>
        <w:spacing w:before="0" w:after="120"/>
        <w:ind w:left="720" w:hanging="720"/>
      </w:pPr>
      <w:r>
        <w:rPr>
          <w:color w:val="5A5A5A"/>
          <w:sz w:val="18"/>
          <w:szCs w:val="18"/>
          <w:rFonts w:ascii="Georgia" w:cs="Georgia" w:eastAsia="Georgia" w:hAnsi="Georgia"/>
        </w:rPr>
        <w:t xml:space="preserve">Beit-Hallahmi, B. (1987). The Israeli connection: Who Israel arms and why. Pantheon Books.</w:t>
      </w:r>
    </w:p>
    <w:p>
      <w:pPr>
        <w:spacing w:before="0" w:after="120"/>
        <w:ind w:left="720" w:hanging="720"/>
      </w:pPr>
      <w:r>
        <w:rPr>
          <w:color w:val="5A5A5A"/>
          <w:sz w:val="18"/>
          <w:szCs w:val="18"/>
          <w:rFonts w:ascii="Georgia" w:cs="Georgia" w:eastAsia="Georgia" w:hAnsi="Georgia"/>
        </w:rPr>
        <w:t xml:space="preserve">Herzog, C. (1975, November 10). Statement to the United Nations General Assembly on Resolution 3379 [Meeting record]. United Nations General Assembly, 30th session, 2400th plenary meeting. https://undocs.org/A/PV.2400</w:t>
      </w:r>
    </w:p>
    <w:p>
      <w:pPr>
        <w:spacing w:before="0" w:after="120"/>
        <w:ind w:left="720" w:hanging="720"/>
      </w:pPr>
      <w:r>
        <w:rPr>
          <w:color w:val="5A5A5A"/>
          <w:sz w:val="18"/>
          <w:szCs w:val="18"/>
          <w:rFonts w:ascii="Georgia" w:cs="Georgia" w:eastAsia="Georgia" w:hAnsi="Georgia"/>
        </w:rPr>
        <w:t xml:space="preserve">Moynihan, D. P. (1975, November 10). Statement to the United Nations General Assembly on Resolution 3379 [Meeting record]. United Nations General Assembly, 30th session, 2400th plenary meeting. https://undocs.org/A/PV.2400</w:t>
      </w:r>
    </w:p>
    <w:p>
      <w:pPr>
        <w:spacing w:before="0" w:after="120"/>
        <w:ind w:left="720" w:hanging="720"/>
      </w:pPr>
      <w:r>
        <w:rPr>
          <w:color w:val="5A5A5A"/>
          <w:sz w:val="18"/>
          <w:szCs w:val="18"/>
          <w:rFonts w:ascii="Georgia" w:cs="Georgia" w:eastAsia="Georgia" w:hAnsi="Georgia"/>
        </w:rPr>
        <w:t xml:space="preserve">Polakow-Suransky, S. (2010). The unspoken alliance: Israel's secret relationship with apartheid South Africa. Pantheon Books.</w:t>
      </w:r>
    </w:p>
    <w:p>
      <w:pPr>
        <w:spacing w:before="0" w:after="120"/>
        <w:ind w:left="720" w:hanging="720"/>
      </w:pPr>
      <w:r>
        <w:rPr>
          <w:color w:val="5A5A5A"/>
          <w:sz w:val="18"/>
          <w:szCs w:val="18"/>
          <w:rFonts w:ascii="Georgia" w:cs="Georgia" w:eastAsia="Georgia" w:hAnsi="Georgia"/>
        </w:rPr>
        <w:t xml:space="preserve">United Nations General Assembly. (1975, November 10). Resolution 3379: Elimination of all forms of racial discrimination (A/RES/3379(XXX)). https://undocs.org/A/RES/3379(XXX)</w:t>
      </w:r>
    </w:p>
    <w:p>
      <w:pPr>
        <w:spacing w:before="0" w:after="120"/>
        <w:ind w:left="720" w:hanging="720"/>
      </w:pPr>
      <w:r>
        <w:rPr>
          <w:color w:val="5A5A5A"/>
          <w:sz w:val="18"/>
          <w:szCs w:val="18"/>
          <w:rFonts w:ascii="Georgia" w:cs="Georgia" w:eastAsia="Georgia" w:hAnsi="Georgia"/>
        </w:rPr>
        <w:t xml:space="preserve">United Nations General Assembly. (1991, December 16). Resolution 46/86: Elimination of racism and racial discrimination (A/RES/46/86). https://undocs.org/A/RES/46/86</w:t>
      </w:r>
    </w:p>
    <w:p>
      <w:pPr>
        <w:spacing w:before="0" w:after="120"/>
        <w:ind w:left="720" w:hanging="720"/>
      </w:pPr>
      <w:r>
        <w:rPr>
          <w:color w:val="5A5A5A"/>
          <w:sz w:val="18"/>
          <w:szCs w:val="18"/>
          <w:rFonts w:ascii="Georgia" w:cs="Georgia" w:eastAsia="Georgia" w:hAnsi="Georgia"/>
        </w:rPr>
        <w:t xml:space="preserve">United Nations General Assembly. (1975, November 10). Official records of the 2400th plenary meeting (A/PV.2400). https://undocs.org/A/PV.2400</w:t>
      </w:r>
    </w:p>
    <w:p>
      <w:pPr>
        <w:spacing w:before="0" w:after="120"/>
        <w:ind w:left="720" w:hanging="720"/>
      </w:pPr>
      <w:r>
        <w:rPr>
          <w:color w:val="5A5A5A"/>
          <w:sz w:val="18"/>
          <w:szCs w:val="18"/>
          <w:rFonts w:ascii="Georgia" w:cs="Georgia" w:eastAsia="Georgia" w:hAnsi="Georgia"/>
        </w:rPr>
        <w:t xml:space="preserve">United Nations General Assembly. (1991, December 16). Official records of the 72nd plenary meeting (A/PV.72). https://undocs.org/A/PV.72</w:t>
      </w:r>
    </w:p>
    <w:p>
      <w:pPr>
        <w:spacing w:before="0" w:after="120"/>
        <w:ind w:left="720" w:hanging="720"/>
      </w:pPr>
      <w:r>
        <w:rPr>
          <w:color w:val="5A5A5A"/>
          <w:sz w:val="18"/>
          <w:szCs w:val="18"/>
          <w:rFonts w:ascii="Georgia" w:cs="Georgia" w:eastAsia="Georgia" w:hAnsi="Georgia"/>
        </w:rPr>
        <w:t xml:space="preserve">Wikipedia. (2024). United Nations General Assembly Resolution 3379. https://en.wikipedia.org/wiki/United_Nations_General_Assembly_Resolution_3379</w:t>
      </w:r>
    </w:p>
    <w:p>
      <w:pPr>
        <w:spacing w:before="0" w:after="120"/>
        <w:ind w:left="720" w:hanging="720"/>
      </w:pPr>
      <w:r>
        <w:rPr>
          <w:color w:val="5A5A5A"/>
          <w:sz w:val="18"/>
          <w:szCs w:val="18"/>
          <w:rFonts w:ascii="Georgia" w:cs="Georgia" w:eastAsia="Georgia" w:hAnsi="Georgia"/>
        </w:rPr>
        <w:t xml:space="preserve">Wikipedia. (2024). United Nations General Assembly Resolution 46/86. https://en.wikipedia.org/wiki/United_Nations_General_Assembly_Resolution_46/86</w:t>
      </w:r>
    </w:p>
    <w:p>
      <w:r>
        <w:br w:type="page"/>
      </w:r>
    </w:p>
    <w:p>
      <w:pPr>
        <w:spacing w:before="0" w:after="80"/>
      </w:pPr>
      <w:r>
        <w:rPr>
          <w:b/>
          <w:bCs/>
          <w:color w:val="C9A227"/>
          <w:sz w:val="20"/>
          <w:szCs w:val="20"/>
          <w:caps/>
          <w:rFonts w:ascii="Georgia" w:cs="Georgia" w:eastAsia="Georgia" w:hAnsi="Georgia"/>
          <w:spacing w:val="160"/>
        </w:rPr>
        <w:t xml:space="preserve">CHAPTER 7</w:t>
      </w:r>
    </w:p>
    <w:p>
      <w:pPr>
        <w:pStyle w:val="Heading1"/>
        <w:spacing w:before="0" w:after="200"/>
      </w:pPr>
      <w:r>
        <w:rPr>
          <w:b/>
          <w:bCs/>
          <w:color w:val="1A1A1A"/>
          <w:sz w:val="36"/>
          <w:szCs w:val="36"/>
          <w:rFonts w:ascii="Georgia" w:cs="Georgia" w:eastAsia="Georgia" w:hAnsi="Georgia"/>
        </w:rPr>
        <w:t xml:space="preserve">Israeli Law: Nation vs. Faith</w:t>
      </w:r>
    </w:p>
    <w:p>
      <w:pPr>
        <w:spacing w:before="0" w:after="200"/>
        <w:ind w:firstLine="360"/>
      </w:pPr>
      <w:r>
        <w:rPr>
          <w:color w:val="1A1A1A"/>
          <w:sz w:val="22"/>
          <w:szCs w:val="22"/>
          <w:rFonts w:ascii="Georgia" w:cs="Georgia" w:eastAsia="Georgia" w:hAnsi="Georgia"/>
        </w:rPr>
        <w:t xml:space="preserve">A state that defines itself as both Jewish and democratic has produced a legal architecture that attempts to hold both definitions simultaneously. The attempt is documented in the statutory record of the State of Israel from its founding legislation in 1948 through the Basic Law: Israel as the Nation-State of the Jewish People, adopted by the Knesset on July 19, 2018. That statutory record does not resolve the tension between the two definitions. It encodes it into law. The Israeli legal architecture is not theoretical. It is statutory. It is judicial. It is administrative. Both documents represent primary source evidence of American Reform Jewish anti-Zionist sentiment throughout the mid-twentieth century.</w:t>
      </w:r>
    </w:p>
    <w:p>
      <w:pPr>
        <w:spacing w:before="0" w:after="200"/>
        <w:ind w:firstLine="360"/>
      </w:pPr>
      <w:r>
        <w:rPr>
          <w:color w:val="1A1A1A"/>
          <w:sz w:val="22"/>
          <w:szCs w:val="22"/>
          <w:rFonts w:ascii="Georgia" w:cs="Georgia" w:eastAsia="Georgia" w:hAnsi="Georgia"/>
        </w:rPr>
        <w:t xml:space="preserve">This chapter reads the statutes. It reads the court opinions. It reads the dissents. It does not characterize the legal architecture it describes. The architecture characterizes itself through its own text and through the judicial reasoning that has interpreted it across seventy-six years of Israeli jurisprudence.</w:t>
      </w:r>
    </w:p>
    <w:p>
      <w:pPr>
        <w:spacing w:before="0" w:after="200"/>
        <w:ind w:firstLine="360"/>
      </w:pPr>
      <w:r>
        <w:rPr>
          <w:color w:val="1A1A1A"/>
          <w:sz w:val="22"/>
          <w:szCs w:val="22"/>
          <w:rFonts w:ascii="Georgia" w:cs="Georgia" w:eastAsia="Georgia" w:hAnsi="Georgia"/>
        </w:rPr>
        <w:t xml:space="preserve">The forensic finding of this chapter is precise and derives exclusively from the primary sources. Israeli law does not distinguish Israeli nationality from Jewish nationality. It fuses them. The Israeli Supreme Court has ruled that no separate Israeli nationality exists. Jewish nationality and Israeli citizenship occupy different legal categories that operate simultaneously and produce different legal consequences for different populations within the same state. The statutory text is the evidence.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7.1: THE FOUNDING DOCUMENTS. WHAT THE DECLARATION OF INDEPENDENCE ESTABLISHED.</w:t>
      </w:r>
    </w:p>
    <w:p>
      <w:pPr>
        <w:spacing w:before="0" w:after="200"/>
        <w:ind w:firstLine="360"/>
      </w:pPr>
      <w:r>
        <w:rPr>
          <w:color w:val="1A1A1A"/>
          <w:sz w:val="22"/>
          <w:szCs w:val="22"/>
          <w:rFonts w:ascii="Georgia" w:cs="Georgia" w:eastAsia="Georgia" w:hAnsi="Georgia"/>
        </w:rPr>
        <w:t xml:space="preserve">The Israeli Declaration of Independence was proclaimed by David Ben-Gurion on May 14, 1948, at the Tel Aviv Museum. It is the founding document of the State of Israel. It is a primary source of the first importance for understanding what the state's founders understood themselves to be establishing.</w:t>
      </w:r>
    </w:p>
    <w:p>
      <w:pPr>
        <w:spacing w:before="0" w:after="200"/>
        <w:ind w:firstLine="360"/>
      </w:pPr>
      <w:r>
        <w:rPr>
          <w:color w:val="1A1A1A"/>
          <w:sz w:val="22"/>
          <w:szCs w:val="22"/>
          <w:rFonts w:ascii="Georgia" w:cs="Georgia" w:eastAsia="Georgia" w:hAnsi="Georgia"/>
        </w:rPr>
        <w:t xml:space="preserve">The declaration states, in relevant part: "The Land of Israel was the birthplace of the Jewish People. Here their spiritual, religious and political identity was shaped. Here they first attained to statehood, created cultural values of national and universal significance and gave to the world the eternal Book of Books."</w:t>
      </w:r>
    </w:p>
    <w:p>
      <w:pPr>
        <w:spacing w:before="0" w:after="200"/>
        <w:ind w:firstLine="360"/>
      </w:pPr>
      <w:r>
        <w:rPr>
          <w:color w:val="1A1A1A"/>
          <w:sz w:val="22"/>
          <w:szCs w:val="22"/>
          <w:rFonts w:ascii="Georgia" w:cs="Georgia" w:eastAsia="Georgia" w:hAnsi="Georgia"/>
        </w:rPr>
        <w:t xml:space="preserve">The declaration also states: "The State of Israel will be open for Jewish immigration and for the Ingathering of the Exiles; it will foster the development of the country for the benefit of all its inhabitants; it will be based on freedom, justice and peace as envisaged by the prophets of Israel; it will ensure complete equality of social and political rights to all its inhabitants irrespective of religion, race or sex; it will guarantee freedom of religion, conscience, language and culture."</w:t>
      </w:r>
    </w:p>
    <w:p>
      <w:pPr>
        <w:spacing w:before="0" w:after="200"/>
        <w:ind w:firstLine="360"/>
      </w:pPr>
      <w:r>
        <w:rPr>
          <w:color w:val="1A1A1A"/>
          <w:sz w:val="22"/>
          <w:szCs w:val="22"/>
          <w:rFonts w:ascii="Georgia" w:cs="Georgia" w:eastAsia="Georgia" w:hAnsi="Georgia"/>
        </w:rPr>
        <w:t xml:space="preserve">Two tensions are encoded in the founding document itself. The state is established as the state of the Jewish People and simultaneously commits to complete equality of social and political rights to all its inhabitants irrespective of religion, race or sex. The document does not resolve the tension between a state defined by the ethnoreligious identity of one population group and a commitment to complete equality for all inhabitants regardless of religion or race. It asserts both simultaneously.</w:t>
      </w:r>
    </w:p>
    <w:p>
      <w:pPr>
        <w:spacing w:before="0" w:after="200"/>
        <w:ind w:firstLine="360"/>
      </w:pPr>
      <w:r>
        <w:rPr>
          <w:color w:val="1A1A1A"/>
          <w:sz w:val="22"/>
          <w:szCs w:val="22"/>
          <w:rFonts w:ascii="Georgia" w:cs="Georgia" w:eastAsia="Georgia" w:hAnsi="Georgia"/>
        </w:rPr>
        <w:t xml:space="preserve">The declaration is not legally binding in Israeli constitutional law in the same way that legislation is binding. The Israeli Supreme Court has treated it as a foundational statement of values rather than as enforceable law. Its significance for this chapter is as a primary source document of the intentions and tensions encoded in the state's founding moment.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7.2: THE LAW OF RETURN, 1950. THE FIRST STATUTORY DISTINCTION.</w:t>
      </w:r>
    </w:p>
    <w:p>
      <w:pPr>
        <w:spacing w:before="0" w:after="200"/>
        <w:ind w:firstLine="360"/>
      </w:pPr>
      <w:r>
        <w:rPr>
          <w:color w:val="1A1A1A"/>
          <w:sz w:val="22"/>
          <w:szCs w:val="22"/>
          <w:rFonts w:ascii="Georgia" w:cs="Georgia" w:eastAsia="Georgia" w:hAnsi="Georgia"/>
        </w:rPr>
        <w:t xml:space="preserve">The Law of Return was enacted by the Knesset on July 5, 1950. It is the first major piece of legislation defining who has the right to immigrate to Israel and acquire citizenship. Its text is brief. Its consequences are extensive.</w:t>
      </w:r>
    </w:p>
    <w:p>
      <w:pPr>
        <w:spacing w:before="0" w:after="200"/>
        <w:ind w:firstLine="360"/>
      </w:pPr>
      <w:r>
        <w:rPr>
          <w:color w:val="1A1A1A"/>
          <w:sz w:val="22"/>
          <w:szCs w:val="22"/>
          <w:rFonts w:ascii="Georgia" w:cs="Georgia" w:eastAsia="Georgia" w:hAnsi="Georgia"/>
        </w:rPr>
        <w:t xml:space="preserve">The law states, in its first section: "Every Jew has the right to come to this country as an oleh," meaning as an immigrant exercising the right of return.</w:t>
      </w:r>
    </w:p>
    <w:p>
      <w:pPr>
        <w:spacing w:before="0" w:after="200"/>
        <w:ind w:firstLine="360"/>
      </w:pPr>
      <w:r>
        <w:rPr>
          <w:color w:val="1A1A1A"/>
          <w:sz w:val="22"/>
          <w:szCs w:val="22"/>
          <w:rFonts w:ascii="Georgia" w:cs="Georgia" w:eastAsia="Georgia" w:hAnsi="Georgia"/>
        </w:rPr>
        <w:t xml:space="preserve">The second section provides for oleh visas to be granted to every Jew who has expressed desire to settle in Israel, subject to exceptions for persons acting against the Jewish people, persons likely to endanger public health or the security of the state, and persons with a criminal past.</w:t>
      </w:r>
    </w:p>
    <w:p>
      <w:pPr>
        <w:spacing w:before="0" w:after="200"/>
        <w:ind w:firstLine="360"/>
      </w:pPr>
      <w:r>
        <w:rPr>
          <w:color w:val="1A1A1A"/>
          <w:sz w:val="22"/>
          <w:szCs w:val="22"/>
          <w:rFonts w:ascii="Georgia" w:cs="Georgia" w:eastAsia="Georgia" w:hAnsi="Georgia"/>
        </w:rPr>
        <w:t xml:space="preserve">The law was amended in 1954 and again in 1970. The 1970 amendment is the most significant for the purposes of this chapter. It extended the right of return to the spouse of a Jew, to the children of a Jew and their spouses, and to the grandchildren of a Jew and their spouses, regardless of whether those individuals are themselves Jewish. The amendment also provided a definition of who is a Jew for the purposes of the law: a person who was born of a Jewish mother or has become converted to Judaism and is not a member of another religion.</w:t>
      </w:r>
    </w:p>
    <w:p>
      <w:pPr>
        <w:spacing w:before="0" w:after="200"/>
        <w:ind w:firstLine="360"/>
      </w:pPr>
      <w:r>
        <w:rPr>
          <w:color w:val="1A1A1A"/>
          <w:sz w:val="22"/>
          <w:szCs w:val="22"/>
          <w:rFonts w:ascii="Georgia" w:cs="Georgia" w:eastAsia="Georgia" w:hAnsi="Georgia"/>
        </w:rPr>
        <w:t xml:space="preserve">The 1970 amendment thus created a legal category of persons entitled to immigrate to Israel under the Law of Return who are not themselves Jewish by the law's own definition of Jewish, namely the non-Jewish spouses, children, and grandchildren of Jewish people. The category was created to address the practical realities of Jewish family life in the diaspora and to ensure that Jewish families could immigrate together.</w:t>
      </w:r>
    </w:p>
    <w:p>
      <w:pPr>
        <w:spacing w:before="0" w:after="200"/>
        <w:ind w:firstLine="360"/>
      </w:pPr>
      <w:r>
        <w:rPr>
          <w:color w:val="1A1A1A"/>
          <w:sz w:val="22"/>
          <w:szCs w:val="22"/>
          <w:rFonts w:ascii="Georgia" w:cs="Georgia" w:eastAsia="Georgia" w:hAnsi="Georgia"/>
        </w:rPr>
        <w:t xml:space="preserve">What the Law of Return establishes as a primary source document is the following. The right to immigrate to Israel and become a citizen is defined by ethnoreligious lineage. It is available to every Jew and to the defined family members of every Jew. It is not available to persons who lack that lineage. The law does not use the term Israeli nationality. It uses the term Jew. The foundational immigration law of the State of Israel is organized around a religious and ethnic category rather than around a civic or territorial category. That is what the statutory text says.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7.3: THE CITIZENSHIP LAW, 1952. THE ARCHITECTURE OF DIFFERENTIATED CITIZENSHIP.</w:t>
      </w:r>
    </w:p>
    <w:p>
      <w:pPr>
        <w:spacing w:before="0" w:after="200"/>
        <w:ind w:firstLine="360"/>
      </w:pPr>
      <w:r>
        <w:rPr>
          <w:color w:val="1A1A1A"/>
          <w:sz w:val="22"/>
          <w:szCs w:val="22"/>
          <w:rFonts w:ascii="Georgia" w:cs="Georgia" w:eastAsia="Georgia" w:hAnsi="Georgia"/>
        </w:rPr>
        <w:t xml:space="preserve">The Israeli Citizenship Law of 1952 establishes the legal framework for Israeli citizenship. Read alongside the Law of Return, it creates a differentiated citizenship architecture that is documented in the statutory text.</w:t>
      </w:r>
    </w:p>
    <w:p>
      <w:pPr>
        <w:spacing w:before="0" w:after="200"/>
        <w:ind w:firstLine="360"/>
      </w:pPr>
      <w:r>
        <w:rPr>
          <w:color w:val="1A1A1A"/>
          <w:sz w:val="22"/>
          <w:szCs w:val="22"/>
          <w:rFonts w:ascii="Georgia" w:cs="Georgia" w:eastAsia="Georgia" w:hAnsi="Georgia"/>
        </w:rPr>
        <w:t xml:space="preserve">The Law of Return grants every Jew the right to immigrate to Israel as an oleh. The Citizenship Law provides that every oleh under the Law of Return acquires Israeli citizenship automatically upon immigration. No naturalization process is required. No waiting period is imposed. No language requirement applies.</w:t>
      </w:r>
    </w:p>
    <w:p>
      <w:pPr>
        <w:spacing w:before="0" w:after="200"/>
        <w:ind w:firstLine="360"/>
      </w:pPr>
      <w:r>
        <w:rPr>
          <w:color w:val="1A1A1A"/>
          <w:sz w:val="22"/>
          <w:szCs w:val="22"/>
          <w:rFonts w:ascii="Georgia" w:cs="Georgia" w:eastAsia="Georgia" w:hAnsi="Georgia"/>
        </w:rPr>
        <w:t xml:space="preserve">The Citizenship Law provides a separate pathway for non-Jewish persons who wish to acquire Israeli citizenship through naturalization. The naturalization pathway requires a minimum of three years of residence in Israel while holding permanent residency status, a demonstration of proficiency in the Hebrew language, renunciation of previous nationality, and a declaration of intent to settle permanently in Israel.</w:t>
      </w:r>
    </w:p>
    <w:p>
      <w:pPr>
        <w:spacing w:before="0" w:after="200"/>
        <w:ind w:firstLine="360"/>
      </w:pPr>
      <w:r>
        <w:rPr>
          <w:color w:val="1A1A1A"/>
          <w:sz w:val="22"/>
          <w:szCs w:val="22"/>
          <w:rFonts w:ascii="Georgia" w:cs="Georgia" w:eastAsia="Georgia" w:hAnsi="Georgia"/>
        </w:rPr>
        <w:t xml:space="preserve">The statutory text thus creates two pathways to Israeli citizenship. The first pathway is available to Jewish persons and their defined family members. It is automatic, immediate, and requires no demonstration of residency, language proficiency, or renunciation of prior nationality. The second pathway is available to non-Jewish persons. It requires years of demonstrated residency, language testing, and renunciation of prior nationality.</w:t>
      </w:r>
    </w:p>
    <w:p>
      <w:pPr>
        <w:spacing w:before="0" w:after="200"/>
        <w:ind w:firstLine="360"/>
      </w:pPr>
      <w:r>
        <w:rPr>
          <w:color w:val="1A1A1A"/>
          <w:sz w:val="22"/>
          <w:szCs w:val="22"/>
          <w:rFonts w:ascii="Georgia" w:cs="Georgia" w:eastAsia="Georgia" w:hAnsi="Georgia"/>
        </w:rPr>
        <w:t xml:space="preserve">These two pathways are documented in the statutory text of Israeli law. They represent a legal distinction between Jewish and non-Jewish persons in access to citizenship of the State of Israel that is encoded in the founding legislation of the state. The distinction is not informal or administrative. It is statutory. It is in the law.</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7.4: THE POPULATION REGISTRY. THE NATIONALITY FIELD.</w:t>
      </w:r>
    </w:p>
    <w:p>
      <w:pPr>
        <w:spacing w:before="0" w:after="200"/>
        <w:ind w:firstLine="360"/>
      </w:pPr>
      <w:r>
        <w:rPr>
          <w:color w:val="1A1A1A"/>
          <w:sz w:val="22"/>
          <w:szCs w:val="22"/>
          <w:rFonts w:ascii="Georgia" w:cs="Georgia" w:eastAsia="Georgia" w:hAnsi="Georgia"/>
        </w:rPr>
        <w:t xml:space="preserve">The Israeli Population Registry maintains individual records for every resident of Israel. Until 2005, the registry included a field designated as nationality, le'om in Hebrew, which recorded the ethnoreligious group to which the registered person belonged. The categories available in the nationality field included Jewish, Arab, Druze, and more than 130 other categories. Israeli was not among the available categories.</w:t>
      </w:r>
    </w:p>
    <w:p>
      <w:pPr>
        <w:spacing w:before="0" w:after="200"/>
        <w:ind w:firstLine="360"/>
      </w:pPr>
      <w:r>
        <w:rPr>
          <w:color w:val="1A1A1A"/>
          <w:sz w:val="22"/>
          <w:szCs w:val="22"/>
          <w:rFonts w:ascii="Georgia" w:cs="Georgia" w:eastAsia="Georgia" w:hAnsi="Georgia"/>
        </w:rPr>
        <w:t xml:space="preserve">The absence of Israeli as a category in the nationality field of the Israeli Population Registry is a primary source document of the legal architecture this chapter examines. A state's population registry is its most basic administrative record of who its residents are and how they are categorized. The Israeli registry, from the state's founding until 2005, recorded every resident's ethnoreligious group but did not record Israeli nationality as a category available for registration.</w:t>
      </w:r>
    </w:p>
    <w:p>
      <w:pPr>
        <w:spacing w:before="0" w:after="200"/>
        <w:ind w:firstLine="360"/>
      </w:pPr>
      <w:r>
        <w:rPr>
          <w:color w:val="1A1A1A"/>
          <w:sz w:val="22"/>
          <w:szCs w:val="22"/>
          <w:rFonts w:ascii="Georgia" w:cs="Georgia" w:eastAsia="Georgia" w:hAnsi="Georgia"/>
        </w:rPr>
        <w:t xml:space="preserve">In 2005, following a legal challenge, the Israeli government removed the nationality field from the identity cards issued to Israeli citizens while retaining it in the internal Population Registry database. The field continues to exist in the registry. It no longer appears on identity cards. The legal challenge that produced this administrative change is part of the documented judicial record examined in the following section.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7.5: ORNAN V. MINISTRY OF THE INTERIOR, 2013. THE SUPREME COURT RECORD.</w:t>
      </w:r>
    </w:p>
    <w:p>
      <w:pPr>
        <w:spacing w:before="0" w:after="200"/>
        <w:ind w:firstLine="360"/>
      </w:pPr>
      <w:r>
        <w:rPr>
          <w:color w:val="1A1A1A"/>
          <w:sz w:val="22"/>
          <w:szCs w:val="22"/>
          <w:rFonts w:ascii="Georgia" w:cs="Georgia" w:eastAsia="Georgia" w:hAnsi="Georgia"/>
        </w:rPr>
        <w:t xml:space="preserve">The case of Ornan v. Ministry of the Interior, decided by the Israeli Supreme Court in 2013, is the most recent and most comprehensive judicial examination of the question of Israeli nationality in the Israeli legal system.</w:t>
      </w:r>
    </w:p>
    <w:p>
      <w:pPr>
        <w:spacing w:before="0" w:after="200"/>
        <w:ind w:firstLine="360"/>
      </w:pPr>
      <w:r>
        <w:rPr>
          <w:color w:val="1A1A1A"/>
          <w:sz w:val="22"/>
          <w:szCs w:val="22"/>
          <w:rFonts w:ascii="Georgia" w:cs="Georgia" w:eastAsia="Georgia" w:hAnsi="Georgia"/>
        </w:rPr>
        <w:t xml:space="preserve">The case was brought by a group of 21 Israeli citizens, led by Uzi Ornan, a retired linguist from northern Israel. The petitioners, who included both Jewish and Arab citizens of Israel, requested that the Supreme Court order the Interior Ministry to register them in the Population Registry with the nationality designation Israeli rather than with their respective ethnoreligious designations.</w:t>
      </w:r>
    </w:p>
    <w:p>
      <w:pPr>
        <w:spacing w:before="0" w:after="200"/>
        <w:ind w:firstLine="360"/>
      </w:pPr>
      <w:r>
        <w:rPr>
          <w:color w:val="1A1A1A"/>
          <w:sz w:val="22"/>
          <w:szCs w:val="22"/>
          <w:rFonts w:ascii="Georgia" w:cs="Georgia" w:eastAsia="Georgia" w:hAnsi="Georgia"/>
        </w:rPr>
        <w:t xml:space="preserve">The petitioners' argument was that the absence of an Israeli nationality category in the registry discriminated against non-Jewish citizens by embedding ethnoreligious distinction into the state's foundational administrative record, and that the recognition of a shared Israeli nationality would advance equality among the state's citizens regardless of religion or ethnicity.</w:t>
      </w:r>
    </w:p>
    <w:p>
      <w:pPr>
        <w:spacing w:before="0" w:after="200"/>
        <w:ind w:firstLine="360"/>
      </w:pPr>
      <w:r>
        <w:rPr>
          <w:color w:val="1A1A1A"/>
          <w:sz w:val="22"/>
          <w:szCs w:val="22"/>
          <w:rFonts w:ascii="Georgia" w:cs="Georgia" w:eastAsia="Georgia" w:hAnsi="Georgia"/>
        </w:rPr>
        <w:t xml:space="preserve">The Supreme Court rejected the petition. The judgment was written by Justice Yoram Danziger, with concurring opinions by Justice Hanan Melcer and President Asher Grunis.</w:t>
      </w:r>
    </w:p>
    <w:p>
      <w:pPr>
        <w:spacing w:before="0" w:after="200"/>
        <w:ind w:firstLine="360"/>
      </w:pPr>
      <w:r>
        <w:rPr>
          <w:color w:val="1A1A1A"/>
          <w:sz w:val="22"/>
          <w:szCs w:val="22"/>
          <w:rFonts w:ascii="Georgia" w:cs="Georgia" w:eastAsia="Georgia" w:hAnsi="Georgia"/>
        </w:rPr>
        <w:t xml:space="preserve">President Grunis's concurring opinion stated: "The existence of an Israeli ethnic nationality has not been proven."</w:t>
      </w:r>
    </w:p>
    <w:p>
      <w:pPr>
        <w:spacing w:before="0" w:after="200"/>
        <w:ind w:firstLine="360"/>
      </w:pPr>
      <w:r>
        <w:rPr>
          <w:color w:val="1A1A1A"/>
          <w:sz w:val="22"/>
          <w:szCs w:val="22"/>
          <w:rFonts w:ascii="Georgia" w:cs="Georgia" w:eastAsia="Georgia" w:hAnsi="Georgia"/>
        </w:rPr>
        <w:t xml:space="preserve">Justice Melcer's concurring opinion warned that conceding such a nationality would jeopardize the Jewish and democratic nature of the state.</w:t>
      </w:r>
    </w:p>
    <w:p>
      <w:pPr>
        <w:spacing w:before="0" w:after="200"/>
        <w:ind w:firstLine="360"/>
      </w:pPr>
      <w:r>
        <w:rPr>
          <w:color w:val="1A1A1A"/>
          <w:sz w:val="22"/>
          <w:szCs w:val="22"/>
          <w:rFonts w:ascii="Georgia" w:cs="Georgia" w:eastAsia="Georgia" w:hAnsi="Georgia"/>
        </w:rPr>
        <w:t xml:space="preserve">The majority opinion drew on the 1971 precedent of Tamarin v. State of Israel, in which Justice Shimon Agranat had ruled that it was illegitimate for petitioners to ask to separate themselves from the Jewish people and to achieve for themselves the status of a distinct Israeli nation. The 2013 majority upheld the reasoning of the 1971 precedent.</w:t>
      </w:r>
    </w:p>
    <w:p>
      <w:pPr>
        <w:spacing w:before="0" w:after="200"/>
        <w:ind w:firstLine="360"/>
      </w:pPr>
      <w:r>
        <w:rPr>
          <w:color w:val="1A1A1A"/>
          <w:sz w:val="22"/>
          <w:szCs w:val="22"/>
          <w:rFonts w:ascii="Georgia" w:cs="Georgia" w:eastAsia="Georgia" w:hAnsi="Georgia"/>
        </w:rPr>
        <w:t xml:space="preserve">The Supreme Court's ruling establishes the following as a matter of Israeli law. No Israeli nationality separate from and distinct from Jewish nationality has been recognized by the state or proven to exist. The state is constituted as a Jewish state. Jewish nationality and the state's institutional identity are fused in the legal framework. A citizen of Israel who is not Jewish does not share the nationality that the state recognizes as constitutive of its identity.</w:t>
      </w:r>
    </w:p>
    <w:p>
      <w:pPr>
        <w:spacing w:before="0" w:after="200"/>
        <w:ind w:firstLine="360"/>
      </w:pPr>
      <w:r>
        <w:rPr>
          <w:color w:val="1A1A1A"/>
          <w:sz w:val="22"/>
          <w:szCs w:val="22"/>
          <w:rFonts w:ascii="Georgia" w:cs="Georgia" w:eastAsia="Georgia" w:hAnsi="Georgia"/>
        </w:rPr>
        <w:t xml:space="preserve">This ruling is not a political characterization of Israel. It is the Israeli Supreme Court's own statement of Israeli law, made in the highest judicial forum of the state, in response to a legal petition seeking recognition of a shared civic nationality. The court said no. The ruling is in the judicial record. It is publicly accessible through the Cardozo Israeli Supreme Court Project.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7.6: THE BASIC LAW: ISRAEL AS THE NATION-STATE OF THE JEWISH PEOPLE, 2018.</w:t>
      </w:r>
    </w:p>
    <w:p>
      <w:pPr>
        <w:spacing w:before="0" w:after="200"/>
        <w:ind w:firstLine="360"/>
      </w:pPr>
      <w:r>
        <w:rPr>
          <w:color w:val="1A1A1A"/>
          <w:sz w:val="22"/>
          <w:szCs w:val="22"/>
          <w:rFonts w:ascii="Georgia" w:cs="Georgia" w:eastAsia="Georgia" w:hAnsi="Georgia"/>
        </w:rPr>
        <w:t xml:space="preserve">On July 19, 2018, the Knesset adopted the Basic Law: Israel as the Nation-State of the Jewish People by a vote of 62 to 55, with two abstentions. In Israeli constitutional law, Basic Laws have a higher legal status than ordinary legislation. They are Israel's closest equivalent to constitutional provisions.</w:t>
      </w:r>
    </w:p>
    <w:p>
      <w:pPr>
        <w:spacing w:before="0" w:after="200"/>
        <w:ind w:firstLine="360"/>
      </w:pPr>
      <w:r>
        <w:rPr>
          <w:color w:val="1A1A1A"/>
          <w:sz w:val="22"/>
          <w:szCs w:val="22"/>
          <w:rFonts w:ascii="Georgia" w:cs="Georgia" w:eastAsia="Georgia" w:hAnsi="Georgia"/>
        </w:rPr>
        <w:t xml:space="preserve">The Basic Law states, in its first article: "The land of Israel is the historical homeland of the Jewish people, in which the State of Israel was established. The State of Israel is the national home of the Jewish people, in which it fulfills its natural, cultural, religious and historical right to self-determination. The right to national self-determination in the State of Israel is unique to the Jewish people."</w:t>
      </w:r>
    </w:p>
    <w:p>
      <w:pPr>
        <w:spacing w:before="0" w:after="200"/>
        <w:ind w:firstLine="360"/>
      </w:pPr>
      <w:r>
        <w:rPr>
          <w:color w:val="1A1A1A"/>
          <w:sz w:val="22"/>
          <w:szCs w:val="22"/>
          <w:rFonts w:ascii="Georgia" w:cs="Georgia" w:eastAsia="Georgia" w:hAnsi="Georgia"/>
        </w:rPr>
        <w:t xml:space="preserve">The fourth article states: "The state's language is Hebrew. The Arabic language has a special status in the state; Regulating the use of Arabic in state institutions or by them will be set in law."</w:t>
      </w:r>
    </w:p>
    <w:p>
      <w:pPr>
        <w:spacing w:before="0" w:after="200"/>
        <w:ind w:firstLine="360"/>
      </w:pPr>
      <w:r>
        <w:rPr>
          <w:color w:val="1A1A1A"/>
          <w:sz w:val="22"/>
          <w:szCs w:val="22"/>
          <w:rFonts w:ascii="Georgia" w:cs="Georgia" w:eastAsia="Georgia" w:hAnsi="Georgia"/>
        </w:rPr>
        <w:t xml:space="preserve">The sixth article states: "The state views Jewish settlement as a national value and will act to encourage and promote its establishment and development."</w:t>
      </w:r>
    </w:p>
    <w:p>
      <w:pPr>
        <w:spacing w:before="0" w:after="200"/>
        <w:ind w:firstLine="360"/>
      </w:pPr>
      <w:r>
        <w:rPr>
          <w:color w:val="1A1A1A"/>
          <w:sz w:val="22"/>
          <w:szCs w:val="22"/>
          <w:rFonts w:ascii="Georgia" w:cs="Georgia" w:eastAsia="Georgia" w:hAnsi="Georgia"/>
        </w:rPr>
        <w:t xml:space="preserve">The third article of the original bill, which stated that the state may act to maintain the Jewish character of the state and act in this context to prevent discrimination, was removed from the final text. Its removal does not affect the operative provisions of the law as adopted.</w:t>
      </w:r>
    </w:p>
    <w:p>
      <w:pPr>
        <w:spacing w:before="0" w:after="200"/>
        <w:ind w:firstLine="360"/>
      </w:pPr>
      <w:r>
        <w:rPr>
          <w:color w:val="1A1A1A"/>
          <w:sz w:val="22"/>
          <w:szCs w:val="22"/>
          <w:rFonts w:ascii="Georgia" w:cs="Georgia" w:eastAsia="Georgia" w:hAnsi="Georgia"/>
        </w:rPr>
        <w:t xml:space="preserve">The Basic Law's operative effect on the legal question examined in this chapter is precise. The right to national self-determination in the State of Israel is unique to the Jewish people. That sentence encodes into Basic Law, the highest level of Israeli legislation, the principle that the state's national self-determination right belongs to one ethnoreligious group exclusively. Citizens of Israel who are not Jewish do not share in the state's national self-determination right as a matter of Basic Law.</w:t>
      </w:r>
    </w:p>
    <w:p>
      <w:pPr>
        <w:spacing w:before="0" w:after="200"/>
        <w:ind w:firstLine="360"/>
      </w:pPr>
      <w:r>
        <w:rPr>
          <w:color w:val="1A1A1A"/>
          <w:sz w:val="22"/>
          <w:szCs w:val="22"/>
          <w:rFonts w:ascii="Georgia" w:cs="Georgia" w:eastAsia="Georgia" w:hAnsi="Georgia"/>
        </w:rPr>
        <w:t xml:space="preserve">The Basic Law does not characterize this as discrimination. It characterizes it as the fulfillment of the Jewish people's natural, cultural, religious and historical right to self-determination. The characterization is in the law.</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7.7: THE ADALAH DATABASE. FIFTY-FIVE LAWS AND WHAT THEY DOCUMENT.</w:t>
      </w:r>
    </w:p>
    <w:p>
      <w:pPr>
        <w:spacing w:before="0" w:after="200"/>
        <w:ind w:firstLine="360"/>
      </w:pPr>
      <w:r>
        <w:rPr>
          <w:color w:val="1A1A1A"/>
          <w:sz w:val="22"/>
          <w:szCs w:val="22"/>
          <w:rFonts w:ascii="Georgia" w:cs="Georgia" w:eastAsia="Georgia" w:hAnsi="Georgia"/>
        </w:rPr>
        <w:t xml:space="preserve">Adalah, the Legal Center for Arab Minority Rights in Israel, maintains a publicly accessible database of Israeli laws that Adalah characterizes as discriminatory against Palestinian citizens of Israel. The database documents more than 65 laws that Adalah identifies as explicitly or structurally discriminatory on the basis of nationality or ethnicity.</w:t>
      </w:r>
    </w:p>
    <w:p>
      <w:pPr>
        <w:spacing w:before="0" w:after="200"/>
        <w:ind w:firstLine="360"/>
      </w:pPr>
      <w:r>
        <w:rPr>
          <w:color w:val="1A1A1A"/>
          <w:sz w:val="22"/>
          <w:szCs w:val="22"/>
          <w:rFonts w:ascii="Georgia" w:cs="Georgia" w:eastAsia="Georgia" w:hAnsi="Georgia"/>
        </w:rPr>
        <w:t xml:space="preserve">ClownBinge cites the Adalah database not as an authoritative characterization of Israeli law but as a primary source compilation of statutory text. The database provides the text of each law it catalogs. The text is the primary source. Adalah's characterization of that text as discriminatory is its institutional position. The text itself is the document.</w:t>
      </w:r>
    </w:p>
    <w:p>
      <w:pPr>
        <w:spacing w:before="0" w:after="200"/>
        <w:ind w:firstLine="360"/>
      </w:pPr>
      <w:r>
        <w:rPr>
          <w:color w:val="1A1A1A"/>
          <w:sz w:val="22"/>
          <w:szCs w:val="22"/>
          <w:rFonts w:ascii="Georgia" w:cs="Georgia" w:eastAsia="Georgia" w:hAnsi="Georgia"/>
        </w:rPr>
        <w:t xml:space="preserve">The Absentee Property Law of 1950 transferred the property of Palestinian Arabs who fled or were expelled during the 1948 war to the Custodian of Absentee Property, a state official. The law defines an absentee as any person who left their place of residence for a destination outside Israel or for a destination inside Israel that was at the time held by enemy forces. The definition captures Palestinian Arabs who were displaced during the 1948 war regardless of whether they left voluntarily or were expelled. The law is in the statutory record.</w:t>
      </w:r>
    </w:p>
    <w:p>
      <w:pPr>
        <w:spacing w:before="0" w:after="200"/>
        <w:ind w:firstLine="360"/>
      </w:pPr>
      <w:r>
        <w:rPr>
          <w:color w:val="1A1A1A"/>
          <w:sz w:val="22"/>
          <w:szCs w:val="22"/>
          <w:rFonts w:ascii="Georgia" w:cs="Georgia" w:eastAsia="Georgia" w:hAnsi="Georgia"/>
        </w:rPr>
        <w:t xml:space="preserve">The Land Acquisition Law of 1953 authorized the state to acquire title to lands that were abandoned or not cultivated during the 1948 war period. The law transferred significant areas of land to state ownership based on the condition of the land during the war rather than on the legal title of the landowner. It is in the statutory record.</w:t>
      </w:r>
    </w:p>
    <w:p>
      <w:pPr>
        <w:spacing w:before="0" w:after="200"/>
        <w:ind w:firstLine="360"/>
      </w:pPr>
      <w:r>
        <w:rPr>
          <w:color w:val="1A1A1A"/>
          <w:sz w:val="22"/>
          <w:szCs w:val="22"/>
          <w:rFonts w:ascii="Georgia" w:cs="Georgia" w:eastAsia="Georgia" w:hAnsi="Georgia"/>
        </w:rPr>
        <w:t xml:space="preserve">The Admissions Committee Law of 2011 authorizes admissions committees in small communities built on state land to screen applicants for residency based on criteria including social suitability and whether the applicant fits the social and cultural fabric of the community. The law was challenged by Adalah on the grounds that it authorized discrimination against Arab citizens. The Israeli Supreme Court upheld the law. The law is in the statutory record. The Supreme Court ruling is in the judicial record.</w:t>
      </w:r>
    </w:p>
    <w:p>
      <w:pPr>
        <w:spacing w:before="0" w:after="200"/>
        <w:ind w:firstLine="360"/>
      </w:pPr>
      <w:r>
        <w:rPr>
          <w:color w:val="1A1A1A"/>
          <w:sz w:val="22"/>
          <w:szCs w:val="22"/>
          <w:rFonts w:ascii="Georgia" w:cs="Georgia" w:eastAsia="Georgia" w:hAnsi="Georgia"/>
        </w:rPr>
        <w:t xml:space="preserve">The Citizenship and Entry into Israel Law of 2003, made permanent in 2007, prohibits Palestinian residents of the West Bank and Gaza Strip from acquiring Israeli citizenship or residency through marriage to Israeli citizens. The law disproportionately affects Arab citizens of Israel, who are more likely than Jewish citizens to have spouses from the West Bank and Gaza Strip. The Israeli Supreme Court upheld the law in a split 6 to 5 decision in 2006, with the minority opinion written by Chief Justice Aharon Barak characterizing it as a severe harm to constitutional rights. Both the law and the split decision are in the primary source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7.8: THE THREE-FIFTHS PARALLEL. WHAT THE STRUCTURAL COMPARISON DOCUMENTS.</w:t>
      </w:r>
    </w:p>
    <w:p>
      <w:pPr>
        <w:spacing w:before="0" w:after="200"/>
        <w:ind w:firstLine="360"/>
      </w:pPr>
      <w:r>
        <w:rPr>
          <w:color w:val="1A1A1A"/>
          <w:sz w:val="22"/>
          <w:szCs w:val="22"/>
          <w:rFonts w:ascii="Georgia" w:cs="Georgia" w:eastAsia="Georgia" w:hAnsi="Georgia"/>
        </w:rPr>
        <w:t xml:space="preserve">The Three-Fifths Compromise appears in Article I, Section 2, Clause 3 of the United States Constitution, ratified in 1788. It states that representatives and direct taxes shall be apportioned among the several states according to their respective numbers, which shall be determined by adding to the whole number of free persons, including those bound to service for a term of years, and excluding Indians not taxed, three-fifths of all other persons.</w:t>
      </w:r>
    </w:p>
    <w:p>
      <w:pPr>
        <w:spacing w:before="0" w:after="200"/>
        <w:ind w:firstLine="360"/>
      </w:pPr>
      <w:r>
        <w:rPr>
          <w:color w:val="1A1A1A"/>
          <w:sz w:val="22"/>
          <w:szCs w:val="22"/>
          <w:rFonts w:ascii="Georgia" w:cs="Georgia" w:eastAsia="Georgia" w:hAnsi="Georgia"/>
        </w:rPr>
        <w:t xml:space="preserve">The phrase three-fifths of all other persons is the constitutional euphemism for enslaved African Americans. The Three-Fifths Compromise did not state that enslaved persons were three-fifths human. It stated that they would be counted as three-fifths of a person for the purposes of congressional representation and federal taxation. The dehumanization was not rhetorical. It was mathematical. It was encoded in the founding constitutional document of the United States. It produced downstream legal consequences for eighty-nine years, from 1788 to the ratification of the Fourteenth Amendment in 1868.</w:t>
      </w:r>
    </w:p>
    <w:p>
      <w:pPr>
        <w:spacing w:before="0" w:after="200"/>
        <w:ind w:firstLine="360"/>
      </w:pPr>
      <w:r>
        <w:rPr>
          <w:color w:val="1A1A1A"/>
          <w:sz w:val="22"/>
          <w:szCs w:val="22"/>
          <w:rFonts w:ascii="Georgia" w:cs="Georgia" w:eastAsia="Georgia" w:hAnsi="Georgia"/>
        </w:rPr>
        <w:t xml:space="preserve">The structural parallel to the Israeli legal architecture documented in this chapter is not an editorial judgment. It is a structural observation derived from the comparative reading of two sets of primary source documents.</w:t>
      </w:r>
    </w:p>
    <w:p>
      <w:pPr>
        <w:spacing w:before="0" w:after="200"/>
        <w:ind w:firstLine="360"/>
      </w:pPr>
      <w:r>
        <w:rPr>
          <w:color w:val="1A1A1A"/>
          <w:sz w:val="22"/>
          <w:szCs w:val="22"/>
          <w:rFonts w:ascii="Georgia" w:cs="Georgia" w:eastAsia="Georgia" w:hAnsi="Georgia"/>
        </w:rPr>
        <w:t xml:space="preserve">The United States Constitution of 1788 encoded a mathematical reduction of one population group's personhood for the purposes of political representation. It did not call the reduction discrimination. It called it apportionment. The reduction was challenged in the abolitionist literature of the eighteenth and nineteenth centuries. It was defended in the proslavery literature of the same period. Neither characterization changed what the constitutional text said.</w:t>
      </w:r>
    </w:p>
    <w:p>
      <w:pPr>
        <w:spacing w:before="0" w:after="200"/>
        <w:ind w:firstLine="360"/>
      </w:pPr>
      <w:r>
        <w:rPr>
          <w:color w:val="1A1A1A"/>
          <w:sz w:val="22"/>
          <w:szCs w:val="22"/>
          <w:rFonts w:ascii="Georgia" w:cs="Georgia" w:eastAsia="Georgia" w:hAnsi="Georgia"/>
        </w:rPr>
        <w:t xml:space="preserve">The Israeli legal architecture documented in this chapter encodes a differentiation in the legal rights, the citizenship pathway, the population registry designation, the national self-determination right, and the property law consequences applicable to Jewish and non-Jewish citizens of the same state. The Basic Law of 2018 does not call this discrimination. It calls it the fulfillment of the Jewish people's natural, cultural, religious and historical right to self-determination.</w:t>
      </w:r>
    </w:p>
    <w:p>
      <w:pPr>
        <w:spacing w:before="0" w:after="200"/>
        <w:ind w:firstLine="360"/>
      </w:pPr>
      <w:r>
        <w:rPr>
          <w:color w:val="1A1A1A"/>
          <w:sz w:val="22"/>
          <w:szCs w:val="22"/>
          <w:rFonts w:ascii="Georgia" w:cs="Georgia" w:eastAsia="Georgia" w:hAnsi="Georgia"/>
        </w:rPr>
        <w:t xml:space="preserve">The structural parallel is between the constitutional encoding of differentiated personhood in one founding document and the statutory encoding of differentiated national rights in another. Both produce tiered legal systems. Both encode the tiering in their highest legal documents. Both are in the primary source record.</w:t>
      </w:r>
    </w:p>
    <w:p>
      <w:pPr>
        <w:spacing w:before="0" w:after="200"/>
        <w:ind w:firstLine="360"/>
      </w:pPr>
      <w:r>
        <w:rPr>
          <w:color w:val="1A1A1A"/>
          <w:sz w:val="22"/>
          <w:szCs w:val="22"/>
          <w:rFonts w:ascii="Georgia" w:cs="Georgia" w:eastAsia="Georgia" w:hAnsi="Georgia"/>
        </w:rPr>
        <w:t xml:space="preserve">ClownBinge does not characterize either system. It places both primary source documents in the same chapter and reports what each says.</w:t>
      </w:r>
    </w:p>
    <w:p>
      <w:pPr>
        <w:spacing w:before="0" w:after="200"/>
        <w:ind w:firstLine="360"/>
      </w:pPr>
      <w:r>
        <w:rPr>
          <w:color w:val="1A1A1A"/>
          <w:sz w:val="22"/>
          <w:szCs w:val="22"/>
          <w:rFonts w:ascii="Georgia" w:cs="Georgia" w:eastAsia="Georgia" w:hAnsi="Georgia"/>
        </w:rPr>
        <w:t xml:space="preserve">The reader completes the thought.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7.9: WHAT TORAH SAYS. THE TEXTUAL COUNTERPOINT.</w:t>
      </w:r>
    </w:p>
    <w:p>
      <w:pPr>
        <w:spacing w:before="0" w:after="200"/>
        <w:ind w:firstLine="360"/>
      </w:pPr>
      <w:r>
        <w:rPr>
          <w:color w:val="1A1A1A"/>
          <w:sz w:val="22"/>
          <w:szCs w:val="22"/>
          <w:rFonts w:ascii="Georgia" w:cs="Georgia" w:eastAsia="Georgia" w:hAnsi="Georgia"/>
        </w:rPr>
        <w:t xml:space="preserve">This chapter has documented what Israeli law says about the distinction between Jewish and non-Jewish persons within the State of Israel. It closes with what the primary sources of Judaism say about the same question.</w:t>
      </w:r>
    </w:p>
    <w:p>
      <w:pPr>
        <w:spacing w:before="0" w:after="200"/>
        <w:ind w:firstLine="360"/>
      </w:pPr>
      <w:r>
        <w:rPr>
          <w:color w:val="1A1A1A"/>
          <w:sz w:val="22"/>
          <w:szCs w:val="22"/>
          <w:rFonts w:ascii="Georgia" w:cs="Georgia" w:eastAsia="Georgia" w:hAnsi="Georgia"/>
        </w:rPr>
        <w:t xml:space="preserve">Leviticus 19:33 to 34, as cited in Chapter One, states: "When a stranger resides with you in your land, you shall not wrong him. The stranger who resides with you shall be to you as one of your citizens; you shall love him as yourself, for you were strangers in the land of Egypt."</w:t>
      </w:r>
    </w:p>
    <w:p>
      <w:pPr>
        <w:spacing w:before="0" w:after="200"/>
        <w:ind w:firstLine="360"/>
      </w:pPr>
      <w:r>
        <w:rPr>
          <w:color w:val="1A1A1A"/>
          <w:sz w:val="22"/>
          <w:szCs w:val="22"/>
          <w:rFonts w:ascii="Georgia" w:cs="Georgia" w:eastAsia="Georgia" w:hAnsi="Georgia"/>
        </w:rPr>
        <w:t xml:space="preserve">The Hebrew word translated as stranger in this passage is ger. The ger in biblical and rabbinic literature is the non-Israelite resident, the person who lives among the Israelite community without sharing its ethnoreligious identity. The Torah's obligation toward the ger is the obligation of full civic and moral equality. The ger shall be to you as one of your citizens. Not three-fifths of a citizen. Not a citizen with a different population registry designation. Not a citizen without the right to national self-determination. As one of your citizens.</w:t>
      </w:r>
    </w:p>
    <w:p>
      <w:pPr>
        <w:spacing w:before="0" w:after="200"/>
        <w:ind w:firstLine="360"/>
      </w:pPr>
      <w:r>
        <w:rPr>
          <w:color w:val="1A1A1A"/>
          <w:sz w:val="22"/>
          <w:szCs w:val="22"/>
          <w:rFonts w:ascii="Georgia" w:cs="Georgia" w:eastAsia="Georgia" w:hAnsi="Georgia"/>
        </w:rPr>
        <w:t xml:space="preserve">The Talmud records that Rabbi Eliezer taught the Torah warns against wronging the ger in thirty-six separate places. The repetition is not accidental in the rabbinic interpretive tradition. The more times the Torah repeats a prohibition, the more seriously the prohibition is weighted in the halakhic framework.</w:t>
      </w:r>
    </w:p>
    <w:p>
      <w:pPr>
        <w:spacing w:before="0" w:after="200"/>
        <w:ind w:firstLine="360"/>
      </w:pPr>
      <w:r>
        <w:rPr>
          <w:color w:val="1A1A1A"/>
          <w:sz w:val="22"/>
          <w:szCs w:val="22"/>
          <w:rFonts w:ascii="Georgia" w:cs="Georgia" w:eastAsia="Georgia" w:hAnsi="Georgia"/>
        </w:rPr>
        <w:t xml:space="preserve">The Citizenship and Entry into Israel Law of 2003, which prohibits Palestinian residents from acquiring citizenship through marriage to Israeli citizens while imposing no equivalent restriction on Jewish immigrants, is a primary source document of Israeli law.</w:t>
      </w:r>
    </w:p>
    <w:p>
      <w:pPr>
        <w:spacing w:before="0" w:after="200"/>
        <w:ind w:firstLine="360"/>
      </w:pPr>
      <w:r>
        <w:rPr>
          <w:color w:val="1A1A1A"/>
          <w:sz w:val="22"/>
          <w:szCs w:val="22"/>
          <w:rFonts w:ascii="Georgia" w:cs="Georgia" w:eastAsia="Georgia" w:hAnsi="Georgia"/>
        </w:rPr>
        <w:t xml:space="preserve">Leviticus 19:34 is a primary source document of Judaism.</w:t>
      </w:r>
    </w:p>
    <w:p>
      <w:pPr>
        <w:spacing w:before="0" w:after="200"/>
        <w:ind w:firstLine="360"/>
      </w:pPr>
      <w:r>
        <w:rPr>
          <w:color w:val="1A1A1A"/>
          <w:sz w:val="22"/>
          <w:szCs w:val="22"/>
          <w:rFonts w:ascii="Georgia" w:cs="Georgia" w:eastAsia="Georgia" w:hAnsi="Georgia"/>
        </w:rPr>
        <w:t xml:space="preserve">These meetings have ignited bitter divisions across Jewish communities while solidifying Neturei Karta's standing as a radical fringe organization. The gap between them is what this volume was written to document.</w:t>
      </w:r>
    </w:p>
    <w:p>
      <w:pPr>
        <w:spacing w:before="0" w:after="200"/>
        <w:ind w:firstLine="360"/>
      </w:pPr>
      <w:r>
        <w:rPr>
          <w:color w:val="1A1A1A"/>
          <w:sz w:val="22"/>
          <w:szCs w:val="22"/>
          <w:rFonts w:ascii="Georgia" w:cs="Georgia" w:eastAsia="Georgia" w:hAnsi="Georgia"/>
        </w:rPr>
        <w:t xml:space="preserve">The documents do not require editorial assistance. They require reading.</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Adalah – The Legal Center for Arab Minority Rights in Israel. (n.d.). Discriminatory laws database. https://www.adalah.org/en/law/index</w:t>
      </w:r>
    </w:p>
    <w:p>
      <w:pPr>
        <w:spacing w:before="0" w:after="120"/>
        <w:ind w:left="720" w:hanging="720"/>
      </w:pPr>
      <w:r>
        <w:rPr>
          <w:color w:val="5A5A5A"/>
          <w:sz w:val="18"/>
          <w:szCs w:val="18"/>
          <w:rFonts w:ascii="Georgia" w:cs="Georgia" w:eastAsia="Georgia" w:hAnsi="Georgia"/>
        </w:rPr>
        <w:t xml:space="preserve">Adalah – The Legal Center for Arab Minority Rights in Israel. The Tanakh's tripartite division into Torah, Nevi'im, and Ketuvim constitutes the canonical textual foundation. Israeli Supreme Court upholds the Jewish Nation-State Basic Law. https://www.adalah.org/en/content/view/10379</w:t>
      </w:r>
    </w:p>
    <w:p>
      <w:pPr>
        <w:spacing w:before="0" w:after="120"/>
        <w:ind w:left="720" w:hanging="720"/>
      </w:pPr>
      <w:r>
        <w:rPr>
          <w:color w:val="5A5A5A"/>
          <w:sz w:val="18"/>
          <w:szCs w:val="18"/>
          <w:rFonts w:ascii="Georgia" w:cs="Georgia" w:eastAsia="Georgia" w:hAnsi="Georgia"/>
        </w:rPr>
        <w:t xml:space="preserve">Holy Bible, New Jewish Publication Society Translation. (1985). Leviticus 19:33–34. Pappe's 2006 work The Ethnic Cleansing of Palestine draws on Israeli military archives alongside other primary documentation to contend that 1948 Palestinian Arab displacement represented systematic ethnic cleansing rather than incidental wartime consequences.</w:t>
      </w:r>
    </w:p>
    <w:p>
      <w:pPr>
        <w:spacing w:before="0" w:after="120"/>
        <w:ind w:left="720" w:hanging="720"/>
      </w:pPr>
      <w:r>
        <w:rPr>
          <w:color w:val="5A5A5A"/>
          <w:sz w:val="18"/>
          <w:szCs w:val="18"/>
          <w:rFonts w:ascii="Georgia" w:cs="Georgia" w:eastAsia="Georgia" w:hAnsi="Georgia"/>
        </w:rPr>
        <w:t xml:space="preserve">Israel Ministry of Foreign Affairs. (1948, May 14). Declaration of the establishment of the State of Israel. https://www.gov.il/en/departments/general/declaration-of-establishment-state-of-israel</w:t>
      </w:r>
    </w:p>
    <w:p>
      <w:pPr>
        <w:spacing w:before="0" w:after="120"/>
        <w:ind w:left="720" w:hanging="720"/>
      </w:pPr>
      <w:r>
        <w:rPr>
          <w:color w:val="5A5A5A"/>
          <w:sz w:val="18"/>
          <w:szCs w:val="18"/>
          <w:rFonts w:ascii="Georgia" w:cs="Georgia" w:eastAsia="Georgia" w:hAnsi="Georgia"/>
        </w:rPr>
        <w:t xml:space="preserve">Knesset. (1950). Law of Return, 5710-1950. https://www.knesset.gov.il/laws/special/eng/return.htm</w:t>
      </w:r>
    </w:p>
    <w:p>
      <w:pPr>
        <w:spacing w:before="0" w:after="120"/>
        <w:ind w:left="720" w:hanging="720"/>
      </w:pPr>
      <w:r>
        <w:rPr>
          <w:color w:val="5A5A5A"/>
          <w:sz w:val="18"/>
          <w:szCs w:val="18"/>
          <w:rFonts w:ascii="Georgia" w:cs="Georgia" w:eastAsia="Georgia" w:hAnsi="Georgia"/>
        </w:rPr>
        <w:t xml:space="preserve">Knesset. (1952). Citizenship Law, 5712-1952. https://www.refworld.org/docid/3ae6b4ec20.html</w:t>
      </w:r>
    </w:p>
    <w:p>
      <w:pPr>
        <w:spacing w:before="0" w:after="120"/>
        <w:ind w:left="720" w:hanging="720"/>
      </w:pPr>
      <w:r>
        <w:rPr>
          <w:color w:val="5A5A5A"/>
          <w:sz w:val="18"/>
          <w:szCs w:val="18"/>
          <w:rFonts w:ascii="Georgia" w:cs="Georgia" w:eastAsia="Georgia" w:hAnsi="Georgia"/>
        </w:rPr>
        <w:t xml:space="preserve">Knesset. (2003). Citizenship and Entry into Israel Law (Temporary Order), 5763-2003. https://www.adalah.org/en/law/view/503</w:t>
      </w:r>
    </w:p>
    <w:p>
      <w:pPr>
        <w:spacing w:before="0" w:after="120"/>
        <w:ind w:left="720" w:hanging="720"/>
      </w:pPr>
      <w:r>
        <w:rPr>
          <w:color w:val="5A5A5A"/>
          <w:sz w:val="18"/>
          <w:szCs w:val="18"/>
          <w:rFonts w:ascii="Georgia" w:cs="Georgia" w:eastAsia="Georgia" w:hAnsi="Georgia"/>
        </w:rPr>
        <w:t xml:space="preserve">Knesset. (2018, July 19). Basic Law: Israel as the Nation-State of the Jewish People. https://www.knesset.gov.il/laws/special/eng/BasicLawNationState.pdf</w:t>
      </w:r>
    </w:p>
    <w:p>
      <w:pPr>
        <w:spacing w:before="0" w:after="120"/>
        <w:ind w:left="720" w:hanging="720"/>
      </w:pPr>
      <w:r>
        <w:rPr>
          <w:color w:val="5A5A5A"/>
          <w:sz w:val="18"/>
          <w:szCs w:val="18"/>
          <w:rFonts w:ascii="Georgia" w:cs="Georgia" w:eastAsia="Georgia" w:hAnsi="Georgia"/>
        </w:rPr>
        <w:t xml:space="preserve">Ornan v. Ministry of the Interior, HCJ 212/03 (Supreme Court of Israel 2013). https://versa.cardozo.yu.edu/opinions/ornan-v-ministry-interior</w:t>
      </w:r>
    </w:p>
    <w:p>
      <w:pPr>
        <w:spacing w:before="0" w:after="120"/>
        <w:ind w:left="720" w:hanging="720"/>
      </w:pPr>
      <w:r>
        <w:rPr>
          <w:color w:val="5A5A5A"/>
          <w:sz w:val="18"/>
          <w:szCs w:val="18"/>
          <w:rFonts w:ascii="Georgia" w:cs="Georgia" w:eastAsia="Georgia" w:hAnsi="Georgia"/>
        </w:rPr>
        <w:t xml:space="preserve">Tamarin v. State of Israel, HCJ 630/70 (Supreme Court of Israel 1971).</w:t>
      </w:r>
    </w:p>
    <w:p>
      <w:pPr>
        <w:spacing w:before="0" w:after="120"/>
        <w:ind w:left="720" w:hanging="720"/>
      </w:pPr>
      <w:r>
        <w:rPr>
          <w:color w:val="5A5A5A"/>
          <w:sz w:val="18"/>
          <w:szCs w:val="18"/>
          <w:rFonts w:ascii="Georgia" w:cs="Georgia" w:eastAsia="Georgia" w:hAnsi="Georgia"/>
        </w:rPr>
        <w:t xml:space="preserve">Times of Israel. (2013, October 3). Supreme Court rejects Israeli nationality status. https://www.timesofisrael.com/supreme-court-rejects-israeli-nationality-status/</w:t>
      </w:r>
    </w:p>
    <w:p>
      <w:pPr>
        <w:spacing w:before="0" w:after="120"/>
        <w:ind w:left="720" w:hanging="720"/>
      </w:pPr>
      <w:r>
        <w:rPr>
          <w:color w:val="5A5A5A"/>
          <w:sz w:val="18"/>
          <w:szCs w:val="18"/>
          <w:rFonts w:ascii="Georgia" w:cs="Georgia" w:eastAsia="Georgia" w:hAnsi="Georgia"/>
        </w:rPr>
        <w:t xml:space="preserve">United States Constitution. (1788). Article I, Section 2, Clause 3 [Three-Fifths Compromise]. https://constitution.congress.gov/constitution/article-1/</w:t>
      </w:r>
    </w:p>
    <w:p>
      <w:pPr>
        <w:spacing w:before="0" w:after="120"/>
        <w:ind w:left="720" w:hanging="720"/>
      </w:pPr>
      <w:r>
        <w:rPr>
          <w:color w:val="5A5A5A"/>
          <w:sz w:val="18"/>
          <w:szCs w:val="18"/>
          <w:rFonts w:ascii="Georgia" w:cs="Georgia" w:eastAsia="Georgia" w:hAnsi="Georgia"/>
        </w:rPr>
        <w:t xml:space="preserve">Wikipedia. (2024). Israeli citizenship law. https://en.wikipedia.org/wiki/Israeli_citizenship_law</w:t>
      </w:r>
    </w:p>
    <w:p>
      <w:pPr>
        <w:spacing w:before="0" w:after="120"/>
        <w:ind w:left="720" w:hanging="720"/>
      </w:pPr>
      <w:r>
        <w:rPr>
          <w:color w:val="5A5A5A"/>
          <w:sz w:val="18"/>
          <w:szCs w:val="18"/>
          <w:rFonts w:ascii="Georgia" w:cs="Georgia" w:eastAsia="Georgia" w:hAnsi="Georgia"/>
        </w:rPr>
        <w:t xml:space="preserve">Wikipedia. (2024). Basic Law: Israel as the Nation-State of the Jewish People. https://en.wikipedia.org/wiki/Basic_Law:_Israel_as_the_Nation-State_of_the_Jewish_People</w:t>
      </w:r>
    </w:p>
    <w:p>
      <w:r>
        <w:br w:type="page"/>
      </w:r>
    </w:p>
    <w:p>
      <w:pPr>
        <w:spacing w:before="0" w:after="80"/>
      </w:pPr>
      <w:r>
        <w:rPr>
          <w:b/>
          <w:bCs/>
          <w:color w:val="C9A227"/>
          <w:sz w:val="20"/>
          <w:szCs w:val="20"/>
          <w:caps/>
          <w:rFonts w:ascii="Georgia" w:cs="Georgia" w:eastAsia="Georgia" w:hAnsi="Georgia"/>
          <w:spacing w:val="160"/>
        </w:rPr>
        <w:t xml:space="preserve">CHAPTER 8</w:t>
      </w:r>
    </w:p>
    <w:p>
      <w:pPr>
        <w:pStyle w:val="Heading1"/>
        <w:spacing w:before="0" w:after="200"/>
      </w:pPr>
      <w:r>
        <w:rPr>
          <w:b/>
          <w:bCs/>
          <w:color w:val="1A1A1A"/>
          <w:sz w:val="36"/>
          <w:szCs w:val="36"/>
          <w:rFonts w:ascii="Georgia" w:cs="Georgia" w:eastAsia="Georgia" w:hAnsi="Georgia"/>
        </w:rPr>
        <w:t xml:space="preserve">The Conflation Strategy, Documented</w:t>
      </w:r>
    </w:p>
    <w:p>
      <w:pPr>
        <w:spacing w:before="0" w:after="200"/>
        <w:ind w:firstLine="360"/>
      </w:pPr>
      <w:r>
        <w:rPr>
          <w:color w:val="1A1A1A"/>
          <w:sz w:val="22"/>
          <w:szCs w:val="22"/>
          <w:rFonts w:ascii="Georgia" w:cs="Georgia" w:eastAsia="Georgia" w:hAnsi="Georgia"/>
        </w:rPr>
        <w:t xml:space="preserve">A strategy is not a conspiracy. A strategy is a documented plan of action pursued by identified institutions using identifiable methods toward stated objectives. The strategy examined in this chapter is documented in lobbying registration records, congressional testimony transcripts, legislative history, institutional publications, and the public statements of the organizations that developed and deployed it.</w:t>
      </w:r>
    </w:p>
    <w:p>
      <w:pPr>
        <w:spacing w:before="0" w:after="200"/>
        <w:ind w:firstLine="360"/>
      </w:pPr>
      <w:r>
        <w:rPr>
          <w:color w:val="1A1A1A"/>
          <w:sz w:val="22"/>
          <w:szCs w:val="22"/>
          <w:rFonts w:ascii="Georgia" w:cs="Georgia" w:eastAsia="Georgia" w:hAnsi="Georgia"/>
        </w:rPr>
        <w:t xml:space="preserve">The strategy is this. Beginning in the late twentieth century and accelerating significantly after 2000, a set of identified organizations pursued a documented campaign to establish, through legislation, executive policy, and institutional adoption, a definition of antisemitism that includes criticism of the State of Israel and opposition to Zionism as a political movement within its parameters. The campaign produced documented legislative outcomes in the United States, the United Kingdom, and the European Union. It has produced institutional adoption of the relevant definitions at hundreds of universities. It has produced documented impacts on campus political speech. All of these outcomes are in the public record.</w:t>
      </w:r>
    </w:p>
    <w:p>
      <w:pPr>
        <w:spacing w:before="0" w:after="200"/>
        <w:ind w:firstLine="360"/>
      </w:pPr>
      <w:r>
        <w:rPr>
          <w:color w:val="1A1A1A"/>
          <w:sz w:val="22"/>
          <w:szCs w:val="22"/>
          <w:rFonts w:ascii="Georgia" w:cs="Georgia" w:eastAsia="Georgia" w:hAnsi="Georgia"/>
        </w:rPr>
        <w:t xml:space="preserve">This chapter does not characterize whether the strategy is legitimate or illegitimate. It does not characterize whether the definition of antisemitism it produced is accurate or inaccurate. It documents the strategy as a documented institutional and political campaign using the primary sources that record it. The lobbying records say what they say. The legislative history says what it says. The institutional publications say what they say. ClownBinge reports what they say.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8.1: THE HISTORICAL BASELINE. ANTISEMITISM AS A DOCUMENTED PHENOMENON.</w:t>
      </w:r>
    </w:p>
    <w:p>
      <w:pPr>
        <w:spacing w:before="0" w:after="200"/>
        <w:ind w:firstLine="360"/>
      </w:pPr>
      <w:r>
        <w:rPr>
          <w:color w:val="1A1A1A"/>
          <w:sz w:val="22"/>
          <w:szCs w:val="22"/>
          <w:rFonts w:ascii="Georgia" w:cs="Georgia" w:eastAsia="Georgia" w:hAnsi="Georgia"/>
        </w:rPr>
        <w:t xml:space="preserve">Antisemitism is a documented historical phenomenon with a documented record spanning more than two millennia. It is not the subject of this chapter's examination. Its existence as a real and serious form of hatred directed at Jewish people as Jewish people is not in dispute in this volume. The Torah itself documents the persecution of the Jewish people. The historical record documents it continuously from the pogroms of medieval Europe through the Holocaust. The Equal Justice Initiative, the Yad Vashem memorial authority, and the United States Holocaust Memorial Museum maintain primary source documentation of antisemitic violence and persecution that is extensive, unambiguous, and not in question here.</w:t>
      </w:r>
    </w:p>
    <w:p>
      <w:pPr>
        <w:spacing w:before="0" w:after="200"/>
        <w:ind w:firstLine="360"/>
      </w:pPr>
      <w:r>
        <w:rPr>
          <w:color w:val="1A1A1A"/>
          <w:sz w:val="22"/>
          <w:szCs w:val="22"/>
          <w:rFonts w:ascii="Georgia" w:cs="Georgia" w:eastAsia="Georgia" w:hAnsi="Georgia"/>
        </w:rPr>
        <w:t xml:space="preserve">The forensic distinction this chapter examines is between antisemitism as hatred directed at Jewish people because they are Jewish and a documented political strategy that deploys the category of antisemitism to include within its parameters criticism of a political movement and the policies of a state.</w:t>
      </w:r>
    </w:p>
    <w:p>
      <w:pPr>
        <w:spacing w:before="0" w:after="200"/>
        <w:ind w:firstLine="360"/>
      </w:pPr>
      <w:r>
        <w:rPr>
          <w:color w:val="1A1A1A"/>
          <w:sz w:val="22"/>
          <w:szCs w:val="22"/>
          <w:rFonts w:ascii="Georgia" w:cs="Georgia" w:eastAsia="Georgia" w:hAnsi="Georgia"/>
        </w:rPr>
        <w:t xml:space="preserve">Those are two different things. The primary source record documents both. This chapter concerns itself with the second.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8.2: THE IHRA WORKING DEFINITION. WHAT IT SAYS AND HOW IT WAS PRODUCED.</w:t>
      </w:r>
    </w:p>
    <w:p>
      <w:pPr>
        <w:spacing w:before="0" w:after="200"/>
        <w:ind w:firstLine="360"/>
      </w:pPr>
      <w:r>
        <w:rPr>
          <w:color w:val="1A1A1A"/>
          <w:sz w:val="22"/>
          <w:szCs w:val="22"/>
          <w:rFonts w:ascii="Georgia" w:cs="Georgia" w:eastAsia="Georgia" w:hAnsi="Georgia"/>
        </w:rPr>
        <w:t xml:space="preserve">The International Holocaust Remembrance Alliance, known as IHRA, is an intergovernmental organization established in 1998 following the Stockholm International Forum on the Holocaust. Its membership includes 35 countries. Its mandate is to promote Holocaust education, research, and remembrance.</w:t>
      </w:r>
    </w:p>
    <w:p>
      <w:pPr>
        <w:spacing w:before="0" w:after="200"/>
        <w:ind w:firstLine="360"/>
      </w:pPr>
      <w:r>
        <w:rPr>
          <w:color w:val="1A1A1A"/>
          <w:sz w:val="22"/>
          <w:szCs w:val="22"/>
          <w:rFonts w:ascii="Georgia" w:cs="Georgia" w:eastAsia="Georgia" w:hAnsi="Georgia"/>
        </w:rPr>
        <w:t xml:space="preserve">In May 2016, the IHRA plenary adopted what it described as a working definition of antisemitism. The definition states: "Antisemitism is a certain perception of Jews, which may be expressed as hatred toward Jews. Rhetorical and physical manifestations of antisemitism are directed toward Jewish or non-Jewish individuals and/or their property, toward Jewish community institutions and religious facilities."</w:t>
      </w:r>
    </w:p>
    <w:p>
      <w:pPr>
        <w:spacing w:before="0" w:after="200"/>
        <w:ind w:firstLine="360"/>
      </w:pPr>
      <w:r>
        <w:rPr>
          <w:color w:val="1A1A1A"/>
          <w:sz w:val="22"/>
          <w:szCs w:val="22"/>
          <w:rFonts w:ascii="Georgia" w:cs="Georgia" w:eastAsia="Georgia" w:hAnsi="Georgia"/>
        </w:rPr>
        <w:t xml:space="preserve">The working definition is accompanied by eleven examples of antisemitism. Seven of the eleven examples concern the State of Israel specifically. The Israel-related examples include the following.</w:t>
      </w:r>
    </w:p>
    <w:p>
      <w:pPr>
        <w:pBdr>
          <w:left w:val="thick" w:color="C9A227" w:sz="12" w:space="12"/>
        </w:pBdr>
        <w:spacing w:before="160" w:after="160"/>
        <w:ind w:left="576" w:right="576"/>
      </w:pPr>
      <w:r>
        <w:rPr>
          <w:i/>
          <w:iCs/>
          <w:color w:val="1A1A1A"/>
          <w:sz w:val="20"/>
          <w:szCs w:val="20"/>
          <w:rFonts w:ascii="Georgia" w:cs="Georgia" w:eastAsia="Georgia" w:hAnsi="Georgia"/>
        </w:rPr>
        <w:t xml:space="preserve">"Accusing Jewish citizens of being more loyal to Israel or to the alleged priorities of Jews worldwide than to the interests of their own nations." This example addresses dual loyalty accusations, which have a documented history as an antisemitic trope.</w:t>
      </w:r>
    </w:p>
    <w:p>
      <w:pPr>
        <w:pBdr>
          <w:left w:val="thick" w:color="C9A227" w:sz="12" w:space="12"/>
        </w:pBdr>
        <w:spacing w:before="160" w:after="160"/>
        <w:ind w:left="576" w:right="576"/>
      </w:pPr>
      <w:r>
        <w:rPr>
          <w:i/>
          <w:iCs/>
          <w:color w:val="1A1A1A"/>
          <w:sz w:val="20"/>
          <w:szCs w:val="20"/>
          <w:rFonts w:ascii="Georgia" w:cs="Georgia" w:eastAsia="Georgia" w:hAnsi="Georgia"/>
        </w:rPr>
        <w:t xml:space="preserve">"Denying the Jewish people their right to self-determination, e.g., by claiming that the existence of a State of Israel is a racist endeavor." This example includes within the definition of antisemitism the political position that the establishment of the State of Israel constituted a racist endeavor. United Nations General Assembly Resolution 3379, examined in the previous chapter, made exactly that determination about Zionism. Under the IHRA definition, the 72 states that voted for Resolution 3379 in 1975 engaged in antisemitism by the terms of the definition.</w:t>
      </w:r>
    </w:p>
    <w:p>
      <w:pPr>
        <w:pBdr>
          <w:left w:val="thick" w:color="C9A227" w:sz="12" w:space="12"/>
        </w:pBdr>
        <w:spacing w:before="160" w:after="160"/>
        <w:ind w:left="576" w:right="576"/>
      </w:pPr>
      <w:r>
        <w:rPr>
          <w:i/>
          <w:iCs/>
          <w:color w:val="1A1A1A"/>
          <w:sz w:val="20"/>
          <w:szCs w:val="20"/>
          <w:rFonts w:ascii="Georgia" w:cs="Georgia" w:eastAsia="Georgia" w:hAnsi="Georgia"/>
        </w:rPr>
        <w:t xml:space="preserve">"Applying double standards by requiring of it a behavior not expected or demanded of any other democratic country." This example includes within the definition of antisemitism the application of standards to Israel that are not applied to other states. The forensic difficulty with this example is that the determination of whether a standard constitutes a double standard requires a comparative judgment that the definition does not provide criteria for making.</w:t>
      </w:r>
    </w:p>
    <w:p>
      <w:pPr>
        <w:pBdr>
          <w:left w:val="thick" w:color="C9A227" w:sz="12" w:space="12"/>
        </w:pBdr>
        <w:spacing w:before="160" w:after="160"/>
        <w:ind w:left="576" w:right="576"/>
      </w:pPr>
      <w:r>
        <w:rPr>
          <w:i/>
          <w:iCs/>
          <w:color w:val="1A1A1A"/>
          <w:sz w:val="20"/>
          <w:szCs w:val="20"/>
          <w:rFonts w:ascii="Georgia" w:cs="Georgia" w:eastAsia="Georgia" w:hAnsi="Georgia"/>
        </w:rPr>
        <w:t xml:space="preserve">"Using the symbols and images associated with classic antisemitism to characterize Israel or Israelis." This example is less contested and addresses documented uses of antisemitic tropes in political rhetoric about Israel.</w:t>
      </w:r>
    </w:p>
    <w:p>
      <w:pPr>
        <w:pBdr>
          <w:left w:val="thick" w:color="C9A227" w:sz="12" w:space="12"/>
        </w:pBdr>
        <w:spacing w:before="160" w:after="160"/>
        <w:ind w:left="576" w:right="576"/>
      </w:pPr>
      <w:r>
        <w:rPr>
          <w:i/>
          <w:iCs/>
          <w:color w:val="1A1A1A"/>
          <w:sz w:val="20"/>
          <w:szCs w:val="20"/>
          <w:rFonts w:ascii="Georgia" w:cs="Georgia" w:eastAsia="Georgia" w:hAnsi="Georgia"/>
        </w:rPr>
        <w:t xml:space="preserve">"Drawing comparisons of contemporary Israeli policy to that of the Nazis." This example includes within the definition of antisemitism a specific form of comparative political rhetoric.</w:t>
      </w:r>
    </w:p>
    <w:p>
      <w:pPr>
        <w:pBdr>
          <w:left w:val="thick" w:color="C9A227" w:sz="12" w:space="12"/>
        </w:pBdr>
        <w:spacing w:before="160" w:after="160"/>
        <w:ind w:left="576" w:right="576"/>
      </w:pPr>
      <w:r>
        <w:rPr>
          <w:i/>
          <w:iCs/>
          <w:color w:val="1A1A1A"/>
          <w:sz w:val="20"/>
          <w:szCs w:val="20"/>
          <w:rFonts w:ascii="Georgia" w:cs="Georgia" w:eastAsia="Georgia" w:hAnsi="Georgia"/>
        </w:rPr>
        <w:t xml:space="preserve">"Holding Jews collectively responsible for actions of the State of Israel." This example addresses collective punishment rhetoric and is less contested within the academic and legal debate about the definition.</w:t>
      </w:r>
    </w:p>
    <w:p>
      <w:pPr>
        <w:spacing w:before="0" w:after="200"/>
        <w:ind w:firstLine="360"/>
      </w:pPr>
      <w:r>
        <w:rPr>
          <w:color w:val="1A1A1A"/>
          <w:sz w:val="22"/>
          <w:szCs w:val="22"/>
          <w:rFonts w:ascii="Georgia" w:cs="Georgia" w:eastAsia="Georgia" w:hAnsi="Georgia"/>
        </w:rPr>
        <w:t xml:space="preserve">The IHRA definition also states explicitly: "Criticism of Israel similar to that leveled against any other country cannot be regarded as antisemitism." This statement is frequently cited by critics of the definition's application as establishing that political criticism of Israel is not covered by the definition. It is also frequently cited by critics of the definition itself as insufficient to protect legitimate political speech given the breadth of the accompanying examples.</w:t>
      </w:r>
    </w:p>
    <w:p>
      <w:pPr>
        <w:spacing w:before="0" w:after="200"/>
        <w:ind w:firstLine="360"/>
      </w:pPr>
      <w:r>
        <w:rPr>
          <w:color w:val="1A1A1A"/>
          <w:sz w:val="22"/>
          <w:szCs w:val="22"/>
          <w:rFonts w:ascii="Georgia" w:cs="Georgia" w:eastAsia="Georgia" w:hAnsi="Georgia"/>
        </w:rPr>
        <w:t xml:space="preserve">The IHRA working definition was adopted as a working definition by its own terms. It was not adopted as a legally binding instrument. It was a document produced by an intergovernmental body with a Holocaust education mandate that entered political discourse and was subsequently adopted, formally or informally, by governments, universities, and institutions as a framework for identifying antisemitism.</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8.3: THE ACADEMIC AND LEGAL DEBATE. THE DOCUMENTED SCHOLARLY RECORD.</w:t>
      </w:r>
    </w:p>
    <w:p>
      <w:pPr>
        <w:spacing w:before="0" w:after="200"/>
        <w:ind w:firstLine="360"/>
      </w:pPr>
      <w:r>
        <w:rPr>
          <w:color w:val="1A1A1A"/>
          <w:sz w:val="22"/>
          <w:szCs w:val="22"/>
          <w:rFonts w:ascii="Georgia" w:cs="Georgia" w:eastAsia="Georgia" w:hAnsi="Georgia"/>
        </w:rPr>
        <w:t xml:space="preserve">The IHRA working definition has been the subject of extensive documented academic and legal debate since its adoption in 2016. That debate is itself a primary source record of the contested nature of the definition's application.</w:t>
      </w:r>
    </w:p>
    <w:p>
      <w:pPr>
        <w:spacing w:before="0" w:after="200"/>
        <w:ind w:firstLine="360"/>
      </w:pPr>
      <w:r>
        <w:rPr>
          <w:color w:val="1A1A1A"/>
          <w:sz w:val="22"/>
          <w:szCs w:val="22"/>
          <w:rFonts w:ascii="Georgia" w:cs="Georgia" w:eastAsia="Georgia" w:hAnsi="Georgia"/>
        </w:rPr>
        <w:t xml:space="preserve">The Jerusalem Declaration on Antisemitism was published in March 2021. It was signed by more than 200 scholars of antisemitism, Jewish history, and related fields from universities in Israel, the United States, the United Kingdom, Europe, and other countries. The declaration explicitly stated that it was produced in response to the IHRA definition and offered an alternative framework.</w:t>
      </w:r>
    </w:p>
    <w:p>
      <w:pPr>
        <w:spacing w:before="0" w:after="200"/>
        <w:ind w:firstLine="360"/>
      </w:pPr>
      <w:r>
        <w:rPr>
          <w:color w:val="1A1A1A"/>
          <w:sz w:val="22"/>
          <w:szCs w:val="22"/>
          <w:rFonts w:ascii="Georgia" w:cs="Georgia" w:eastAsia="Georgia" w:hAnsi="Georgia"/>
        </w:rPr>
        <w:t xml:space="preserve">The Jerusalem Declaration states, in relevant part: "It is not antisemitic to support the Palestinian demand for justice and the full grant of their political, national, civic and human rights, as encapsulated in international law." It also states: "It is not antisemitic to criticize or oppose Zionism as a form of nationalism." And: "It is not antisemitic to support arrangements that accord full equality to all inhabitants 'between the river and the sea,' whether in the form of two states, a binational state, unitary democratic state, or any other configuration."</w:t>
      </w:r>
    </w:p>
    <w:p>
      <w:pPr>
        <w:spacing w:before="0" w:after="200"/>
        <w:ind w:firstLine="360"/>
      </w:pPr>
      <w:r>
        <w:rPr>
          <w:color w:val="1A1A1A"/>
          <w:sz w:val="22"/>
          <w:szCs w:val="22"/>
          <w:rFonts w:ascii="Georgia" w:cs="Georgia" w:eastAsia="Georgia" w:hAnsi="Georgia"/>
        </w:rPr>
        <w:t xml:space="preserve">The Jerusalem Declaration is a primary source document of scholarly opposition to the IHRA definition's application. Its signatories include distinguished scholars of Jewish history, Holocaust studies, and antisemitism research. Their opposition to the IHRA definition's application is documented in the declaration and in the academic literature that accompanied its publication.</w:t>
      </w:r>
    </w:p>
    <w:p>
      <w:pPr>
        <w:spacing w:before="0" w:after="200"/>
        <w:ind w:firstLine="360"/>
      </w:pPr>
      <w:r>
        <w:rPr>
          <w:color w:val="1A1A1A"/>
          <w:sz w:val="22"/>
          <w:szCs w:val="22"/>
          <w:rFonts w:ascii="Georgia" w:cs="Georgia" w:eastAsia="Georgia" w:hAnsi="Georgia"/>
        </w:rPr>
        <w:t xml:space="preserve">The Nexus Document, published in 2020 by a group of scholars and practitioners convened by the Jewish Council for Public Affairs, offered a third framework. The Nexus Document states: "Criticizing or opposing Zionism as a form of nationalism, or arguing for a variety of constitutional arrangements for Israelis and Palestinians, is not per se antisemitic." It also states that antisemitism should not be conflated with political criticism of Israeli government policy.</w:t>
      </w:r>
    </w:p>
    <w:p>
      <w:pPr>
        <w:spacing w:before="0" w:after="200"/>
        <w:ind w:firstLine="360"/>
      </w:pPr>
      <w:r>
        <w:rPr>
          <w:color w:val="1A1A1A"/>
          <w:sz w:val="22"/>
          <w:szCs w:val="22"/>
          <w:rFonts w:ascii="Georgia" w:cs="Georgia" w:eastAsia="Georgia" w:hAnsi="Georgia"/>
        </w:rPr>
        <w:t xml:space="preserve">The existence of three competing frameworks for defining antisemitism — the IHRA definition, the Jerusalem Declaration, and the Nexus Document — each produced by different institutional actors with different assessments of where the boundary between antisemitism and political speech lies, is itself a primary source document of the contested nature of the definition. The contest is documented in the scholarly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8.4: THE LEGISLATIVE CAMPAIGN IN THE UNITED STATES. THE DOCUMENTED RECORD.</w:t>
      </w:r>
    </w:p>
    <w:p>
      <w:pPr>
        <w:spacing w:before="0" w:after="200"/>
        <w:ind w:firstLine="360"/>
      </w:pPr>
      <w:r>
        <w:rPr>
          <w:color w:val="1A1A1A"/>
          <w:sz w:val="22"/>
          <w:szCs w:val="22"/>
          <w:rFonts w:ascii="Georgia" w:cs="Georgia" w:eastAsia="Georgia" w:hAnsi="Georgia"/>
        </w:rPr>
        <w:t xml:space="preserve">The campaign to codify the IHRA definition or equivalent frameworks in American law and policy is documented in congressional records, executive orders, lobbying registration filings, and institutional advocacy publications.</w:t>
      </w:r>
    </w:p>
    <w:p>
      <w:pPr>
        <w:spacing w:before="0" w:after="200"/>
        <w:ind w:firstLine="360"/>
      </w:pPr>
      <w:r>
        <w:rPr>
          <w:color w:val="1A1A1A"/>
          <w:sz w:val="22"/>
          <w:szCs w:val="22"/>
          <w:rFonts w:ascii="Georgia" w:cs="Georgia" w:eastAsia="Georgia" w:hAnsi="Georgia"/>
        </w:rPr>
        <w:t xml:space="preserve">Executive Order 13899, signed by President Donald Trump on December 11, 2019, directed federal agencies to consider the IHRA working definition of antisemitism when enforcing Title VI of the Civil Rights Act of 1964 in the context of education programs receiving federal funding. Title VI prohibits discrimination based on race, color, and national origin in programs and activities receiving federal financial assistance. The executive order's application of the IHRA definition to Title VI enforcement extended the definition's reach to federal anti-discrimination law in educational settings receiving federal funding. The executive order is a primary source document. It is in the Federal Register at 84 Fed. Reg. 68779, December 16, 2019.</w:t>
      </w:r>
    </w:p>
    <w:p>
      <w:pPr>
        <w:spacing w:before="0" w:after="200"/>
        <w:ind w:firstLine="360"/>
      </w:pPr>
      <w:r>
        <w:rPr>
          <w:color w:val="1A1A1A"/>
          <w:sz w:val="22"/>
          <w:szCs w:val="22"/>
          <w:rFonts w:ascii="Georgia" w:cs="Georgia" w:eastAsia="Georgia" w:hAnsi="Georgia"/>
        </w:rPr>
        <w:t xml:space="preserve">The Antisemitism Awareness Act has been introduced in multiple sessions of Congress. The bill, in various versions, would require the Department of Education to use the IHRA working definition of antisemitism when enforcing federal anti-discrimination laws on college campuses. The bill passed the House of Representatives on May 2, 2024, by a vote of 320 to 91. It had not passed the Senate as of the publication of this volume.</w:t>
      </w:r>
    </w:p>
    <w:p>
      <w:pPr>
        <w:spacing w:before="0" w:after="200"/>
        <w:ind w:firstLine="360"/>
      </w:pPr>
      <w:r>
        <w:rPr>
          <w:color w:val="1A1A1A"/>
          <w:sz w:val="22"/>
          <w:szCs w:val="22"/>
          <w:rFonts w:ascii="Georgia" w:cs="Georgia" w:eastAsia="Georgia" w:hAnsi="Georgia"/>
        </w:rPr>
        <w:t xml:space="preserve">The congressional record of the Antisemitism Awareness Act's debate documents the arguments made on both sides of the legislative question. Supporters argued that the bill was necessary to address documented antisemitism on college campuses. Opponents argued that the bill's incorporation of the IHRA definition would unconstitutionally restrict protected political speech about Israel and Palestine under the First Amendment.</w:t>
      </w:r>
    </w:p>
    <w:p>
      <w:pPr>
        <w:spacing w:before="0" w:after="200"/>
        <w:ind w:firstLine="360"/>
      </w:pPr>
      <w:r>
        <w:rPr>
          <w:color w:val="1A1A1A"/>
          <w:sz w:val="22"/>
          <w:szCs w:val="22"/>
          <w:rFonts w:ascii="Georgia" w:cs="Georgia" w:eastAsia="Georgia" w:hAnsi="Georgia"/>
        </w:rPr>
        <w:t xml:space="preserve">Representative Jerry Nadler, a Democrat from New York and a Jewish member of Congress, voted against the bill on the grounds that it could be used to suppress legitimate political speech. His statement in explanation of his vote is in the congressional record. It is a primary source document of documented Jewish political opposition to the legislative codification of the IHRA definition.</w:t>
      </w:r>
    </w:p>
    <w:p>
      <w:pPr>
        <w:spacing w:before="0" w:after="200"/>
        <w:ind w:firstLine="360"/>
      </w:pPr>
      <w:r>
        <w:rPr>
          <w:color w:val="1A1A1A"/>
          <w:sz w:val="22"/>
          <w:szCs w:val="22"/>
          <w:rFonts w:ascii="Georgia" w:cs="Georgia" w:eastAsia="Georgia" w:hAnsi="Georgia"/>
        </w:rPr>
        <w:t xml:space="preserve">The American Civil Liberties Union issued a statement opposing the Antisemitism Awareness Act on First Amendment grounds. The statement is a primary source document of civil liberties opposition to the legislation.</w:t>
      </w:r>
    </w:p>
    <w:p>
      <w:pPr>
        <w:spacing w:before="0" w:after="200"/>
        <w:ind w:firstLine="360"/>
      </w:pPr>
      <w:r>
        <w:rPr>
          <w:color w:val="1A1A1A"/>
          <w:sz w:val="22"/>
          <w:szCs w:val="22"/>
          <w:rFonts w:ascii="Georgia" w:cs="Georgia" w:eastAsia="Georgia" w:hAnsi="Georgia"/>
        </w:rPr>
        <w:t xml:space="preserve">The lobbying record associated with the Antisemitism Awareness Act and related legislation is documented in the Senate Office of Public Records' Lobbying Disclosure Act database. The American Israel Public Affairs Committee, known as AIPAC, the American Jewish Committee, and associated organizations are documented in that database as having lobbied on legislation related to Israel and antisemitism definitions. The lobbying disclosures are public records accessible at lda.senate.gov.</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8.5: THE AIPAC RECORD. LOBBYING DISCLOSURE DOCUMENTATION.</w:t>
      </w:r>
    </w:p>
    <w:p>
      <w:pPr>
        <w:spacing w:before="0" w:after="200"/>
        <w:ind w:firstLine="360"/>
      </w:pPr>
      <w:r>
        <w:rPr>
          <w:color w:val="1A1A1A"/>
          <w:sz w:val="22"/>
          <w:szCs w:val="22"/>
          <w:rFonts w:ascii="Georgia" w:cs="Georgia" w:eastAsia="Georgia" w:hAnsi="Georgia"/>
        </w:rPr>
        <w:t xml:space="preserve">The American Israel Public Affairs Committee describes itself on its website as America's pro-Israel lobby. It is one of the most extensively documented lobbying organizations in the United States. Its lobbying expenditures are reported to the Senate Office of Public Records under the Lobbying Disclosure Act of 1995 and are publicly accessible.</w:t>
      </w:r>
    </w:p>
    <w:p>
      <w:pPr>
        <w:spacing w:before="0" w:after="200"/>
        <w:ind w:firstLine="360"/>
      </w:pPr>
      <w:r>
        <w:rPr>
          <w:color w:val="1A1A1A"/>
          <w:sz w:val="22"/>
          <w:szCs w:val="22"/>
          <w:rFonts w:ascii="Georgia" w:cs="Georgia" w:eastAsia="Georgia" w:hAnsi="Georgia"/>
        </w:rPr>
        <w:t xml:space="preserve">AIPAC's political action committee, the United Democracy Project, was established in 2021 and has become one of the largest independent expenditure organizations in American politics. Federal Election Commission records document its expenditures in federal elections.</w:t>
      </w:r>
    </w:p>
    <w:p>
      <w:pPr>
        <w:spacing w:before="0" w:after="200"/>
        <w:ind w:firstLine="360"/>
      </w:pPr>
      <w:r>
        <w:rPr>
          <w:color w:val="1A1A1A"/>
          <w:sz w:val="22"/>
          <w:szCs w:val="22"/>
          <w:rFonts w:ascii="Georgia" w:cs="Georgia" w:eastAsia="Georgia" w:hAnsi="Georgia"/>
        </w:rPr>
        <w:t xml:space="preserve">AIPAC's documented lobbying activities include advocacy on legislation related to American military assistance to Israel, sanctions on countries hostile to Israel, and legislation addressing antisemitism. The specific lobbying disclosures filed by AIPAC are primary source documents. They disclose the legislation lobbied on, the specific issues addressed, and the amounts expended. They are publicly accessible at lda.senate.gov.</w:t>
      </w:r>
    </w:p>
    <w:p>
      <w:pPr>
        <w:spacing w:before="0" w:after="200"/>
        <w:ind w:firstLine="360"/>
      </w:pPr>
      <w:r>
        <w:rPr>
          <w:color w:val="1A1A1A"/>
          <w:sz w:val="22"/>
          <w:szCs w:val="22"/>
          <w:rFonts w:ascii="Georgia" w:cs="Georgia" w:eastAsia="Georgia" w:hAnsi="Georgia"/>
        </w:rPr>
        <w:t xml:space="preserve">ClownBinge makes the following forensic observation about the AIPAC record. The organization's documented lobbying activities constitute constitutionally protected political speech and lobbying. The First Amendment protects the right of organizations to lobby Congress on behalf of their members and constituents. AIPAC's lobbying is legal. Its lobbying disclosure filings are primary source documents of its legislative priorities and activities. Reporting those filings is not antisemitism. It is reporting the public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8.6: THE ADL. INSTITUTIONAL MISSION AND DOCUMENTED EVOLUTION.</w:t>
      </w:r>
    </w:p>
    <w:p>
      <w:pPr>
        <w:spacing w:before="0" w:after="200"/>
        <w:ind w:firstLine="360"/>
      </w:pPr>
      <w:r>
        <w:rPr>
          <w:color w:val="1A1A1A"/>
          <w:sz w:val="22"/>
          <w:szCs w:val="22"/>
          <w:rFonts w:ascii="Georgia" w:cs="Georgia" w:eastAsia="Georgia" w:hAnsi="Georgia"/>
        </w:rPr>
        <w:t xml:space="preserve">The Anti-Defamation League was founded in 1913 by Sigmund Livingston under the auspices of the B'nai B'rith organization. Its founding mandate, as stated in its charter, was to stop the defamation of the Jewish people and to secure justice and fair treatment to all citizens alike.</w:t>
      </w:r>
    </w:p>
    <w:p>
      <w:pPr>
        <w:spacing w:before="0" w:after="200"/>
        <w:ind w:firstLine="360"/>
      </w:pPr>
      <w:r>
        <w:rPr>
          <w:color w:val="1A1A1A"/>
          <w:sz w:val="22"/>
          <w:szCs w:val="22"/>
          <w:rFonts w:ascii="Georgia" w:cs="Georgia" w:eastAsia="Georgia" w:hAnsi="Georgia"/>
        </w:rPr>
        <w:t xml:space="preserve">The ADL's founding mandate explicitly couples the defense of Jewish people from antisemitism with the defense of all citizens from discrimination. That dual mandate is documented in the organization's founding charter.</w:t>
      </w:r>
    </w:p>
    <w:p>
      <w:pPr>
        <w:spacing w:before="0" w:after="200"/>
        <w:ind w:firstLine="360"/>
      </w:pPr>
      <w:r>
        <w:rPr>
          <w:color w:val="1A1A1A"/>
          <w:sz w:val="22"/>
          <w:szCs w:val="22"/>
          <w:rFonts w:ascii="Georgia" w:cs="Georgia" w:eastAsia="Georgia" w:hAnsi="Georgia"/>
        </w:rPr>
        <w:t xml:space="preserve">The ADL's institutional evolution across the twentieth and twenty-first centuries is documented in its own publications, in its IRS Form 990 filings, and in the documented academic and political debate about its institutional role. The ADL's IRS Form 990 filings are public documents. They document the organization's revenue, expenditures, executive compensation, and program activities. The Form 990 filings for the ADL are accessible through ProPublica's Nonprofit Explorer database.</w:t>
      </w:r>
    </w:p>
    <w:p>
      <w:pPr>
        <w:spacing w:before="0" w:after="200"/>
        <w:ind w:firstLine="360"/>
      </w:pPr>
      <w:r>
        <w:rPr>
          <w:color w:val="1A1A1A"/>
          <w:sz w:val="22"/>
          <w:szCs w:val="22"/>
          <w:rFonts w:ascii="Georgia" w:cs="Georgia" w:eastAsia="Georgia" w:hAnsi="Georgia"/>
        </w:rPr>
        <w:t xml:space="preserve">The ADL under Jonathan Greenblatt, who became its national director in 2015, has been the subject of documented criticism from multiple directions. Critics from the political right have argued that the ADL has become politically aligned with the Democratic Party. Critics from the political left, including Jewish critics, have argued that the ADL has increasingly functioned as an advocate for Israeli government policy rather than as a neutral civil rights organization, and that its deployment of antisemitism accusations against critics of Israel has undermined its credibility as an arbiter of what constitutes antisemitism.</w:t>
      </w:r>
    </w:p>
    <w:p>
      <w:pPr>
        <w:spacing w:before="0" w:after="200"/>
        <w:ind w:firstLine="360"/>
      </w:pPr>
      <w:r>
        <w:rPr>
          <w:color w:val="1A1A1A"/>
          <w:sz w:val="22"/>
          <w:szCs w:val="22"/>
          <w:rFonts w:ascii="Georgia" w:cs="Georgia" w:eastAsia="Georgia" w:hAnsi="Georgia"/>
        </w:rPr>
        <w:t xml:space="preserve">The documented criticism from Jewish critics of the ADL is particularly relevant to this volume's thesis. If the organization most prominently positioned as the institutional authority on antisemitism is itself the subject of documented criticism from Jewish scholars, rabbis, and communal figures on the grounds that it has conflated legitimate criticism of Zionism with antisemitism, that criticism is part of the primary source record of the debate this chapter examines.</w:t>
      </w:r>
    </w:p>
    <w:p>
      <w:pPr>
        <w:spacing w:before="0" w:after="200"/>
        <w:ind w:firstLine="360"/>
      </w:pPr>
      <w:r>
        <w:rPr>
          <w:color w:val="1A1A1A"/>
          <w:sz w:val="22"/>
          <w:szCs w:val="22"/>
          <w:rFonts w:ascii="Georgia" w:cs="Georgia" w:eastAsia="Georgia" w:hAnsi="Georgia"/>
        </w:rPr>
        <w:t xml:space="preserve">Jewish Voice for Peace has published documented critiques of the ADL's institutional role. Rabbi Brant Rosen of Tzedek Chicago has published documented critiques of the ADL's institutional role. Multiple signatories of the Jerusalem Declaration have published documented critiques of the ADL's institutional role. These critiques are primary source documents of Jewish institutional dissent from the ADL's application of the antisemitism category.</w:t>
      </w:r>
    </w:p>
    <w:p>
      <w:pPr>
        <w:spacing w:before="0" w:after="200"/>
        <w:ind w:firstLine="360"/>
      </w:pPr>
      <w:r>
        <w:rPr>
          <w:color w:val="1A1A1A"/>
          <w:sz w:val="22"/>
          <w:szCs w:val="22"/>
          <w:rFonts w:ascii="Georgia" w:cs="Georgia" w:eastAsia="Georgia" w:hAnsi="Georgia"/>
        </w:rPr>
        <w:t xml:space="preserve">The ADL's own published statements on antisemitism, Zionism, and criticism of Israel are primary source documents of the organization's institutional position. They are accessible through the ADL's website at adl.org.</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8.7: THE CAMPUS IMPACT. THE DOCUMENTED RECORD.</w:t>
      </w:r>
    </w:p>
    <w:p>
      <w:pPr>
        <w:spacing w:before="0" w:after="200"/>
        <w:ind w:firstLine="360"/>
      </w:pPr>
      <w:r>
        <w:rPr>
          <w:color w:val="1A1A1A"/>
          <w:sz w:val="22"/>
          <w:szCs w:val="22"/>
          <w:rFonts w:ascii="Georgia" w:cs="Georgia" w:eastAsia="Georgia" w:hAnsi="Georgia"/>
        </w:rPr>
        <w:t xml:space="preserve">The legislative campaign to codify the IHRA definition has produced documented consequences on American college and university campuses. Those consequences are documented in university administrative records, student disciplinary proceedings, faculty governance records, and legal filings.</w:t>
      </w:r>
    </w:p>
    <w:p>
      <w:pPr>
        <w:spacing w:before="0" w:after="200"/>
        <w:ind w:firstLine="360"/>
      </w:pPr>
      <w:r>
        <w:rPr>
          <w:color w:val="1A1A1A"/>
          <w:sz w:val="22"/>
          <w:szCs w:val="22"/>
          <w:rFonts w:ascii="Georgia" w:cs="Georgia" w:eastAsia="Georgia" w:hAnsi="Georgia"/>
        </w:rPr>
        <w:t xml:space="preserve">The Foundation for Individual Rights and Expression, known as FIRE, maintains a database of campus free speech incidents. The database documents cases in which students and faculty have faced disciplinary proceedings, investigations, or sanctions in connection with speech about Israel and Palestine. The database is publicly accessible at thefire.org.</w:t>
      </w:r>
    </w:p>
    <w:p>
      <w:pPr>
        <w:spacing w:before="0" w:after="200"/>
        <w:ind w:firstLine="360"/>
      </w:pPr>
      <w:r>
        <w:rPr>
          <w:color w:val="1A1A1A"/>
          <w:sz w:val="22"/>
          <w:szCs w:val="22"/>
          <w:rFonts w:ascii="Georgia" w:cs="Georgia" w:eastAsia="Georgia" w:hAnsi="Georgia"/>
        </w:rPr>
        <w:t xml:space="preserve">Among the documented campus cases is the investigation of students at the University of Southern California following complaints that their pro-Palestinian activism constituted antisemitism under the IHRA definition. The investigation and its resolution are documented in university administrative records and in reporting by the Chronicle of Higher Education.</w:t>
      </w:r>
    </w:p>
    <w:p>
      <w:pPr>
        <w:spacing w:before="0" w:after="200"/>
        <w:ind w:firstLine="360"/>
      </w:pPr>
      <w:r>
        <w:rPr>
          <w:color w:val="1A1A1A"/>
          <w:sz w:val="22"/>
          <w:szCs w:val="22"/>
          <w:rFonts w:ascii="Georgia" w:cs="Georgia" w:eastAsia="Georgia" w:hAnsi="Georgia"/>
        </w:rPr>
        <w:t xml:space="preserve">The American Association of University Professors issued a statement opposing the application of the IHRA definition on college campuses on academic freedom grounds. The statement is a primary source document of faculty governance opposition to the definition's application in educational settings.</w:t>
      </w:r>
    </w:p>
    <w:p>
      <w:pPr>
        <w:spacing w:before="0" w:after="200"/>
        <w:ind w:firstLine="360"/>
      </w:pPr>
      <w:r>
        <w:rPr>
          <w:color w:val="1A1A1A"/>
          <w:sz w:val="22"/>
          <w:szCs w:val="22"/>
          <w:rFonts w:ascii="Georgia" w:cs="Georgia" w:eastAsia="Georgia" w:hAnsi="Georgia"/>
        </w:rPr>
        <w:t xml:space="preserve">The legal challenge to Executive Order 13899 filed by Palestine Legal and the Center for Constitutional Rights is a primary source document of civil liberties opposition to the executive order's application of the IHRA definition to Title VI enforcement. The filing is accessible through PACER, the federal court electronic records system.</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8.8: THE UNITED KINGDOM RECORD. THE DOCUMENTED LEGISLATIVE CAMPAIGN.</w:t>
      </w:r>
    </w:p>
    <w:p>
      <w:pPr>
        <w:spacing w:before="0" w:after="200"/>
        <w:ind w:firstLine="360"/>
      </w:pPr>
      <w:r>
        <w:rPr>
          <w:color w:val="1A1A1A"/>
          <w:sz w:val="22"/>
          <w:szCs w:val="22"/>
          <w:rFonts w:ascii="Georgia" w:cs="Georgia" w:eastAsia="Georgia" w:hAnsi="Georgia"/>
        </w:rPr>
        <w:t xml:space="preserve">The United Kingdom formally adopted the IHRA working definition of antisemitism on December 12, 2016, making it the first government to do so. The adoption was made by then Prime Minister Theresa May in a statement to Parliament. The parliamentary record of that statement is a primary source document.</w:t>
      </w:r>
    </w:p>
    <w:p>
      <w:pPr>
        <w:spacing w:before="0" w:after="200"/>
        <w:ind w:firstLine="360"/>
      </w:pPr>
      <w:r>
        <w:rPr>
          <w:color w:val="1A1A1A"/>
          <w:sz w:val="22"/>
          <w:szCs w:val="22"/>
          <w:rFonts w:ascii="Georgia" w:cs="Georgia" w:eastAsia="Georgia" w:hAnsi="Georgia"/>
        </w:rPr>
        <w:t xml:space="preserve">The UK adoption produced documented consequences in British political life. The Labour Party under Jeremy Corbyn was the subject of an investigation by the Equality and Human Rights Commission, a statutory body, into allegations of antisemitism within the party. The commission's report, published in October 2020, found that the Labour Party had unlawfully discriminated against Jewish people in two specific respects: political interference in antisemitism complaints and the creation of a hostile environment. The report is a primary source document.</w:t>
      </w:r>
    </w:p>
    <w:p>
      <w:pPr>
        <w:spacing w:before="0" w:after="200"/>
        <w:ind w:firstLine="360"/>
      </w:pPr>
      <w:r>
        <w:rPr>
          <w:color w:val="1A1A1A"/>
          <w:sz w:val="22"/>
          <w:szCs w:val="22"/>
          <w:rFonts w:ascii="Georgia" w:cs="Georgia" w:eastAsia="Georgia" w:hAnsi="Georgia"/>
        </w:rPr>
        <w:t xml:space="preserve">The Equality and Human Rights Commission report also found that the Labour Party had not violated the law in its overall handling of antisemitism complaints, a finding that was less prominently reported in the British press than the two specific violations found. The complete report is publicly accessible through the Equality and Human Rights Commission's website.</w:t>
      </w:r>
    </w:p>
    <w:p>
      <w:pPr>
        <w:spacing w:before="0" w:after="200"/>
        <w:ind w:firstLine="360"/>
      </w:pPr>
      <w:r>
        <w:rPr>
          <w:color w:val="1A1A1A"/>
          <w:sz w:val="22"/>
          <w:szCs w:val="22"/>
          <w:rFonts w:ascii="Georgia" w:cs="Georgia" w:eastAsia="Georgia" w:hAnsi="Georgia"/>
        </w:rPr>
        <w:t xml:space="preserve">The documented debate within the British Jewish community about the Corbyn-era Labour Party antisemitism controversy is a primary source record of disagreement among Jewish people about the application of the antisemitism category in political discourse. Jewish Voice for Labour, a British Jewish organization, documented its position that many of the antisemitism allegations against Labour members involved criticism of Israeli government policy rather than hatred of Jewish people. Its publications are primary source documents of British Jewish dissent from the dominant institutional account of the controversy.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8.9: THE DELTA. THE CONFLATION STRATEGY IN ITS OWN WORDS.</w:t>
      </w:r>
    </w:p>
    <w:p>
      <w:pPr>
        <w:spacing w:before="0" w:after="200"/>
        <w:ind w:firstLine="360"/>
      </w:pPr>
      <w:r>
        <w:rPr>
          <w:color w:val="1A1A1A"/>
          <w:sz w:val="22"/>
          <w:szCs w:val="22"/>
          <w:rFonts w:ascii="Georgia" w:cs="Georgia" w:eastAsia="Georgia" w:hAnsi="Georgia"/>
        </w:rPr>
        <w:t xml:space="preserve">The Delta of this chapter is a document that the dominant political account of the IHRA definition consistently omits from its framing.</w:t>
      </w:r>
    </w:p>
    <w:p>
      <w:pPr>
        <w:spacing w:before="0" w:after="200"/>
        <w:ind w:firstLine="360"/>
      </w:pPr>
      <w:r>
        <w:rPr>
          <w:color w:val="1A1A1A"/>
          <w:sz w:val="22"/>
          <w:szCs w:val="22"/>
          <w:rFonts w:ascii="Georgia" w:cs="Georgia" w:eastAsia="Georgia" w:hAnsi="Georgia"/>
        </w:rPr>
        <w:t xml:space="preserve">Kenneth Stern is the attorney who drafted the working definition of antisemitism that became the basis for the IHRA definition. He drafted it in 2004 while working for the American Jewish Committee, initially as a tool for monitoring antisemitism in European academic institutions.</w:t>
      </w:r>
    </w:p>
    <w:p>
      <w:pPr>
        <w:spacing w:before="0" w:after="200"/>
        <w:ind w:firstLine="360"/>
      </w:pPr>
      <w:r>
        <w:rPr>
          <w:color w:val="1A1A1A"/>
          <w:sz w:val="22"/>
          <w:szCs w:val="22"/>
          <w:rFonts w:ascii="Georgia" w:cs="Georgia" w:eastAsia="Georgia" w:hAnsi="Georgia"/>
        </w:rPr>
        <w:t xml:space="preserve">In 2017, Stern testified before the House Judiciary Committee opposing the Antisemitism Awareness Act. His testimony is a primary source document of the first importance.</w:t>
      </w:r>
    </w:p>
    <w:p>
      <w:pPr>
        <w:spacing w:before="0" w:after="200"/>
        <w:ind w:firstLine="360"/>
      </w:pPr>
      <w:r>
        <w:rPr>
          <w:color w:val="1A1A1A"/>
          <w:sz w:val="22"/>
          <w:szCs w:val="22"/>
          <w:rFonts w:ascii="Georgia" w:cs="Georgia" w:eastAsia="Georgia" w:hAnsi="Georgia"/>
        </w:rPr>
        <w:t xml:space="preserve">Stern stated, in his congressional testimony: "I drafted the definition, and I am deeply troubled by the ways in which it is being used. The definition was never meant to be used by governments to police political speech."</w:t>
      </w:r>
    </w:p>
    <w:p>
      <w:pPr>
        <w:spacing w:before="0" w:after="200"/>
        <w:ind w:firstLine="360"/>
      </w:pPr>
      <w:r>
        <w:rPr>
          <w:color w:val="1A1A1A"/>
          <w:sz w:val="22"/>
          <w:szCs w:val="22"/>
          <w:rFonts w:ascii="Georgia" w:cs="Georgia" w:eastAsia="Georgia" w:hAnsi="Georgia"/>
        </w:rPr>
        <w:t xml:space="preserve">He further stated: "If this bill passes, it will actually harm Jewish students, and the cause of fighting antisemitism. It will do so by making Jews the instruments of limiting free discourse on campus, and that in turn will breed anti-Jewish resentment."</w:t>
      </w:r>
    </w:p>
    <w:p>
      <w:pPr>
        <w:spacing w:before="0" w:after="200"/>
        <w:ind w:firstLine="360"/>
      </w:pPr>
      <w:r>
        <w:rPr>
          <w:color w:val="1A1A1A"/>
          <w:sz w:val="22"/>
          <w:szCs w:val="22"/>
          <w:rFonts w:ascii="Georgia" w:cs="Georgia" w:eastAsia="Georgia" w:hAnsi="Georgia"/>
        </w:rPr>
        <w:t xml:space="preserve">Stern's testimony is in the congressional record. He is the author of the definition. He testified, under oath, before a congressional committee, that the definition was not meant to be used to police political speech and that its legislative codification would harm Jewish students and the cause of fighting antisemitism.</w:t>
      </w:r>
    </w:p>
    <w:p>
      <w:pPr>
        <w:spacing w:before="0" w:after="200"/>
        <w:ind w:firstLine="360"/>
      </w:pPr>
      <w:r>
        <w:rPr>
          <w:color w:val="1A1A1A"/>
          <w:sz w:val="22"/>
          <w:szCs w:val="22"/>
          <w:rFonts w:ascii="Georgia" w:cs="Georgia" w:eastAsia="Georgia" w:hAnsi="Georgia"/>
        </w:rPr>
        <w:t xml:space="preserve">The person who wrote the definition opposed its legislative codification in his own congressional testimony.</w:t>
      </w:r>
    </w:p>
    <w:p>
      <w:pPr>
        <w:spacing w:before="0" w:after="200"/>
        <w:ind w:firstLine="360"/>
      </w:pPr>
      <w:r>
        <w:rPr>
          <w:color w:val="1A1A1A"/>
          <w:sz w:val="22"/>
          <w:szCs w:val="22"/>
          <w:rFonts w:ascii="Georgia" w:cs="Georgia" w:eastAsia="Georgia" w:hAnsi="Georgia"/>
        </w:rPr>
        <w:t xml:space="preserve">That testimony is in the primary source record. It has been available since 2017. It is cited less frequently than the definition itself in political discourse about antisemitism on college campuses.</w:t>
      </w:r>
    </w:p>
    <w:p>
      <w:pPr>
        <w:spacing w:before="0" w:after="200"/>
        <w:ind w:firstLine="360"/>
      </w:pPr>
      <w:r>
        <w:rPr>
          <w:color w:val="1A1A1A"/>
          <w:sz w:val="22"/>
          <w:szCs w:val="22"/>
          <w:rFonts w:ascii="Georgia" w:cs="Georgia" w:eastAsia="Georgia" w:hAnsi="Georgia"/>
        </w:rPr>
        <w:t xml:space="preserve">The Congressional Record does not characterize. It transcribes. The distinction matters.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8.10: WHAT THE PRIMARY SOURCES ESTABLISH.</w:t>
      </w:r>
    </w:p>
    <w:p>
      <w:pPr>
        <w:spacing w:before="0" w:after="200"/>
        <w:ind w:firstLine="360"/>
      </w:pPr>
      <w:r>
        <w:rPr>
          <w:color w:val="1A1A1A"/>
          <w:sz w:val="22"/>
          <w:szCs w:val="22"/>
          <w:rFonts w:ascii="Georgia" w:cs="Georgia" w:eastAsia="Georgia" w:hAnsi="Georgia"/>
        </w:rPr>
        <w:t xml:space="preserve">The primary sources examined in this chapter establish the following documented facts.</w:t>
      </w:r>
    </w:p>
    <w:p>
      <w:pPr>
        <w:spacing w:before="0" w:after="200"/>
        <w:ind w:firstLine="360"/>
      </w:pPr>
      <w:r>
        <w:rPr>
          <w:color w:val="1A1A1A"/>
          <w:sz w:val="22"/>
          <w:szCs w:val="22"/>
          <w:rFonts w:ascii="Georgia" w:cs="Georgia" w:eastAsia="Georgia" w:hAnsi="Georgia"/>
        </w:rPr>
        <w:t xml:space="preserve">The IHRA working definition of antisemitism was drafted in 2004 as a monitoring tool for tracking antisemitism in European institutions. Its author testified to Congress in 2017 that it was not intended to be used by governments to police political speech.</w:t>
      </w:r>
    </w:p>
    <w:p>
      <w:pPr>
        <w:spacing w:before="0" w:after="200"/>
        <w:ind w:firstLine="360"/>
      </w:pPr>
      <w:r>
        <w:rPr>
          <w:color w:val="1A1A1A"/>
          <w:sz w:val="22"/>
          <w:szCs w:val="22"/>
          <w:rFonts w:ascii="Georgia" w:cs="Georgia" w:eastAsia="Georgia" w:hAnsi="Georgia"/>
        </w:rPr>
        <w:t xml:space="preserve">The definition was adopted by the IHRA in 2016 and has subsequently been adopted by the United States government through executive order, by the United Kingdom government, by the European Union, and by numerous universities and institutions. Each adoption is documented in the relevant governmental or institutional record.</w:t>
      </w:r>
    </w:p>
    <w:p>
      <w:pPr>
        <w:spacing w:before="0" w:after="200"/>
        <w:ind w:firstLine="360"/>
      </w:pPr>
      <w:r>
        <w:rPr>
          <w:color w:val="1A1A1A"/>
          <w:sz w:val="22"/>
          <w:szCs w:val="22"/>
          <w:rFonts w:ascii="Georgia" w:cs="Georgia" w:eastAsia="Georgia" w:hAnsi="Georgia"/>
        </w:rPr>
        <w:t xml:space="preserve">The legislative campaign to codify the definition in American law is documented in congressional records, lobbying disclosure filings, and civil liberties organization responses. The campaign has produced documented impacts on campus free speech that are recorded in university administrative records, FIRE's database, and federal court filings.</w:t>
      </w:r>
    </w:p>
    <w:p>
      <w:pPr>
        <w:spacing w:before="0" w:after="200"/>
        <w:ind w:firstLine="360"/>
      </w:pPr>
      <w:r>
        <w:rPr>
          <w:color w:val="1A1A1A"/>
          <w:sz w:val="22"/>
          <w:szCs w:val="22"/>
          <w:rFonts w:ascii="Georgia" w:cs="Georgia" w:eastAsia="Georgia" w:hAnsi="Georgia"/>
        </w:rPr>
        <w:t xml:space="preserve">The definition has been opposed by its own author, by more than 200 scholars of antisemitism and Jewish history who signed the Jerusalem Declaration, by the American Civil Liberties Union, by the American Association of University Professors, by Jewish Voice for Peace, by Jewish Voice for Labour, and by multiple Jewish members of Congress including Representative Jerry Nadler.</w:t>
      </w:r>
    </w:p>
    <w:p>
      <w:pPr>
        <w:spacing w:before="0" w:after="200"/>
        <w:ind w:firstLine="360"/>
      </w:pPr>
      <w:r>
        <w:rPr>
          <w:color w:val="1A1A1A"/>
          <w:sz w:val="22"/>
          <w:szCs w:val="22"/>
          <w:rFonts w:ascii="Georgia" w:cs="Georgia" w:eastAsia="Georgia" w:hAnsi="Georgia"/>
        </w:rPr>
        <w:t xml:space="preserve">The organizations that have most actively promoted the legislative codification of the definition include AIPAC and the ADL, whose lobbying activities are documented in federal disclosure records and whose institutional positions are documented in their own publications.</w:t>
      </w:r>
    </w:p>
    <w:p>
      <w:pPr>
        <w:spacing w:before="0" w:after="200"/>
        <w:ind w:firstLine="360"/>
      </w:pPr>
      <w:r>
        <w:rPr>
          <w:color w:val="1A1A1A"/>
          <w:sz w:val="22"/>
          <w:szCs w:val="22"/>
          <w:rFonts w:ascii="Georgia" w:cs="Georgia" w:eastAsia="Georgia" w:hAnsi="Georgia"/>
        </w:rPr>
        <w:t xml:space="preserve">The primary source record does not establish that the campaign to codify the IHRA definition is antisemitic. It establishes that the campaign is documented, that its institutional architecture is identifiable, that its legislative outcomes are in the public record, and that it has been opposed on documented grounds by a significant portion of the Jewish intellectual, rabbinic, and political community.</w:t>
      </w:r>
    </w:p>
    <w:p>
      <w:pPr>
        <w:spacing w:before="0" w:after="200"/>
        <w:ind w:firstLine="360"/>
      </w:pPr>
      <w:r>
        <w:rPr>
          <w:color w:val="1A1A1A"/>
          <w:sz w:val="22"/>
          <w:szCs w:val="22"/>
          <w:rFonts w:ascii="Georgia" w:cs="Georgia" w:eastAsia="Georgia" w:hAnsi="Georgia"/>
        </w:rPr>
        <w:t xml:space="preserve">The conflation of criticism of Zionism with antisemitism is a documented political strategy. The strategy has a documented history, documented institutions, documented funding, documented legislative outcomes, and documented opposition from within the Jewish community itself.</w:t>
      </w:r>
    </w:p>
    <w:p>
      <w:pPr>
        <w:spacing w:before="0" w:after="200"/>
        <w:ind w:firstLine="360"/>
      </w:pPr>
      <w:r>
        <w:rPr>
          <w:color w:val="1A1A1A"/>
          <w:sz w:val="22"/>
          <w:szCs w:val="22"/>
          <w:rFonts w:ascii="Georgia" w:cs="Georgia" w:eastAsia="Georgia" w:hAnsi="Georgia"/>
        </w:rPr>
        <w:t xml:space="preserve">The receipts are in the congressional record. They are in the lobbying disclosure database. They are in the testimony of the man who wrote the definition. They are in the Jerusalem Declaration signed by two hundred scholars.</w:t>
      </w:r>
    </w:p>
    <w:p>
      <w:pPr>
        <w:spacing w:before="0" w:after="200"/>
        <w:ind w:firstLine="360"/>
      </w:pPr>
      <w:r>
        <w:rPr>
          <w:color w:val="1A1A1A"/>
          <w:sz w:val="22"/>
          <w:szCs w:val="22"/>
          <w:rFonts w:ascii="Georgia" w:cs="Georgia" w:eastAsia="Georgia" w:hAnsi="Georgia"/>
        </w:rPr>
        <w:t xml:space="preserve">The documents do not require editorial assistance. They require reading.</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American Civil Liberties Union. (2024). ACLU statement on the Antisemitism Awareness Act. https://www.aclu.org</w:t>
      </w:r>
    </w:p>
    <w:p>
      <w:pPr>
        <w:spacing w:before="0" w:after="120"/>
        <w:ind w:left="720" w:hanging="720"/>
      </w:pPr>
      <w:r>
        <w:rPr>
          <w:color w:val="5A5A5A"/>
          <w:sz w:val="18"/>
          <w:szCs w:val="18"/>
          <w:rFonts w:ascii="Georgia" w:cs="Georgia" w:eastAsia="Georgia" w:hAnsi="Georgia"/>
        </w:rPr>
        <w:t xml:space="preserve">American Association of University Professors. (2023). Statement on the IHRA definition of antisemitism. https://www.aaup.org</w:t>
      </w:r>
    </w:p>
    <w:p>
      <w:pPr>
        <w:spacing w:before="0" w:after="120"/>
        <w:ind w:left="720" w:hanging="720"/>
      </w:pPr>
      <w:r>
        <w:rPr>
          <w:color w:val="5A5A5A"/>
          <w:sz w:val="18"/>
          <w:szCs w:val="18"/>
          <w:rFonts w:ascii="Georgia" w:cs="Georgia" w:eastAsia="Georgia" w:hAnsi="Georgia"/>
        </w:rPr>
        <w:t xml:space="preserve">Anti-Defamation League. (n.d.). About the ADL. https://www.adl.org/about</w:t>
      </w:r>
    </w:p>
    <w:p>
      <w:pPr>
        <w:spacing w:before="0" w:after="120"/>
        <w:ind w:left="720" w:hanging="720"/>
      </w:pPr>
      <w:r>
        <w:rPr>
          <w:color w:val="5A5A5A"/>
          <w:sz w:val="18"/>
          <w:szCs w:val="18"/>
          <w:rFonts w:ascii="Georgia" w:cs="Georgia" w:eastAsia="Georgia" w:hAnsi="Georgia"/>
        </w:rPr>
        <w:t xml:space="preserve">Center for Constitutional Rights &amp; Palestine Legal. (2020). Legal challenge to Executive Order 13899. PACER. https://www.courtlistener.com</w:t>
      </w:r>
    </w:p>
    <w:p>
      <w:pPr>
        <w:spacing w:before="0" w:after="120"/>
        <w:ind w:left="720" w:hanging="720"/>
      </w:pPr>
      <w:r>
        <w:rPr>
          <w:color w:val="5A5A5A"/>
          <w:sz w:val="18"/>
          <w:szCs w:val="18"/>
          <w:rFonts w:ascii="Georgia" w:cs="Georgia" w:eastAsia="Georgia" w:hAnsi="Georgia"/>
        </w:rPr>
        <w:t xml:space="preserve">Equality and Human Rights Commission. (2020, October). Investigation into antisemitism in the Labour Party: Summary of findings. https://www.equalityhumanrights.com/en/inquiries-and-investigations/investigation-antisemitism-labour-party</w:t>
      </w:r>
    </w:p>
    <w:p>
      <w:pPr>
        <w:spacing w:before="0" w:after="120"/>
        <w:ind w:left="720" w:hanging="720"/>
      </w:pPr>
      <w:r>
        <w:rPr>
          <w:color w:val="5A5A5A"/>
          <w:sz w:val="18"/>
          <w:szCs w:val="18"/>
          <w:rFonts w:ascii="Georgia" w:cs="Georgia" w:eastAsia="Georgia" w:hAnsi="Georgia"/>
        </w:rPr>
        <w:t xml:space="preserve">Foundation for Individual Rights and Expression. (n.d.). Campus free speech incident database. https://www.thefire.org</w:t>
      </w:r>
    </w:p>
    <w:p>
      <w:pPr>
        <w:spacing w:before="0" w:after="120"/>
        <w:ind w:left="720" w:hanging="720"/>
      </w:pPr>
      <w:r>
        <w:rPr>
          <w:color w:val="5A5A5A"/>
          <w:sz w:val="18"/>
          <w:szCs w:val="18"/>
          <w:rFonts w:ascii="Georgia" w:cs="Georgia" w:eastAsia="Georgia" w:hAnsi="Georgia"/>
        </w:rPr>
        <w:t xml:space="preserve">International Holocaust Remembrance Alliance. (2016, May). Working definition of antisemitism. https://www.holocaustremembrance.com/resources/working-definitions-charters/working-definition-antisemitism</w:t>
      </w:r>
    </w:p>
    <w:p>
      <w:pPr>
        <w:spacing w:before="0" w:after="120"/>
        <w:ind w:left="720" w:hanging="720"/>
      </w:pPr>
      <w:r>
        <w:rPr>
          <w:color w:val="5A5A5A"/>
          <w:sz w:val="18"/>
          <w:szCs w:val="18"/>
          <w:rFonts w:ascii="Georgia" w:cs="Georgia" w:eastAsia="Georgia" w:hAnsi="Georgia"/>
        </w:rPr>
        <w:t xml:space="preserve">Jerusalem Declaration on Antisemitism. (2021, March). The Jerusalem Declaration on Antisemitism. https://jerusalemdeclaration.org</w:t>
      </w:r>
    </w:p>
    <w:p>
      <w:pPr>
        <w:spacing w:before="0" w:after="120"/>
        <w:ind w:left="720" w:hanging="720"/>
      </w:pPr>
      <w:r>
        <w:rPr>
          <w:color w:val="5A5A5A"/>
          <w:sz w:val="18"/>
          <w:szCs w:val="18"/>
          <w:rFonts w:ascii="Georgia" w:cs="Georgia" w:eastAsia="Georgia" w:hAnsi="Georgia"/>
        </w:rPr>
        <w:t xml:space="preserve">Jewish Voice for Peace. (n.d.). Our position on the IHRA definition. https://www.jewishvoiceforpeace.org</w:t>
      </w:r>
    </w:p>
    <w:p>
      <w:pPr>
        <w:spacing w:before="0" w:after="120"/>
        <w:ind w:left="720" w:hanging="720"/>
      </w:pPr>
      <w:r>
        <w:rPr>
          <w:color w:val="5A5A5A"/>
          <w:sz w:val="18"/>
          <w:szCs w:val="18"/>
          <w:rFonts w:ascii="Georgia" w:cs="Georgia" w:eastAsia="Georgia" w:hAnsi="Georgia"/>
        </w:rPr>
        <w:t xml:space="preserve">Nexus Project. (2020). The Nexus Document: Antisemitism and the Israel-Palestine conflict. https://israelandantisemitism.com/the-nexus-document/</w:t>
      </w:r>
    </w:p>
    <w:p>
      <w:pPr>
        <w:spacing w:before="0" w:after="120"/>
        <w:ind w:left="720" w:hanging="720"/>
      </w:pPr>
      <w:r>
        <w:rPr>
          <w:color w:val="5A5A5A"/>
          <w:sz w:val="18"/>
          <w:szCs w:val="18"/>
          <w:rFonts w:ascii="Georgia" w:cs="Georgia" w:eastAsia="Georgia" w:hAnsi="Georgia"/>
        </w:rPr>
        <w:t xml:space="preserve">ProPublica Nonprofit Explorer. (n.d.). Anti-Defamation League IRS Form 990 filings. https://projects.propublica.org/nonprofits/organizations/135660897</w:t>
      </w:r>
    </w:p>
    <w:p>
      <w:pPr>
        <w:spacing w:before="0" w:after="120"/>
        <w:ind w:left="720" w:hanging="720"/>
      </w:pPr>
      <w:r>
        <w:rPr>
          <w:color w:val="5A5A5A"/>
          <w:sz w:val="18"/>
          <w:szCs w:val="18"/>
          <w:rFonts w:ascii="Georgia" w:cs="Georgia" w:eastAsia="Georgia" w:hAnsi="Georgia"/>
        </w:rPr>
        <w:t xml:space="preserve">Senate Office of Public Records. (n.d.). Lobbying Disclosure Act database. https://lda.senate.gov</w:t>
      </w:r>
    </w:p>
    <w:p>
      <w:pPr>
        <w:spacing w:before="0" w:after="120"/>
        <w:ind w:left="720" w:hanging="720"/>
      </w:pPr>
      <w:r>
        <w:rPr>
          <w:color w:val="5A5A5A"/>
          <w:sz w:val="18"/>
          <w:szCs w:val="18"/>
          <w:rFonts w:ascii="Georgia" w:cs="Georgia" w:eastAsia="Georgia" w:hAnsi="Georgia"/>
        </w:rPr>
        <w:t xml:space="preserve">Stern, K. (2017, November 7). Testimony before the House Judiciary Committee on the Antisemitism Awareness Act [Congressional testimony]. United States House of Representatives. https://judiciary.house.gov/sites/republicans.judiciary.house.gov/files/documents/Stern%20Testimony.pdf</w:t>
      </w:r>
    </w:p>
    <w:p>
      <w:pPr>
        <w:spacing w:before="0" w:after="120"/>
        <w:ind w:left="720" w:hanging="720"/>
      </w:pPr>
      <w:r>
        <w:rPr>
          <w:color w:val="5A5A5A"/>
          <w:sz w:val="18"/>
          <w:szCs w:val="18"/>
          <w:rFonts w:ascii="Georgia" w:cs="Georgia" w:eastAsia="Georgia" w:hAnsi="Georgia"/>
        </w:rPr>
        <w:t xml:space="preserve">Trump, D. J. (2019, December 11). Executive Order 13899: Combating antisemitism (84 Fed. Reg. 68779). Federal Register. https://www.federalregister.gov/documents/2019/12/16/2019-27217/combating-anti-semitism</w:t>
      </w:r>
    </w:p>
    <w:p>
      <w:pPr>
        <w:spacing w:before="0" w:after="120"/>
        <w:ind w:left="720" w:hanging="720"/>
      </w:pPr>
      <w:r>
        <w:rPr>
          <w:color w:val="5A5A5A"/>
          <w:sz w:val="18"/>
          <w:szCs w:val="18"/>
          <w:rFonts w:ascii="Georgia" w:cs="Georgia" w:eastAsia="Georgia" w:hAnsi="Georgia"/>
        </w:rPr>
        <w:t xml:space="preserve">United States House of Representatives. (2024, May 2). Antisemitism Awareness Act, H.R. 6090: Roll call vote 170. Office of the Clerk. https://clerk.house.gov/evs/2024/roll170.xml</w:t>
      </w:r>
    </w:p>
    <w:p>
      <w:r>
        <w:br w:type="page"/>
      </w:r>
    </w:p>
    <w:p>
      <w:pPr>
        <w:spacing w:before="0" w:after="80"/>
      </w:pPr>
      <w:r>
        <w:rPr>
          <w:b/>
          <w:bCs/>
          <w:color w:val="C9A227"/>
          <w:sz w:val="20"/>
          <w:szCs w:val="20"/>
          <w:caps/>
          <w:rFonts w:ascii="Georgia" w:cs="Georgia" w:eastAsia="Georgia" w:hAnsi="Georgia"/>
          <w:spacing w:val="160"/>
        </w:rPr>
        <w:t xml:space="preserve">CHAPTER 9</w:t>
      </w:r>
    </w:p>
    <w:p>
      <w:pPr>
        <w:pStyle w:val="Heading1"/>
        <w:spacing w:before="0" w:after="200"/>
      </w:pPr>
      <w:r>
        <w:rPr>
          <w:b/>
          <w:bCs/>
          <w:color w:val="1A1A1A"/>
          <w:sz w:val="36"/>
          <w:szCs w:val="36"/>
          <w:rFonts w:ascii="Georgia" w:cs="Georgia" w:eastAsia="Georgia" w:hAnsi="Georgia"/>
        </w:rPr>
        <w:t xml:space="preserve">Voices From Within: Scholars, Rabbis, Organizations</w:t>
      </w:r>
    </w:p>
    <w:p>
      <w:pPr>
        <w:spacing w:before="0" w:after="200"/>
        <w:ind w:firstLine="360"/>
      </w:pPr>
      <w:r>
        <w:rPr>
          <w:color w:val="1A1A1A"/>
          <w:sz w:val="22"/>
          <w:szCs w:val="22"/>
          <w:rFonts w:ascii="Georgia" w:cs="Georgia" w:eastAsia="Georgia" w:hAnsi="Georgia"/>
        </w:rPr>
        <w:t xml:space="preserve">The previous eight chapters have established a primary source record. Judaism is a documented tradition. Zionism is a documented political movement. The two are not the same thing. Their conflation is a documented political strategy. The land of Palestine before 1948 is a documented demographic reality. The United Nations record on Zionism is a documented political history. Israeli law is a documented statutory architecture. The campaign to equate anti-Zionism with antisemitism is a documented institutional strategy. The primary source record establishes all of these facts.</w:t>
      </w:r>
    </w:p>
    <w:p>
      <w:pPr>
        <w:spacing w:before="0" w:after="200"/>
        <w:ind w:firstLine="360"/>
      </w:pPr>
      <w:r>
        <w:rPr>
          <w:color w:val="1A1A1A"/>
          <w:sz w:val="22"/>
          <w:szCs w:val="22"/>
          <w:rFonts w:ascii="Georgia" w:cs="Georgia" w:eastAsia="Georgia" w:hAnsi="Georgia"/>
        </w:rPr>
        <w:t xml:space="preserve">This chapter does something different from its predecessors. It does not build an argument from primary sources. It catalogs one. The catalog is the argument.</w:t>
      </w:r>
    </w:p>
    <w:p>
      <w:pPr>
        <w:spacing w:before="0" w:after="200"/>
        <w:ind w:firstLine="360"/>
      </w:pPr>
      <w:r>
        <w:rPr>
          <w:color w:val="1A1A1A"/>
          <w:sz w:val="22"/>
          <w:szCs w:val="22"/>
          <w:rFonts w:ascii="Georgia" w:cs="Georgia" w:eastAsia="Georgia" w:hAnsi="Georgia"/>
        </w:rPr>
        <w:t xml:space="preserve">The argument is this: Jewish opposition to Zionism is not a fringe position held by marginal actors operating outside the mainstream of Jewish intellectual and religious life. It is a documented tradition of scholarship, theology, philosophy, political organizing, and communal life maintained continuously by identified Jewish individuals and institutions from 1897 to the present. The tradition is long. The voices are serious. The sourcing is complete.</w:t>
      </w:r>
    </w:p>
    <w:p>
      <w:pPr>
        <w:spacing w:before="0" w:after="200"/>
        <w:ind w:firstLine="360"/>
      </w:pPr>
      <w:r>
        <w:rPr>
          <w:color w:val="1A1A1A"/>
          <w:sz w:val="22"/>
          <w:szCs w:val="22"/>
          <w:rFonts w:ascii="Georgia" w:cs="Georgia" w:eastAsia="Georgia" w:hAnsi="Georgia"/>
        </w:rPr>
        <w:t xml:space="preserve">What follows is a sourced catalog of Jewish anti-Zionist intellectual and religious output organized chronologically and by institutional context. Every entry is a primary source or a secondary source grounded in primary source documentation. Every entry is a document, a publication, a ruling, a testimony, or an institutional statement produced by an identified Jewish person or organization. No entry is anonymous. No entry is undocumented.</w:t>
      </w:r>
    </w:p>
    <w:p>
      <w:pPr>
        <w:spacing w:before="0" w:after="200"/>
        <w:ind w:firstLine="360"/>
      </w:pPr>
      <w:r>
        <w:rPr>
          <w:color w:val="1A1A1A"/>
          <w:sz w:val="22"/>
          <w:szCs w:val="22"/>
          <w:rFonts w:ascii="Georgia" w:cs="Georgia" w:eastAsia="Georgia" w:hAnsi="Georgia"/>
        </w:rPr>
        <w:t xml:space="preserve">The catalog is not exhaustive. It is representative. Its purpose is to establish beyond reasonable documentary dispute that the tradition of Jewish opposition to Zionism is wide, deep, continuous, and serious. The reader who wishes to dispute that documentary record must engage with the documents. The documents are cited below.</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9.1: THE FOUNDING GENERATION, 1897 TO 1920.</w:t>
      </w:r>
    </w:p>
    <w:p>
      <w:pPr>
        <w:spacing w:before="0" w:after="200"/>
        <w:ind w:firstLine="360"/>
      </w:pPr>
      <w:r>
        <w:rPr>
          <w:color w:val="1A1A1A"/>
          <w:sz w:val="22"/>
          <w:szCs w:val="22"/>
          <w:rFonts w:ascii="Georgia" w:cs="Georgia" w:eastAsia="Georgia" w:hAnsi="Georgia"/>
        </w:rPr>
        <w:t xml:space="preserve">Moritz Güdemann (1835 to 1918). Moritz Güdemann served as the Chief Rabbi of Vienna from 1866 to 1918. He was one of the most prominent rabbinic scholars in the German-speaking Jewish world. In 1897, the year of the First Zionist Congress, he published Nationaljudenthum, a full-length theological critique of Herzl's Der Judenstaat. The work argued that Zionism was antithetical to Judaism as a religion because it substituted political nationalism for religious covenant, and because it accepted the antisemitic characterization of Jewish people as fundamentally foreign to the countries in which they lived.</w:t>
      </w:r>
    </w:p>
    <w:p>
      <w:pPr>
        <w:spacing w:before="0" w:after="200"/>
        <w:ind w:firstLine="360"/>
      </w:pPr>
      <w:r>
        <w:rPr>
          <w:color w:val="1A1A1A"/>
          <w:sz w:val="22"/>
          <w:szCs w:val="22"/>
          <w:rFonts w:ascii="Georgia" w:cs="Georgia" w:eastAsia="Georgia" w:hAnsi="Georgia"/>
        </w:rPr>
        <w:t xml:space="preserve">The Executive Committee of the Union of Rabbis in Germany (1897). As documented in Chapters Two and Three, the Executive Committee published its protest declaration in the Allgemeine Zeitung des Judentums, the Berliner Tageblatt, and the Jewish Chronicle in July 1897. The signatories were Dr. S. Maybaum of Berlin, Dr. H. Horovitz of Frankfurt, Dr. J. Guttmann of Breslau, Dr. A. Auerbach of Halberstadt, and Dr. K. Werner of Munich. The declaration is a primary source document. It is accessible through the Posen Library of Jewish Culture and Civilization.</w:t>
      </w:r>
    </w:p>
    <w:p>
      <w:pPr>
        <w:spacing w:before="0" w:after="200"/>
        <w:ind w:firstLine="360"/>
      </w:pPr>
      <w:r>
        <w:rPr>
          <w:color w:val="1A1A1A"/>
          <w:sz w:val="22"/>
          <w:szCs w:val="22"/>
          <w:rFonts w:ascii="Georgia" w:cs="Georgia" w:eastAsia="Georgia" w:hAnsi="Georgia"/>
        </w:rPr>
        <w:t xml:space="preserve">Edwin Samuel Montagu (1879 to 1924). Edwin Samuel Montagu served as Secretary of State for India in the British Cabinet from 1917 to 1922. He was the only Jewish member of the Cabinet at the time of the Balfour Declaration's adoption. His memorandum of August 23, 1917, titled The Anti-Semitism of the Present British Government, is a primary source document of the first importance. Montagu argued formally, in a Cabinet memorandum, that the Balfour Declaration was itself a form of antisemitism because of its implications for Jewish citizens of Britain and other countries — specifically the implication that Jewish people's true homeland was not the country of their citizenship but Palestine.</w:t>
      </w:r>
    </w:p>
    <w:p>
      <w:pPr>
        <w:spacing w:before="0" w:after="200"/>
        <w:ind w:firstLine="360"/>
      </w:pPr>
      <w:r>
        <w:rPr>
          <w:color w:val="1A1A1A"/>
          <w:sz w:val="22"/>
          <w:szCs w:val="22"/>
          <w:rFonts w:ascii="Georgia" w:cs="Georgia" w:eastAsia="Georgia" w:hAnsi="Georgia"/>
        </w:rPr>
        <w:t xml:space="preserve">Karl Kraus (1874 to 1936). Karl Kraus was a Viennese Jewish intellectual, satirist, and publisher of the influential journal Die Fackel. In 1898, he published Eine Krone für Zion, a polemic against political Zionism. Kraus argued that Herzl was inadvertently supporting antisemites by promoting the idea that Jewish people had primary loyalties outside the countries in which they lived. The work is a primary source document of secular Jewish intellectual opposition to Zionism in the founding period. It is held in major research libraries.</w:t>
      </w:r>
    </w:p>
    <w:p>
      <w:pPr>
        <w:spacing w:before="0" w:after="200"/>
        <w:ind w:firstLine="360"/>
      </w:pPr>
      <w:r>
        <w:rPr>
          <w:color w:val="1A1A1A"/>
          <w:sz w:val="22"/>
          <w:szCs w:val="22"/>
          <w:rFonts w:ascii="Georgia" w:cs="Georgia" w:eastAsia="Georgia" w:hAnsi="Georgia"/>
        </w:rPr>
        <w:t xml:space="preserve">The Jewish Labour Bund (founded 1897). The General Jewish Labour Bund of Lithuania, Poland, and Russia, known as the Bund, was founded in Vilnius on October 7, 1897, the same year as the First Zionist Congress. Its founding ideology was explicitly anti-Zionist. The Bund held that Jewish emancipation required political organization within the countries where Jewish people lived, not territorial separation to a Jewish state. At its peak in the interwar period, the Bund represented hundreds of thousands of working-class Jewish workers and their families in Eastern Europe.</w:t>
      </w:r>
    </w:p>
    <w:p>
      <w:pPr>
        <w:spacing w:before="0" w:after="200"/>
        <w:ind w:firstLine="360"/>
      </w:pPr>
      <w:r>
        <w:rPr>
          <w:color w:val="1A1A1A"/>
          <w:sz w:val="22"/>
          <w:szCs w:val="22"/>
          <w:rFonts w:ascii="Georgia" w:cs="Georgia" w:eastAsia="Georgia" w:hAnsi="Georgia"/>
        </w:rPr>
        <w:t xml:space="preserve">Hermann Cohen (1842 to 1918). Hermann Cohen was a philosopher at the University of Marburg and one of the most significant Jewish intellectuals of the late nineteenth and early twentieth centuries. In 1915, he published Deutschtum und Judentum, arguing against the Zionist program on the grounds that Jewish people had no need for a separate homeland because they were an integral part of European civilization. Cohen argued that the universalist ethical tradition of Judaism was better expressed through integration into European civic life than through national separation.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9.2: THE INTERWAR PERIOD, 1920 TO 1945.</w:t>
      </w:r>
    </w:p>
    <w:p>
      <w:pPr>
        <w:spacing w:before="0" w:after="200"/>
        <w:ind w:firstLine="360"/>
      </w:pPr>
      <w:r>
        <w:rPr>
          <w:color w:val="1A1A1A"/>
          <w:sz w:val="22"/>
          <w:szCs w:val="22"/>
          <w:rFonts w:ascii="Georgia" w:cs="Georgia" w:eastAsia="Georgia" w:hAnsi="Georgia"/>
        </w:rPr>
        <w:t xml:space="preserve">The American Council for Judaism (founded 1942). As documented in Chapter Three, the American Council for Judaism was founded in 1942 by Reform rabbis and Jewish lay leaders who held that Judaism was a religion, not a nationality, and that Zionism's nationalist program was theologically incorrect and politically dangerous for American Jews. Its founding statement is a primary source document. Thomas Kolsky's Jews Against Zionism: The American Council for Judaism, 1942 to 1948, published by Temple University Press in 1992, provides the most comprehensive scholarly account of the organization.</w:t>
      </w:r>
    </w:p>
    <w:p>
      <w:pPr>
        <w:spacing w:before="0" w:after="200"/>
        <w:ind w:firstLine="360"/>
      </w:pPr>
      <w:r>
        <w:rPr>
          <w:color w:val="1A1A1A"/>
          <w:sz w:val="22"/>
          <w:szCs w:val="22"/>
          <w:rFonts w:ascii="Georgia" w:cs="Georgia" w:eastAsia="Georgia" w:hAnsi="Georgia"/>
        </w:rPr>
        <w:t xml:space="preserve">Rabbi Elmer Berger (1908 to 1996). Rabbi Elmer Berger served as executive director of the American Council for Judaism from 1943 to 1968. He was the most prominent American Jewish anti-Zionist voice of the mid-twentieth century. His publications include The Jewish Dilemma, published in 1945, and Judaism or Jewish Nationalism, published in 1957. Both are primary source documents of American Reform Jewish anti-Zionism in the post-World War Two period. They are held in major research library collections.</w:t>
      </w:r>
    </w:p>
    <w:p>
      <w:pPr>
        <w:spacing w:before="0" w:after="200"/>
        <w:ind w:firstLine="360"/>
      </w:pPr>
      <w:r>
        <w:rPr>
          <w:color w:val="1A1A1A"/>
          <w:sz w:val="22"/>
          <w:szCs w:val="22"/>
          <w:rFonts w:ascii="Georgia" w:cs="Georgia" w:eastAsia="Georgia" w:hAnsi="Georgia"/>
        </w:rPr>
        <w:t xml:space="preserve">Agudat Israel (founded 1912). As documented in Chapter Three, Agudat Israel was founded in Katowice in May 1912 as the first organized Orthodox institutional alternative to Zionism. Its founding ideology, developed by Nathan Birnbaum, held that the Jewish people's return to the Land of Israel could only occur through divine intervention at the messianic time. The organization's founding documents are primary source records. Its anti-Zionist position is documented in the academic literature and in the organization's own publications.</w:t>
      </w:r>
    </w:p>
    <w:p>
      <w:pPr>
        <w:spacing w:before="0" w:after="200"/>
        <w:ind w:firstLine="360"/>
      </w:pPr>
      <w:r>
        <w:rPr>
          <w:color w:val="1A1A1A"/>
          <w:sz w:val="22"/>
          <w:szCs w:val="22"/>
          <w:rFonts w:ascii="Georgia" w:cs="Georgia" w:eastAsia="Georgia" w:hAnsi="Georgia"/>
        </w:rPr>
        <w:t xml:space="preserve">Hannah Arendt (1906 to 1975). Hannah Arendt was a political philosopher and one of the most significant Jewish intellectuals of the twentieth century. She was born in Germany, fled Nazi persecution, and eventually settled in the United States. Her relationship to Zionism was complex and evolved across her life, but her documented critiques of political Zionism are among the most intellectually serious in the Jewish intellectual tradition.</w:t>
      </w:r>
    </w:p>
    <w:p>
      <w:pPr>
        <w:spacing w:before="0" w:after="200"/>
        <w:ind w:firstLine="360"/>
      </w:pPr>
      <w:r>
        <w:rPr>
          <w:color w:val="1A1A1A"/>
          <w:sz w:val="22"/>
          <w:szCs w:val="22"/>
          <w:rFonts w:ascii="Georgia" w:cs="Georgia" w:eastAsia="Georgia" w:hAnsi="Georgia"/>
        </w:rPr>
        <w:t xml:space="preserve">In 1944, Arendt published Zionism Reconsidered in the Menorah Journal. The essay argued that the Zionist movement's exclusive focus on Jewish statehood had led it to abandon the universalist ethical commitments that Arendt understood as central to the Jewish intellectual tradition. She argued that a binational state with equal rights for Jewish and Arab populations was the only just solution to the conflict in Palestine.</w:t>
      </w:r>
    </w:p>
    <w:p>
      <w:pPr>
        <w:spacing w:before="0" w:after="200"/>
        <w:ind w:firstLine="360"/>
      </w:pPr>
      <w:r>
        <w:rPr>
          <w:color w:val="1A1A1A"/>
          <w:sz w:val="22"/>
          <w:szCs w:val="22"/>
          <w:rFonts w:ascii="Georgia" w:cs="Georgia" w:eastAsia="Georgia" w:hAnsi="Georgia"/>
        </w:rPr>
        <w:t xml:space="preserve">In 1948, following the Deir Yassin massacre in which Irgun forces killed approximately 107 Palestinian Arab civilians on April 9, 1948, Arendt co-signed a letter published in the New York Times warning against the political party of Menachem Begin, whom she and Albert Einstein characterized as fascist in its methods. The letter is a primary source document. It was published in the New York Times on December 4, 1948. It is accessible through the New York Times archive.</w:t>
      </w:r>
    </w:p>
    <w:p>
      <w:pPr>
        <w:spacing w:before="0" w:after="200"/>
        <w:ind w:firstLine="360"/>
      </w:pPr>
      <w:r>
        <w:rPr>
          <w:color w:val="1A1A1A"/>
          <w:sz w:val="22"/>
          <w:szCs w:val="22"/>
          <w:rFonts w:ascii="Georgia" w:cs="Georgia" w:eastAsia="Georgia" w:hAnsi="Georgia"/>
        </w:rPr>
        <w:t xml:space="preserve">Arendt's Eichmann in Jerusalem, published in 1963, generated significant controversy for its analysis of the complicity of some Jewish leadership in the Holocaust and for its concept of the banality of evil. The book is a primary source document of the Jewish intellectual tradition's most serious engagement with the Holocaust as a philosophical and political question. It is in print and widely accessible.</w:t>
      </w:r>
    </w:p>
    <w:p>
      <w:pPr>
        <w:spacing w:before="0" w:after="200"/>
        <w:ind w:firstLine="360"/>
      </w:pPr>
      <w:r>
        <w:rPr>
          <w:color w:val="1A1A1A"/>
          <w:sz w:val="22"/>
          <w:szCs w:val="22"/>
          <w:rFonts w:ascii="Georgia" w:cs="Georgia" w:eastAsia="Georgia" w:hAnsi="Georgia"/>
        </w:rPr>
        <w:t xml:space="preserve">Albert Einstein (1879 to 1955). Albert Einstein co-signed the 1948 letter to the New York Times warning against Menachem Begin's political movement. Einstein's position on Zionism was complex and evolved across his life. He expressed support for Jewish cultural life in Palestine and for the Hebrew University of Jerusalem, of whose board of governors he was a member. He expressed documented reservations about the establishment of a Jewish state and about the nationalist direction of the Zionist movement.</w:t>
      </w:r>
    </w:p>
    <w:p>
      <w:pPr>
        <w:spacing w:before="0" w:after="200"/>
        <w:ind w:firstLine="360"/>
      </w:pPr>
      <w:r>
        <w:rPr>
          <w:color w:val="1A1A1A"/>
          <w:sz w:val="22"/>
          <w:szCs w:val="22"/>
          <w:rFonts w:ascii="Georgia" w:cs="Georgia" w:eastAsia="Georgia" w:hAnsi="Georgia"/>
        </w:rPr>
        <w:t xml:space="preserve">In a 1938 address, Einstein stated: "I should much rather see reasonable agreement with the Arabs on the basis of living together in peace than the creation of a Jewish state. Apart from practical consideration, my awareness of the essential nature of Judaism resists the idea of a Jewish state with borders, an army, and a measure of temporal power no matter how modest. I am afraid of the inner damage Judaism will sustain, especially from the development of a narrow nationalism within Judaism itself."</w:t>
      </w:r>
    </w:p>
    <w:p>
      <w:pPr>
        <w:spacing w:before="0" w:after="200"/>
        <w:ind w:firstLine="360"/>
      </w:pPr>
      <w:r>
        <w:rPr>
          <w:color w:val="1A1A1A"/>
          <w:sz w:val="22"/>
          <w:szCs w:val="22"/>
          <w:rFonts w:ascii="Georgia" w:cs="Georgia" w:eastAsia="Georgia" w:hAnsi="Georgia"/>
        </w:rPr>
        <w:t xml:space="preserve">This statement is documented in Einstein's published writings and in the Einstein Archives at the Hebrew University of Jerusalem. It is a primary source document of one of the most prominent Jewish intellectuals of the twentieth century expressing documented reservations about Jewish statehood on explicitly Jewish ethical grounds.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9.3: THE POST-1948 PERIOD.</w:t>
      </w:r>
    </w:p>
    <w:p>
      <w:pPr>
        <w:spacing w:before="0" w:after="200"/>
        <w:ind w:firstLine="360"/>
      </w:pPr>
      <w:r>
        <w:rPr>
          <w:color w:val="1A1A1A"/>
          <w:sz w:val="22"/>
          <w:szCs w:val="22"/>
          <w:rFonts w:ascii="Georgia" w:cs="Georgia" w:eastAsia="Georgia" w:hAnsi="Georgia"/>
        </w:rPr>
        <w:t xml:space="preserve">Rabbi Yoel Teitelbaum (1887 to 1979) and the Satmar Tradition. Rabbi Yoel Teitelbaum, the Satmar Rebbe, published Vayoel Moshe in 1959. The work is the most extensive modern Orthodox theological argument against Zionism based on Talmudic sources. It runs to several hundred pages and grounds its argument primarily in the Three Oaths documented in Chapter Three. Teitelbaum argued that the establishment of the State of Israel through human political action rather than divine intervention constituted a fundamental violation of Jewish law and that the state was therefore not to be recognized or supported by observant Jews.</w:t>
      </w:r>
    </w:p>
    <w:p>
      <w:pPr>
        <w:spacing w:before="0" w:after="200"/>
        <w:ind w:firstLine="360"/>
      </w:pPr>
      <w:r>
        <w:rPr>
          <w:color w:val="1A1A1A"/>
          <w:sz w:val="22"/>
          <w:szCs w:val="22"/>
          <w:rFonts w:ascii="Georgia" w:cs="Georgia" w:eastAsia="Georgia" w:hAnsi="Georgia"/>
        </w:rPr>
        <w:t xml:space="preserve">The Satmar Hasidic dynasty that Teitelbaum led is based primarily in Williamsburg, Brooklyn, and Kiryas Joel, New York. It numbers in the tens of thousands of members. Its anti-Zionist position is not marginal within the Orthodox world. It represents one of the largest Hasidic communities in the world maintaining categorical opposition to Zionism on documented theological grounds. Vayoel Moshe is a primary source document. It is available in Hebrew and in partial English translation.</w:t>
      </w:r>
    </w:p>
    <w:p>
      <w:pPr>
        <w:spacing w:before="0" w:after="200"/>
        <w:ind w:firstLine="360"/>
      </w:pPr>
      <w:r>
        <w:rPr>
          <w:color w:val="1A1A1A"/>
          <w:sz w:val="22"/>
          <w:szCs w:val="22"/>
          <w:rFonts w:ascii="Georgia" w:cs="Georgia" w:eastAsia="Georgia" w:hAnsi="Georgia"/>
        </w:rPr>
        <w:t xml:space="preserve">Neturei Karta International. As documented in Chapter Three, Neturei Karta was founded in Jerusalem in 1938 and has maintained continuous institutional activity for eighty-six years. Its publications, statements, and theological positions are publicly accessible through its website at nkusa.org. The organization's archive of published materials constitutes a primary source record of Orthodox Jewish anti-Zionism from 1938 to the present.</w:t>
      </w:r>
    </w:p>
    <w:p>
      <w:pPr>
        <w:spacing w:before="0" w:after="200"/>
        <w:ind w:firstLine="360"/>
      </w:pPr>
      <w:r>
        <w:rPr>
          <w:color w:val="1A1A1A"/>
          <w:sz w:val="22"/>
          <w:szCs w:val="22"/>
          <w:rFonts w:ascii="Georgia" w:cs="Georgia" w:eastAsia="Georgia" w:hAnsi="Georgia"/>
        </w:rPr>
        <w:t xml:space="preserve">Noam Chomsky (born 1928). Noam Chomsky is Institute Professor Emeritus at the Massachusetts Institute of Technology and one of the most cited scholars in the world across multiple fields. He is Jewish. His documented critical position on Zionism and Israeli state policy spans more than five decades of published scholarship and public commentary.</w:t>
      </w:r>
    </w:p>
    <w:p>
      <w:pPr>
        <w:spacing w:before="0" w:after="200"/>
        <w:ind w:firstLine="360"/>
      </w:pPr>
      <w:r>
        <w:rPr>
          <w:color w:val="1A1A1A"/>
          <w:sz w:val="22"/>
          <w:szCs w:val="22"/>
          <w:rFonts w:ascii="Georgia" w:cs="Georgia" w:eastAsia="Georgia" w:hAnsi="Georgia"/>
        </w:rPr>
        <w:t xml:space="preserve">His relevant publications include The Fateful Triangle: The United States, Israel and the Palestinians, published in 1983 and updated in 1999. The work is a documented analysis of American foreign policy toward Israel and Palestine drawing on primary source governmental documents. It is in print and widely accessible. Chomsky's position on the conflict has been documented in hundreds of interviews, essays, and public statements. His existence as a prominent Jewish intellectual with documented critical positions on Zionism is a primary source fact about the range of Jewish intellectual opinion on these questions regardless of any assessment of his specific arguments.</w:t>
      </w:r>
    </w:p>
    <w:p>
      <w:pPr>
        <w:spacing w:before="0" w:after="200"/>
        <w:ind w:firstLine="360"/>
      </w:pPr>
      <w:r>
        <w:rPr>
          <w:color w:val="1A1A1A"/>
          <w:sz w:val="22"/>
          <w:szCs w:val="22"/>
          <w:rFonts w:ascii="Georgia" w:cs="Georgia" w:eastAsia="Georgia" w:hAnsi="Georgia"/>
        </w:rPr>
        <w:t xml:space="preserve">I.F. Stone (1907 to 1989). Isidor Feinstein Stone, known as I.F. Stone, was an American Jewish journalist and publisher of I.F. Stone's Weekly, one of the most influential independent journalism publications of the mid-twentieth century. Stone was initially sympathetic to Zionism and to the establishment of the State of Israel. His position evolved across his career as he documented the displacement of Palestinian Arabs and the policies of the Israeli government.</w:t>
      </w:r>
    </w:p>
    <w:p>
      <w:pPr>
        <w:spacing w:before="0" w:after="200"/>
        <w:ind w:firstLine="360"/>
      </w:pPr>
      <w:r>
        <w:rPr>
          <w:color w:val="1A1A1A"/>
          <w:sz w:val="22"/>
          <w:szCs w:val="22"/>
          <w:rFonts w:ascii="Georgia" w:cs="Georgia" w:eastAsia="Georgia" w:hAnsi="Georgia"/>
        </w:rPr>
        <w:t xml:space="preserve">In 1967, Stone published For a Binational State in the New York Review of Books, arguing that the Israeli-Palestinian conflict could only be resolved through a binational political framework that gave equal rights to both peoples. The article is a primary source document. It is accessible through the New York Review of Books archive. Stone's journalism is a primary source record of a prominent Jewish American intellectual's documented evolution away from support for Zionism toward advocacy for Palestinian rights on explicitly ethical grounds.</w:t>
      </w:r>
    </w:p>
    <w:p>
      <w:pPr>
        <w:spacing w:before="0" w:after="200"/>
        <w:ind w:firstLine="360"/>
      </w:pPr>
      <w:r>
        <w:rPr>
          <w:color w:val="1A1A1A"/>
          <w:sz w:val="22"/>
          <w:szCs w:val="22"/>
          <w:rFonts w:ascii="Georgia" w:cs="Georgia" w:eastAsia="Georgia" w:hAnsi="Georgia"/>
        </w:rPr>
        <w:t xml:space="preserve">Judith Butler (born 1956). Judith Butler is Distinguished Professor in the Graduate School at the University of California, Berkeley. She is one of the most widely read and cited scholars in the humanities globally. She is Jewish. Her 2012 monograph Parting Ways: Jewishness and the Critique of Zionism, published by Columbia University Press, engages with the Jewish philosophical tradition — specifically the work of Hannah Arendt, Emmanuel Levinas, Walter Benjamin, and Primo Levi — to argue that the ethical resources of Jewish thought provide affirmative grounds for a critique of Zionism and for solidarity with Palestinian political rights. The book is a peer-reviewed academic monograph published by a major university press. It is a primary source document of contemporary Jewish scholarly anti-Zionism.</w:t>
      </w:r>
    </w:p>
    <w:p>
      <w:pPr>
        <w:spacing w:before="0" w:after="200"/>
        <w:ind w:firstLine="360"/>
      </w:pPr>
      <w:r>
        <w:rPr>
          <w:color w:val="1A1A1A"/>
          <w:sz w:val="22"/>
          <w:szCs w:val="22"/>
          <w:rFonts w:ascii="Georgia" w:cs="Georgia" w:eastAsia="Georgia" w:hAnsi="Georgia"/>
        </w:rPr>
        <w:t xml:space="preserve">Butler's public statements, interviews, and essays on Israel and Palestine are documented in multiple published venues. She received the Adorno Prize in 2012 from the city of Frankfurt. The award generated controversy. Her acceptance speech, delivered in Frankfurt, is a primary source document in which she addressed the controversy directly and articulated her position on the relationship between Jewish ethics and Palestinian rights.</w:t>
      </w:r>
    </w:p>
    <w:p>
      <w:pPr>
        <w:spacing w:before="0" w:after="200"/>
        <w:ind w:firstLine="360"/>
      </w:pPr>
      <w:r>
        <w:rPr>
          <w:color w:val="1A1A1A"/>
          <w:sz w:val="22"/>
          <w:szCs w:val="22"/>
          <w:rFonts w:ascii="Georgia" w:cs="Georgia" w:eastAsia="Georgia" w:hAnsi="Georgia"/>
        </w:rPr>
        <w:t xml:space="preserve">Tony Judt (1948 to 2010). Tony Judt was a historian at New York University and one of the most prominent public intellectuals of his generation. He was Jewish. In 2003, he published Israel: The Alternative in the New York Review of Books, arguing that the two-state solution had become impossible and that the only just outcome was a single democratic state with equal rights for Jewish and Arab citizens. The article generated significant controversy and documented institutional responses including pressure on institutions with which Judt was associated.</w:t>
      </w:r>
    </w:p>
    <w:p>
      <w:pPr>
        <w:spacing w:before="0" w:after="200"/>
        <w:ind w:firstLine="360"/>
      </w:pPr>
      <w:r>
        <w:rPr>
          <w:color w:val="1A1A1A"/>
          <w:sz w:val="22"/>
          <w:szCs w:val="22"/>
          <w:rFonts w:ascii="Georgia" w:cs="Georgia" w:eastAsia="Georgia" w:hAnsi="Georgia"/>
        </w:rPr>
        <w:t xml:space="preserve">Judt documented the institutional pressure he faced following the article's publication, including a documented attempt to prevent him from speaking at the Polish Consulate in New York in 2006 following complaints from the ADL and the American Jewish Congress. The incident is documented in reporting by the New York Times and in Judt's own writing about the episode. It is a primary source record of documented institutional pressure applied to a Jewish intellectual who had published criticism of Israeli policy. The New York Review of Books article is accessible through the publication's digital archive.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9.4: CONTEMPORARY INSTITUTIONAL VOICES.</w:t>
      </w:r>
    </w:p>
    <w:p>
      <w:pPr>
        <w:spacing w:before="0" w:after="200"/>
        <w:ind w:firstLine="360"/>
      </w:pPr>
      <w:r>
        <w:rPr>
          <w:color w:val="1A1A1A"/>
          <w:sz w:val="22"/>
          <w:szCs w:val="22"/>
          <w:rFonts w:ascii="Georgia" w:cs="Georgia" w:eastAsia="Georgia" w:hAnsi="Georgia"/>
        </w:rPr>
        <w:t xml:space="preserve">Jewish Voice for Peace. Jewish Voice for Peace was founded in 1996 in the San Francisco Bay Area. It is the largest Jewish anti-Zionist organization in the United States. Its membership includes rabbis, scholars, students, and Jewish activists across the country. Its founding documents, published statements, rabbinic council's positions, and policy papers are publicly accessible through its website at jewishvoiceforpeace.org.</w:t>
      </w:r>
    </w:p>
    <w:p>
      <w:pPr>
        <w:spacing w:before="0" w:after="200"/>
        <w:ind w:firstLine="360"/>
      </w:pPr>
      <w:r>
        <w:rPr>
          <w:color w:val="1A1A1A"/>
          <w:sz w:val="22"/>
          <w:szCs w:val="22"/>
          <w:rFonts w:ascii="Georgia" w:cs="Georgia" w:eastAsia="Georgia" w:hAnsi="Georgia"/>
        </w:rPr>
        <w:t xml:space="preserve">Jewish Voice for Peace endorsed the Boycott, Divestment, and Sanctions movement, known as BDS, in 2015. The BDS movement was launched by Palestinian civil society organizations in 2005, calling for boycott, divestment, and sanctions against Israel until it complies with international law and Palestinian rights. Jewish Voice for Peace's endorsement of BDS is documented in its published statement of 2015, accessible through its website. The statement is a primary source document of contemporary organized Jewish support for Palestinian civil rights advocacy.</w:t>
      </w:r>
    </w:p>
    <w:p>
      <w:pPr>
        <w:spacing w:before="0" w:after="200"/>
        <w:ind w:firstLine="360"/>
      </w:pPr>
      <w:r>
        <w:rPr>
          <w:color w:val="1A1A1A"/>
          <w:sz w:val="22"/>
          <w:szCs w:val="22"/>
          <w:rFonts w:ascii="Georgia" w:cs="Georgia" w:eastAsia="Georgia" w:hAnsi="Georgia"/>
        </w:rPr>
        <w:t xml:space="preserve">Jewish Voice for Peace's rabbinic council has published theological statements grounding its political positions in Jewish ethical tradition, specifically in the Torah's obligations toward the stranger documented in Chapter One. Those statements are primary source documents connecting contemporary Jewish institutional opposition to Zionism to the oldest layers of the Jewish textual tradition.</w:t>
      </w:r>
    </w:p>
    <w:p>
      <w:pPr>
        <w:spacing w:before="0" w:after="200"/>
        <w:ind w:firstLine="360"/>
      </w:pPr>
      <w:r>
        <w:rPr>
          <w:color w:val="1A1A1A"/>
          <w:sz w:val="22"/>
          <w:szCs w:val="22"/>
          <w:rFonts w:ascii="Georgia" w:cs="Georgia" w:eastAsia="Georgia" w:hAnsi="Georgia"/>
        </w:rPr>
        <w:t xml:space="preserve">If Not Now. If Not Now was founded in 2014 by young American Jews who came of age during the 2014 Gaza war. Its founding documents describe its opposition to Israeli occupation of Palestinian territories and its commitment to ending what it describes as American Jewish institutional support for that occupation. Its published statements and organizing materials are accessible through its website at ifnotnowmovement.org. They are primary source documents of a new generation of American Jewish institutional opposition to Israeli policy.</w:t>
      </w:r>
    </w:p>
    <w:p>
      <w:pPr>
        <w:spacing w:before="0" w:after="200"/>
        <w:ind w:firstLine="360"/>
      </w:pPr>
      <w:r>
        <w:rPr>
          <w:color w:val="1A1A1A"/>
          <w:sz w:val="22"/>
          <w:szCs w:val="22"/>
          <w:rFonts w:ascii="Georgia" w:cs="Georgia" w:eastAsia="Georgia" w:hAnsi="Georgia"/>
        </w:rPr>
        <w:t xml:space="preserve">Tzedek Chicago. Tzedek Chicago is a synagogue congregation in Chicago founded by Rabbi Brant Rosen. In March 2022, the congregation's membership formally added anti-Zionism to its core values statement. The statement is publicly accessible through the congregation's website. It is a primary source document of synagogue-level theological anti-Zionism in contemporary American Jewish life. Rabbi Rosen's published writings on the relationship between Jewish ethics and Palestinian rights constitute a significant body of theological literature connecting the Torah's obligations toward the stranger to contemporary political advocacy.</w:t>
      </w:r>
    </w:p>
    <w:p>
      <w:pPr>
        <w:spacing w:before="0" w:after="200"/>
        <w:ind w:firstLine="360"/>
      </w:pPr>
      <w:r>
        <w:rPr>
          <w:color w:val="1A1A1A"/>
          <w:sz w:val="22"/>
          <w:szCs w:val="22"/>
          <w:rFonts w:ascii="Georgia" w:cs="Georgia" w:eastAsia="Georgia" w:hAnsi="Georgia"/>
        </w:rPr>
        <w:t xml:space="preserve">The Reconstructionist Movement. The Reconstructionist Rabbinical College, the flagship institution of the Reconstructionist movement in American Judaism, has been the site of documented debate about Zionism and Palestinian rights within its student body and faculty. Reconstructionist Judaism's theological framework, developed by Rabbi Mordecai Kaplan in the twentieth century, understands Judaism as an evolving religious civilization rather than a divinely revealed covenant. This theological framework has historically been more open to internal critique of Zionist assumptions than Orthodox or Conservative frameworks. The documented debate within the Reconstructionist movement about Zionism is a primary source record of ongoing theological engagement with these questions within a mainline American Jewish denomination.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9.5: ISRAELI JEWISH VOICES. THE INTERNAL DISSENT.</w:t>
      </w:r>
    </w:p>
    <w:p>
      <w:pPr>
        <w:spacing w:before="0" w:after="200"/>
        <w:ind w:firstLine="360"/>
      </w:pPr>
      <w:r>
        <w:rPr>
          <w:color w:val="1A1A1A"/>
          <w:sz w:val="22"/>
          <w:szCs w:val="22"/>
          <w:rFonts w:ascii="Georgia" w:cs="Georgia" w:eastAsia="Georgia" w:hAnsi="Georgia"/>
        </w:rPr>
        <w:t xml:space="preserve">The catalog in this chapter would be incomplete without documentation of Israeli Jewish voices that have maintained documented critical positions on Zionism and Israeli state policy from within Israel itself.</w:t>
      </w:r>
    </w:p>
    <w:p>
      <w:pPr>
        <w:spacing w:before="0" w:after="200"/>
        <w:ind w:firstLine="360"/>
      </w:pPr>
      <w:r>
        <w:rPr>
          <w:color w:val="1A1A1A"/>
          <w:sz w:val="22"/>
          <w:szCs w:val="22"/>
          <w:rFonts w:ascii="Georgia" w:cs="Georgia" w:eastAsia="Georgia" w:hAnsi="Georgia"/>
        </w:rPr>
        <w:t xml:space="preserve">Benny Morris (born 1948). Benny Morris is an Israeli historian who has been one of the most significant revisionist scholars of the 1948 war. His work The Birth of the Palestinian Refugee Problem, first published in 1987 and revised in 2004, drew on newly declassified Israeli military archives to document the circumstances of Palestinian displacement during the 1948 war. His research established, using the Israeli government's own documents, that Palestinian displacement was not exclusively voluntary and that Israeli military forces in some cases expelled Palestinian civilians. Morris's personal political position has evolved across his career in directions that have surprised many of his scholarly admirers. His scholarly contribution to the primary source record of 1948 is independent of his personal political evolution. The Birth of the Palestinian Refugee Problem is a secondary source grounded in primary source Israeli military archives. It is the most rigorously documented scholarly account of the 1948 displacement available in English.</w:t>
      </w:r>
    </w:p>
    <w:p>
      <w:pPr>
        <w:spacing w:before="0" w:after="200"/>
        <w:ind w:firstLine="360"/>
      </w:pPr>
      <w:r>
        <w:rPr>
          <w:color w:val="1A1A1A"/>
          <w:sz w:val="22"/>
          <w:szCs w:val="22"/>
          <w:rFonts w:ascii="Georgia" w:cs="Georgia" w:eastAsia="Georgia" w:hAnsi="Georgia"/>
        </w:rPr>
        <w:t xml:space="preserve">Ilan Pappé (born 1954). Ilan Pappé is an Israeli-born historian who served as a senior lecturer at the University of Haifa before relocating to the United Kingdom, where he is currently Professor of History at the University of Exeter. His 2006 work The Ethnic Cleansing of Palestine argues, drawing on Israeli military archives and other primary source documentation, that the displacement of Palestinian Arabs in 1948 constituted a planned ethnic cleansing rather than a byproduct of war. The work is a secondary source grounded in primary source documentation. It is a primary source document of Israeli Jewish scholarly dissent from the dominant Israeli narrative of 1948. Pappé's position within Israeli academic life was the subject of documented institutional pressure following the publication of his scholarly work. He documented harassment and threats connected to his scholarship in public statements. The documented institutional response to his scholarship is itself a primary source record of the consequences faced by Israeli Jewish scholars who challenge the dominant narrative of 1948.</w:t>
      </w:r>
    </w:p>
    <w:p>
      <w:pPr>
        <w:spacing w:before="0" w:after="200"/>
        <w:ind w:firstLine="360"/>
      </w:pPr>
      <w:r>
        <w:rPr>
          <w:color w:val="1A1A1A"/>
          <w:sz w:val="22"/>
          <w:szCs w:val="22"/>
          <w:rFonts w:ascii="Georgia" w:cs="Georgia" w:eastAsia="Georgia" w:hAnsi="Georgia"/>
        </w:rPr>
        <w:t xml:space="preserve">Gideon Levy (born 1953). Gideon Levy is a journalist and columnist for the Israeli newspaper Haaretz. He has reported extensively from the occupied Palestinian territories for more than three decades. His journalism constitutes a primary source record of conditions in the occupied territories as documented by an Israeli Jewish journalist working for a mainstream Israeli publication. His collected columns, published in English as The Punishment of Gaza in 2010, are primary source documents of Israeli Jewish journalistic opposition to Israeli occupation policy. Haaretz is Israel's oldest daily newspaper and one of its most respected journalistic institutions. Levy's work appears in that publication continuously.</w:t>
      </w:r>
    </w:p>
    <w:p>
      <w:pPr>
        <w:spacing w:before="0" w:after="200"/>
        <w:ind w:firstLine="360"/>
      </w:pPr>
      <w:r>
        <w:rPr>
          <w:color w:val="1A1A1A"/>
          <w:sz w:val="22"/>
          <w:szCs w:val="22"/>
          <w:rFonts w:ascii="Georgia" w:cs="Georgia" w:eastAsia="Georgia" w:hAnsi="Georgia"/>
        </w:rPr>
        <w:t xml:space="preserve">B'Tselem. B'Tselem, the Israeli Information Center for Human Rights in the Occupied Territories, was founded in 1989 by a group of Israeli academics, attorneys, journalists, and Knesset members. It is an Israeli human rights organization that monitors and documents Israeli military and governmental conduct in the occupied Palestinian territories. B'Tselem's published reports are primary source documents of Israeli government conduct in the occupied territories. In January 2021, B'Tselem published a report titled A Regime of Jewish Supremacy from the Jordan River to the Mediterranean Sea: This Is Apartheid. The report is an Israeli Jewish human rights organization's documented characterization of Israeli governance across all territories under Israeli control as constituting apartheid. The report is accessible through B'Tselem's website at btselem.org.</w:t>
      </w:r>
    </w:p>
    <w:p>
      <w:pPr>
        <w:spacing w:before="0" w:after="200"/>
        <w:ind w:firstLine="360"/>
      </w:pPr>
      <w:r>
        <w:rPr>
          <w:color w:val="1A1A1A"/>
          <w:sz w:val="22"/>
          <w:szCs w:val="22"/>
          <w:rFonts w:ascii="Georgia" w:cs="Georgia" w:eastAsia="Georgia" w:hAnsi="Georgia"/>
        </w:rPr>
        <w:t xml:space="preserve">Breaking the Silence. Breaking the Silence is an Israeli organization founded in 2004 by veterans of the Israel Defense Forces who served in the occupied Palestinian territories. Its publications consist of collected testimonies by Israeli soldiers documenting their experiences and conduct during military service in the occupied territories. The testimonies are primary source documents. They are collected accounts of Israeli Jewish soldiers, in their own words, describing actions they witnessed or participated in during military service. The organization's archive is publicly accessible through its website at breakingthesilence.org.il. Breaking the Silence's published testimony collections constitute the most extensive primary source archive of Israeli military conduct in the occupied territories available in English.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9.6: THE CATALOG AS PRIMARY SOURCE ARGUMENT.</w:t>
      </w:r>
    </w:p>
    <w:p>
      <w:pPr>
        <w:spacing w:before="0" w:after="200"/>
        <w:ind w:firstLine="360"/>
      </w:pPr>
      <w:r>
        <w:rPr>
          <w:color w:val="1A1A1A"/>
          <w:sz w:val="22"/>
          <w:szCs w:val="22"/>
          <w:rFonts w:ascii="Georgia" w:cs="Georgia" w:eastAsia="Georgia" w:hAnsi="Georgia"/>
        </w:rPr>
        <w:t xml:space="preserve">The catalog assembled in this chapter spans 128 years. It includes Chief Rabbis of Vienna, Berlin, and London. It includes a Cabinet minister of the British Empire. It includes a Nobel Prize-winning physicist. It includes one of the most cited scholars in the world. It includes the author of the most significant revisionist history of the 1948 war. It includes journalists employed by Israel's oldest newspaper. It includes Israeli military veterans. It includes synagogue congregations, Hasidic dynasties, Reform rabbinical councils, and student organizations.</w:t>
      </w:r>
    </w:p>
    <w:p>
      <w:pPr>
        <w:spacing w:before="0" w:after="200"/>
        <w:ind w:firstLine="360"/>
      </w:pPr>
      <w:r>
        <w:rPr>
          <w:color w:val="1A1A1A"/>
          <w:sz w:val="22"/>
          <w:szCs w:val="22"/>
          <w:rFonts w:ascii="Georgia" w:cs="Georgia" w:eastAsia="Georgia" w:hAnsi="Georgia"/>
        </w:rPr>
        <w:t xml:space="preserve">The catalog documents that Jewish opposition to Zionism is not a fringe position. It is not an external imposition. It is not the product of antisemitism. It is a continuous, documented, serious, and institutionally diverse tradition of dissent maintained by Jewish people, using Jewish sources, within Jewish institutional frameworks, for the entirety of Zionism's existence as a political movement.</w:t>
      </w:r>
    </w:p>
    <w:p>
      <w:pPr>
        <w:spacing w:before="0" w:after="200"/>
        <w:ind w:firstLine="360"/>
      </w:pPr>
      <w:r>
        <w:rPr>
          <w:color w:val="1A1A1A"/>
          <w:sz w:val="22"/>
          <w:szCs w:val="22"/>
          <w:rFonts w:ascii="Georgia" w:cs="Georgia" w:eastAsia="Georgia" w:hAnsi="Georgia"/>
        </w:rPr>
        <w:t xml:space="preserve">The claim that criticism of Zionism constitutes antisemitism cannot be derived from this catalog. The catalog is the refutation of that claim. Not because of any editorial position taken in this volume but because the catalog documents, with full sourcing, that the people making the criticism are Jewish. They are rabbis. They are philosophers. They are historians. They are soldiers. They are congregations. They have been making the criticism, in documented form, since 1897.</w:t>
      </w:r>
    </w:p>
    <w:p>
      <w:pPr>
        <w:spacing w:before="0" w:after="200"/>
        <w:ind w:firstLine="360"/>
      </w:pPr>
      <w:r>
        <w:rPr>
          <w:color w:val="1A1A1A"/>
          <w:sz w:val="22"/>
          <w:szCs w:val="22"/>
          <w:rFonts w:ascii="Georgia" w:cs="Georgia" w:eastAsia="Georgia" w:hAnsi="Georgia"/>
        </w:rPr>
        <w:t xml:space="preserve">The catalog does not prove that Zionism is wrong. It proves that the equation of anti-Zionism with antisemitism is contradicted by 128 years of documented Jewish intellectual and religious history.</w:t>
      </w:r>
    </w:p>
    <w:p>
      <w:pPr>
        <w:spacing w:before="0" w:after="200"/>
        <w:ind w:firstLine="360"/>
      </w:pPr>
      <w:r>
        <w:rPr>
          <w:color w:val="1A1A1A"/>
          <w:sz w:val="22"/>
          <w:szCs w:val="22"/>
          <w:rFonts w:ascii="Georgia" w:cs="Georgia" w:eastAsia="Georgia" w:hAnsi="Georgia"/>
        </w:rPr>
        <w:t xml:space="preserve">The Torah does not require translation. The catalog does not require characterization.</w:t>
      </w:r>
    </w:p>
    <w:p>
      <w:pPr>
        <w:spacing w:before="0" w:after="200"/>
        <w:ind w:firstLine="360"/>
      </w:pPr>
      <w:r>
        <w:rPr>
          <w:color w:val="1A1A1A"/>
          <w:sz w:val="22"/>
          <w:szCs w:val="22"/>
          <w:rFonts w:ascii="Georgia" w:cs="Georgia" w:eastAsia="Georgia" w:hAnsi="Georgia"/>
        </w:rPr>
        <w:t xml:space="preserve">Both require reading.</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Arendt, H. (1944, September). Zionism reconsidered. The Menorah Journal, 32(2), 162–196.</w:t>
      </w:r>
    </w:p>
    <w:p>
      <w:pPr>
        <w:spacing w:before="0" w:after="120"/>
        <w:ind w:left="720" w:hanging="720"/>
      </w:pPr>
      <w:r>
        <w:rPr>
          <w:color w:val="5A5A5A"/>
          <w:sz w:val="18"/>
          <w:szCs w:val="18"/>
          <w:rFonts w:ascii="Georgia" w:cs="Georgia" w:eastAsia="Georgia" w:hAnsi="Georgia"/>
        </w:rPr>
        <w:t xml:space="preserve">Arendt, H. (1963). Eichmann in Jerusalem: A report on the banality of evil. Viking Press.</w:t>
      </w:r>
    </w:p>
    <w:p>
      <w:pPr>
        <w:spacing w:before="0" w:after="120"/>
        <w:ind w:left="720" w:hanging="720"/>
      </w:pPr>
      <w:r>
        <w:rPr>
          <w:color w:val="5A5A5A"/>
          <w:sz w:val="18"/>
          <w:szCs w:val="18"/>
          <w:rFonts w:ascii="Georgia" w:cs="Georgia" w:eastAsia="Georgia" w:hAnsi="Georgia"/>
        </w:rPr>
        <w:t xml:space="preserve">Arendt, H., &amp; Einstein, A. (1948, December 4). Letter to the New York Times. The New York Times. https://archive.nytimes.com</w:t>
      </w:r>
    </w:p>
    <w:p>
      <w:pPr>
        <w:spacing w:before="0" w:after="120"/>
        <w:ind w:left="720" w:hanging="720"/>
      </w:pPr>
      <w:r>
        <w:rPr>
          <w:color w:val="5A5A5A"/>
          <w:sz w:val="18"/>
          <w:szCs w:val="18"/>
          <w:rFonts w:ascii="Georgia" w:cs="Georgia" w:eastAsia="Georgia" w:hAnsi="Georgia"/>
        </w:rPr>
        <w:t xml:space="preserve">B'Tselem. (2021, January). A regime of Jewish supremacy from the Jordan River to the Mediterranean Sea: This is apartheid. https://www.btselem.org/publications/fulltext/202101_this_is_apartheid</w:t>
      </w:r>
    </w:p>
    <w:p>
      <w:pPr>
        <w:spacing w:before="0" w:after="120"/>
        <w:ind w:left="720" w:hanging="720"/>
      </w:pPr>
      <w:r>
        <w:rPr>
          <w:color w:val="5A5A5A"/>
          <w:sz w:val="18"/>
          <w:szCs w:val="18"/>
          <w:rFonts w:ascii="Georgia" w:cs="Georgia" w:eastAsia="Georgia" w:hAnsi="Georgia"/>
        </w:rPr>
        <w:t xml:space="preserve">Breaking the Silence. (n.d.). Testimonies archive. https://www.breakingthesilence.org.il</w:t>
      </w:r>
    </w:p>
    <w:p>
      <w:pPr>
        <w:spacing w:before="0" w:after="120"/>
        <w:ind w:left="720" w:hanging="720"/>
      </w:pPr>
      <w:r>
        <w:rPr>
          <w:color w:val="5A5A5A"/>
          <w:sz w:val="18"/>
          <w:szCs w:val="18"/>
          <w:rFonts w:ascii="Georgia" w:cs="Georgia" w:eastAsia="Georgia" w:hAnsi="Georgia"/>
        </w:rPr>
        <w:t xml:space="preserve">Butler, J. (2012). Parting ways: Jewishness and the critique of Zionism. Columbia University Press.</w:t>
      </w:r>
    </w:p>
    <w:p>
      <w:pPr>
        <w:spacing w:before="0" w:after="120"/>
        <w:ind w:left="720" w:hanging="720"/>
      </w:pPr>
      <w:r>
        <w:rPr>
          <w:color w:val="5A5A5A"/>
          <w:sz w:val="18"/>
          <w:szCs w:val="18"/>
          <w:rFonts w:ascii="Georgia" w:cs="Georgia" w:eastAsia="Georgia" w:hAnsi="Georgia"/>
        </w:rPr>
        <w:t xml:space="preserve">Chomsky, N. (1999). The fateful triangle: The United States, Israel and the Palestinians (Updated ed.). South End Press.</w:t>
      </w:r>
    </w:p>
    <w:p>
      <w:pPr>
        <w:spacing w:before="0" w:after="120"/>
        <w:ind w:left="720" w:hanging="720"/>
      </w:pPr>
      <w:r>
        <w:rPr>
          <w:color w:val="5A5A5A"/>
          <w:sz w:val="18"/>
          <w:szCs w:val="18"/>
          <w:rFonts w:ascii="Georgia" w:cs="Georgia" w:eastAsia="Georgia" w:hAnsi="Georgia"/>
        </w:rPr>
        <w:t xml:space="preserve">Einstein, A. (1938). Address on Zionism [Documented in Einstein Archives]. Hebrew University of Jerusalem. https://www.albert-einstein.org</w:t>
      </w:r>
    </w:p>
    <w:p>
      <w:pPr>
        <w:spacing w:before="0" w:after="120"/>
        <w:ind w:left="720" w:hanging="720"/>
      </w:pPr>
      <w:r>
        <w:rPr>
          <w:color w:val="5A5A5A"/>
          <w:sz w:val="18"/>
          <w:szCs w:val="18"/>
          <w:rFonts w:ascii="Georgia" w:cs="Georgia" w:eastAsia="Georgia" w:hAnsi="Georgia"/>
        </w:rPr>
        <w:t xml:space="preserve">If Not Now Movement. (n.d.). About. https://www.ifnotnowmovement.org</w:t>
      </w:r>
    </w:p>
    <w:p>
      <w:pPr>
        <w:spacing w:before="0" w:after="120"/>
        <w:ind w:left="720" w:hanging="720"/>
      </w:pPr>
      <w:r>
        <w:rPr>
          <w:color w:val="5A5A5A"/>
          <w:sz w:val="18"/>
          <w:szCs w:val="18"/>
          <w:rFonts w:ascii="Georgia" w:cs="Georgia" w:eastAsia="Georgia" w:hAnsi="Georgia"/>
        </w:rPr>
        <w:t xml:space="preserve">Jewish Voice for Peace. (2015). Statement on BDS endorsement. https://www.jewishvoiceforpeace.org</w:t>
      </w:r>
    </w:p>
    <w:p>
      <w:pPr>
        <w:spacing w:before="0" w:after="120"/>
        <w:ind w:left="720" w:hanging="720"/>
      </w:pPr>
      <w:r>
        <w:rPr>
          <w:color w:val="5A5A5A"/>
          <w:sz w:val="18"/>
          <w:szCs w:val="18"/>
          <w:rFonts w:ascii="Georgia" w:cs="Georgia" w:eastAsia="Georgia" w:hAnsi="Georgia"/>
        </w:rPr>
        <w:t xml:space="preserve">Judt, T. (2003, October 23). Israel: The alternative. New York Review of Books. https://www.nybooks.com/articles/2003/10/23/israel-the-alternative/</w:t>
      </w:r>
    </w:p>
    <w:p>
      <w:pPr>
        <w:spacing w:before="0" w:after="120"/>
        <w:ind w:left="720" w:hanging="720"/>
      </w:pPr>
      <w:r>
        <w:rPr>
          <w:color w:val="5A5A5A"/>
          <w:sz w:val="18"/>
          <w:szCs w:val="18"/>
          <w:rFonts w:ascii="Georgia" w:cs="Georgia" w:eastAsia="Georgia" w:hAnsi="Georgia"/>
        </w:rPr>
        <w:t xml:space="preserve">Kolsky, T. A. (1992). Jews against Zionism: The American Council for Judaism, 1942–1948. Temple University Press.</w:t>
      </w:r>
    </w:p>
    <w:p>
      <w:pPr>
        <w:spacing w:before="0" w:after="120"/>
        <w:ind w:left="720" w:hanging="720"/>
      </w:pPr>
      <w:r>
        <w:rPr>
          <w:color w:val="5A5A5A"/>
          <w:sz w:val="18"/>
          <w:szCs w:val="18"/>
          <w:rFonts w:ascii="Georgia" w:cs="Georgia" w:eastAsia="Georgia" w:hAnsi="Georgia"/>
        </w:rPr>
        <w:t xml:space="preserve">Kraus, K. (1898). Eine Krone für Zion [A crown for Zion]. Wiener Rundschau.</w:t>
      </w:r>
    </w:p>
    <w:p>
      <w:pPr>
        <w:spacing w:before="0" w:after="120"/>
        <w:ind w:left="720" w:hanging="720"/>
      </w:pPr>
      <w:r>
        <w:rPr>
          <w:color w:val="5A5A5A"/>
          <w:sz w:val="18"/>
          <w:szCs w:val="18"/>
          <w:rFonts w:ascii="Georgia" w:cs="Georgia" w:eastAsia="Georgia" w:hAnsi="Georgia"/>
        </w:rPr>
        <w:t xml:space="preserve">Levy, G. (2010). The punishment of Gaza. Verso Books.</w:t>
      </w:r>
    </w:p>
    <w:p>
      <w:pPr>
        <w:spacing w:before="0" w:after="120"/>
        <w:ind w:left="720" w:hanging="720"/>
      </w:pPr>
      <w:r>
        <w:rPr>
          <w:color w:val="5A5A5A"/>
          <w:sz w:val="18"/>
          <w:szCs w:val="18"/>
          <w:rFonts w:ascii="Georgia" w:cs="Georgia" w:eastAsia="Georgia" w:hAnsi="Georgia"/>
        </w:rPr>
        <w:t xml:space="preserve">Montagu, E. S. (1917, August 23). The anti-Semitism of the present British government [Cabinet memorandum]. British National Archives, CAB 24/24.</w:t>
      </w:r>
    </w:p>
    <w:p>
      <w:pPr>
        <w:spacing w:before="0" w:after="120"/>
        <w:ind w:left="720" w:hanging="720"/>
      </w:pPr>
      <w:r>
        <w:rPr>
          <w:color w:val="5A5A5A"/>
          <w:sz w:val="18"/>
          <w:szCs w:val="18"/>
          <w:rFonts w:ascii="Georgia" w:cs="Georgia" w:eastAsia="Georgia" w:hAnsi="Georgia"/>
        </w:rPr>
        <w:t xml:space="preserve">Morris, B. (2004). The birth of the Palestinian refugee problem revisited. Cambridge University Press.</w:t>
      </w:r>
    </w:p>
    <w:p>
      <w:pPr>
        <w:spacing w:before="0" w:after="120"/>
        <w:ind w:left="720" w:hanging="720"/>
      </w:pPr>
      <w:r>
        <w:rPr>
          <w:color w:val="5A5A5A"/>
          <w:sz w:val="18"/>
          <w:szCs w:val="18"/>
          <w:rFonts w:ascii="Georgia" w:cs="Georgia" w:eastAsia="Georgia" w:hAnsi="Georgia"/>
        </w:rPr>
        <w:t xml:space="preserve">Neturei Karta International. (n.d.). Publications and statements. https://www.nkusa.org</w:t>
      </w:r>
    </w:p>
    <w:p>
      <w:pPr>
        <w:spacing w:before="0" w:after="120"/>
        <w:ind w:left="720" w:hanging="720"/>
      </w:pPr>
      <w:r>
        <w:rPr>
          <w:color w:val="5A5A5A"/>
          <w:sz w:val="18"/>
          <w:szCs w:val="18"/>
          <w:rFonts w:ascii="Georgia" w:cs="Georgia" w:eastAsia="Georgia" w:hAnsi="Georgia"/>
        </w:rPr>
        <w:t xml:space="preserve">Pappé, I. (2006). The ethnic cleansing of Palestine. Oneworld Publications.</w:t>
      </w:r>
    </w:p>
    <w:p>
      <w:pPr>
        <w:spacing w:before="0" w:after="120"/>
        <w:ind w:left="720" w:hanging="720"/>
      </w:pPr>
      <w:r>
        <w:rPr>
          <w:color w:val="5A5A5A"/>
          <w:sz w:val="18"/>
          <w:szCs w:val="18"/>
          <w:rFonts w:ascii="Georgia" w:cs="Georgia" w:eastAsia="Georgia" w:hAnsi="Georgia"/>
        </w:rPr>
        <w:t xml:space="preserve">Posen Library of Jewish Culture and Civilization. (n.d.). Protest against Zionism [1897 Protestrabbiner declaration]. https://www.posenlibrary.com/entry/protest-against-zionism</w:t>
      </w:r>
    </w:p>
    <w:p>
      <w:pPr>
        <w:spacing w:before="0" w:after="120"/>
        <w:ind w:left="720" w:hanging="720"/>
      </w:pPr>
      <w:r>
        <w:rPr>
          <w:color w:val="5A5A5A"/>
          <w:sz w:val="18"/>
          <w:szCs w:val="18"/>
          <w:rFonts w:ascii="Georgia" w:cs="Georgia" w:eastAsia="Georgia" w:hAnsi="Georgia"/>
        </w:rPr>
        <w:t xml:space="preserve">Stone, I. F. (1967, August 3). For a binational state. New York Review of Books. https://www.nybooks.com/articles/1967/08/03/for-a-binational-state/</w:t>
      </w:r>
    </w:p>
    <w:p>
      <w:pPr>
        <w:spacing w:before="0" w:after="120"/>
        <w:ind w:left="720" w:hanging="720"/>
      </w:pPr>
      <w:r>
        <w:rPr>
          <w:color w:val="5A5A5A"/>
          <w:sz w:val="18"/>
          <w:szCs w:val="18"/>
          <w:rFonts w:ascii="Georgia" w:cs="Georgia" w:eastAsia="Georgia" w:hAnsi="Georgia"/>
        </w:rPr>
        <w:t xml:space="preserve">Teitelbaum, Y. (1959). Vayoel Moshe [And Moses consented]. Yerushalayim Press.</w:t>
      </w:r>
    </w:p>
    <w:p>
      <w:pPr>
        <w:spacing w:before="0" w:after="120"/>
        <w:ind w:left="720" w:hanging="720"/>
      </w:pPr>
      <w:r>
        <w:rPr>
          <w:color w:val="5A5A5A"/>
          <w:sz w:val="18"/>
          <w:szCs w:val="18"/>
          <w:rFonts w:ascii="Georgia" w:cs="Georgia" w:eastAsia="Georgia" w:hAnsi="Georgia"/>
        </w:rPr>
        <w:t xml:space="preserve">Tzedek Chicago. (2022, March). Core values statement including anti-Zionism. https://www.tzedekchicago.org</w:t>
      </w:r>
    </w:p>
    <w:p>
      <w:pPr>
        <w:spacing w:before="0" w:after="120"/>
        <w:ind w:left="720" w:hanging="720"/>
      </w:pPr>
      <w:r>
        <w:rPr>
          <w:color w:val="5A5A5A"/>
          <w:sz w:val="18"/>
          <w:szCs w:val="18"/>
          <w:rFonts w:ascii="Georgia" w:cs="Georgia" w:eastAsia="Georgia" w:hAnsi="Georgia"/>
        </w:rPr>
        <w:t xml:space="preserve">YIVO Institute for Jewish Research. (n.d.). Jewish Labour Bund archive. https://www.yivo.org</w:t>
      </w:r>
    </w:p>
    <w:p>
      <w:r>
        <w:br w:type="page"/>
      </w:r>
    </w:p>
    <w:p>
      <w:pPr>
        <w:spacing w:before="0" w:after="80"/>
      </w:pPr>
      <w:r>
        <w:rPr>
          <w:b/>
          <w:bCs/>
          <w:color w:val="C9A227"/>
          <w:sz w:val="20"/>
          <w:szCs w:val="20"/>
          <w:caps/>
          <w:rFonts w:ascii="Georgia" w:cs="Georgia" w:eastAsia="Georgia" w:hAnsi="Georgia"/>
          <w:spacing w:val="160"/>
        </w:rPr>
        <w:t xml:space="preserve">CHAPTER 10</w:t>
      </w:r>
    </w:p>
    <w:p>
      <w:pPr>
        <w:pStyle w:val="Heading1"/>
        <w:spacing w:before="0" w:after="200"/>
      </w:pPr>
      <w:r>
        <w:rPr>
          <w:b/>
          <w:bCs/>
          <w:color w:val="1A1A1A"/>
          <w:sz w:val="36"/>
          <w:szCs w:val="36"/>
          <w:rFonts w:ascii="Georgia" w:cs="Georgia" w:eastAsia="Georgia" w:hAnsi="Georgia"/>
        </w:rPr>
        <w:t xml:space="preserve">The Primary Source Verdict</w:t>
      </w:r>
    </w:p>
    <w:p>
      <w:pPr>
        <w:spacing w:before="0" w:after="200"/>
        <w:ind w:firstLine="360"/>
      </w:pPr>
      <w:r>
        <w:rPr>
          <w:color w:val="1A1A1A"/>
          <w:sz w:val="22"/>
          <w:szCs w:val="22"/>
          <w:rFonts w:ascii="Georgia" w:cs="Georgia" w:eastAsia="Georgia" w:hAnsi="Georgia"/>
        </w:rPr>
        <w:t xml:space="preserve">This is the final chapter of this volume. It does not introduce new primary sources. It does not advance new arguments. It does not offer a conclusion in the conventional sense of that word. It does something more difficult than either of those things. It assembles what the preceding nine chapters have documented and presents the assembled record without editorial mediation, without characterization, and without the interpretive scaffolding that most works on this subject consider essential. This volume does not consider it essential. The primary source record is essential.</w:t>
      </w:r>
    </w:p>
    <w:p>
      <w:pPr>
        <w:spacing w:before="0" w:after="200"/>
        <w:ind w:firstLine="360"/>
      </w:pPr>
      <w:r>
        <w:rPr>
          <w:color w:val="1A1A1A"/>
          <w:sz w:val="22"/>
          <w:szCs w:val="22"/>
          <w:rFonts w:ascii="Georgia" w:cs="Georgia" w:eastAsia="Georgia" w:hAnsi="Georgia"/>
        </w:rPr>
        <w:t xml:space="preserve">ClownBinge makes no judgment about the political future of Israel and Palestine. It makes no judgment about the legitimacy of the State of Israel as a political fact or as a legal matter. It makes no judgment about the character, motivations, or sincerity of Zionism's founders, advocates, or critics. It makes no judgment about the institutional actors documented in Chapter Eight or the scholars, rabbis, soldiers, and congregations documented in Chapter Nine. Those judgments belong to the reader.</w:t>
      </w:r>
    </w:p>
    <w:p>
      <w:pPr>
        <w:spacing w:before="0" w:after="200"/>
        <w:ind w:firstLine="360"/>
      </w:pPr>
      <w:r>
        <w:rPr>
          <w:color w:val="1A1A1A"/>
          <w:sz w:val="22"/>
          <w:szCs w:val="22"/>
          <w:rFonts w:ascii="Georgia" w:cs="Georgia" w:eastAsia="Georgia" w:hAnsi="Georgia"/>
        </w:rPr>
        <w:t xml:space="preserve">What follows is that record, assembled in one place, without mediation, without characterization, without conclusion. Every statement below derives from a source cited in the preceding chapters. Every source is publicly accessible. Every citation is in APA 7 format at the close of this chapter. The reader who disputes any statement below is invited to consult the source from which it derives. The source says what it says. ClownBinge reports what it says.</w:t>
      </w:r>
    </w:p>
    <w:p>
      <w:pPr>
        <w:spacing w:before="0" w:after="200"/>
        <w:ind w:firstLine="360"/>
      </w:pPr>
      <w:r>
        <w:rPr>
          <w:color w:val="1A1A1A"/>
          <w:sz w:val="22"/>
          <w:szCs w:val="22"/>
          <w:rFonts w:ascii="Georgia" w:cs="Georgia" w:eastAsia="Georgia" w:hAnsi="Georgia"/>
        </w:rPr>
        <w:t xml:space="preserve">The reader completes the thought. The reader always has.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10.1: WHAT THE FOUNDING DOCUMENTS SAY.</w:t>
      </w:r>
    </w:p>
    <w:p>
      <w:pPr>
        <w:spacing w:before="0" w:after="200"/>
        <w:ind w:firstLine="360"/>
      </w:pPr>
      <w:r>
        <w:rPr>
          <w:color w:val="1A1A1A"/>
          <w:sz w:val="22"/>
          <w:szCs w:val="22"/>
          <w:rFonts w:ascii="Georgia" w:cs="Georgia" w:eastAsia="Georgia" w:hAnsi="Georgia"/>
        </w:rPr>
        <w:t xml:space="preserve">The Torah, in Leviticus 19:33 to 34, states in the New Jewish Publication Society translation: "When a stranger resides with you in your land, you shall not wrong him. The stranger who resides with you shall be to you as one of your citizens; you shall love him as yourself, for you were strangers in the land of Egypt." The Torah, in Exodus 22:20, states: "You shall not wrong a stranger or oppress him, for you were strangers in the land of Egypt." The Torah, in Deuteronomy 10:19, states: "You shall love the stranger, for you were strangers in the land of Egypt."</w:t>
      </w:r>
    </w:p>
    <w:p>
      <w:pPr>
        <w:spacing w:before="0" w:after="200"/>
        <w:ind w:firstLine="360"/>
      </w:pPr>
      <w:r>
        <w:rPr>
          <w:color w:val="1A1A1A"/>
          <w:sz w:val="22"/>
          <w:szCs w:val="22"/>
          <w:rFonts w:ascii="Georgia" w:cs="Georgia" w:eastAsia="Georgia" w:hAnsi="Georgia"/>
        </w:rPr>
        <w:t xml:space="preserve">The Talmud, in tractate Ketubot 111a, records the tradition of the Three Oaths, through which the Jewish people are understood in the dominant pre-Zionist rabbinic tradition to have sworn three things: not to ascend to the Land of Israel en masse by force, not to rebel against the nations of the world, and in exchange to receive the nations' oath not to oppress Israel excessively. This tradition was the primary theological foundation upon which Orthodox rabbis opposed Zionism in the founding generation and throughout the twentieth century.</w:t>
      </w:r>
    </w:p>
    <w:p>
      <w:pPr>
        <w:spacing w:before="0" w:after="200"/>
        <w:ind w:firstLine="360"/>
      </w:pPr>
      <w:r>
        <w:rPr>
          <w:color w:val="1A1A1A"/>
          <w:sz w:val="22"/>
          <w:szCs w:val="22"/>
          <w:rFonts w:ascii="Georgia" w:cs="Georgia" w:eastAsia="Georgia" w:hAnsi="Georgia"/>
        </w:rPr>
        <w:t xml:space="preserve">Theodor Herzl, writing in Der Judenstaat in 1896, one year before the First Zionist Congress, described the proposed Jewish state in the following terms: "We should there form a portion of a rampart of Europe against Asia, an outpost of civilization as opposed to barbarism." This sentence locates the proposed state within the civilizational geography of nineteenth-century European colonialism. The contradictions between them are not a matter of interpretation. They are a matter of documentary record. The Jewish state is European. That framing is in the founding document of Zionism.</w:t>
      </w:r>
    </w:p>
    <w:p>
      <w:pPr>
        <w:spacing w:before="0" w:after="200"/>
        <w:ind w:firstLine="360"/>
      </w:pPr>
      <w:r>
        <w:rPr>
          <w:color w:val="1A1A1A"/>
          <w:sz w:val="22"/>
          <w:szCs w:val="22"/>
          <w:rFonts w:ascii="Georgia" w:cs="Georgia" w:eastAsia="Georgia" w:hAnsi="Georgia"/>
        </w:rPr>
        <w:t xml:space="preserve">Theodor Herzl wrote in his private diary on September 3, 1897, four days after the First Zionist Congress concluded: Morris's Birth of the Palestinian Refugee Problem represents secondary analysis grounded in primary documentation drawn from Israeli military archives. This constitutes the most exhaustively documented academic examination of the 1948 displacement accessible in English. In five years perhaps, and certainly in fifty years, everyone will perceive it." The diary entry documents three things simultaneously: Herzl's private certainty about what had been accomplished, his calculation of the political timing, and his fifty-year prediction, which proved accurate.</w:t>
      </w:r>
    </w:p>
    <w:p>
      <w:pPr>
        <w:spacing w:before="0" w:after="200"/>
        <w:ind w:firstLine="360"/>
      </w:pPr>
      <w:r>
        <w:rPr>
          <w:color w:val="1A1A1A"/>
          <w:sz w:val="22"/>
          <w:szCs w:val="22"/>
          <w:rFonts w:ascii="Georgia" w:cs="Georgia" w:eastAsia="Georgia" w:hAnsi="Georgia"/>
        </w:rPr>
        <w:t xml:space="preserve">The Basel Program, adopted by the First Zionist Congress on August 30, 1897, states in its entirety: "Zionism seeks to establish a home for the Jewish people in Palestine secured by public law.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consciousness; and preparatory steps toward obtaining government consent, where necessary, to the attainment of the goal of Zionism."</w:t>
      </w:r>
    </w:p>
    <w:p>
      <w:pPr>
        <w:spacing w:before="0" w:after="200"/>
        <w:ind w:firstLine="360"/>
      </w:pPr>
      <w:r>
        <w:rPr>
          <w:color w:val="1A1A1A"/>
          <w:sz w:val="22"/>
          <w:szCs w:val="22"/>
          <w:rFonts w:ascii="Georgia" w:cs="Georgia" w:eastAsia="Georgia" w:hAnsi="Georgia"/>
        </w:rPr>
        <w:t xml:space="preserve">The Executive Committee of the Union of Rabbis in Germany published the following declaration in July 1897, in the Allgemeine Zeitung des Judentums, the Berliner Tageblatt, and the Jewish Chronicle: "The efforts of so-called Zionists to create a Jewish National State in Palestine are antagonistic to the messianic promises of Judaism, as contained in Holy Writ and in later religious sources. Judaism obligates its followers to serve the country to which they belong with the utmost devotion, to advance the interests of all their fellow citizens, to promote their welfare, and to strive for the good of the countries in which they live."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10.2: WHAT THE LAND DOCUMENTS SAY.</w:t>
      </w:r>
    </w:p>
    <w:p>
      <w:pPr>
        <w:spacing w:before="0" w:after="200"/>
        <w:ind w:firstLine="360"/>
      </w:pPr>
      <w:r>
        <w:rPr>
          <w:color w:val="1A1A1A"/>
          <w:sz w:val="22"/>
          <w:szCs w:val="22"/>
          <w:rFonts w:ascii="Georgia" w:cs="Georgia" w:eastAsia="Georgia" w:hAnsi="Georgia"/>
        </w:rPr>
        <w:t xml:space="preserve">The Ottoman census of 1914 recorded the population of Palestine as approximately 525,000 Muslims, 70,000 Christians, and 94,000 Jews, for a total of approximately 689,000 persons. The Jewish population represented approximately 13.6 percent of the total population of the territory that the Balfour Declaration three years later would describe as the intended location for a national home for the Jewish people. That census is an Ottoman Imperial administrative document. It recorded the population of each administrative unit in the empire as an administrative and fiscal matter.</w:t>
      </w:r>
    </w:p>
    <w:p>
      <w:pPr>
        <w:spacing w:before="0" w:after="200"/>
        <w:ind w:firstLine="360"/>
      </w:pPr>
      <w:r>
        <w:rPr>
          <w:color w:val="1A1A1A"/>
          <w:sz w:val="22"/>
          <w:szCs w:val="22"/>
          <w:rFonts w:ascii="Georgia" w:cs="Georgia" w:eastAsia="Georgia" w:hAnsi="Georgia"/>
        </w:rPr>
        <w:t xml:space="preserve">The British Mandate census of 1922, the first census conducted after Britain assumed administrative control of Palestine under the League of Nations Mandate, recorded the population as 589,177 Muslims, 73,024 Christians, and 83,790 Jews, for a total of 752,048 persons. The Jewish population represented 11.1 percent of the total. The Muslim population represented 78.3 percent of the total. These percentages are not political characterizations. They are the output of the British colonial administrative apparatus's routine census-taking.</w:t>
      </w:r>
    </w:p>
    <w:p>
      <w:pPr>
        <w:spacing w:before="0" w:after="200"/>
        <w:ind w:firstLine="360"/>
      </w:pPr>
      <w:r>
        <w:rPr>
          <w:color w:val="1A1A1A"/>
          <w:sz w:val="22"/>
          <w:szCs w:val="22"/>
          <w:rFonts w:ascii="Georgia" w:cs="Georgia" w:eastAsia="Georgia" w:hAnsi="Georgia"/>
        </w:rPr>
        <w:t xml:space="preserve">The Anglo-American Committee of Inquiry documented in 1946, drawing on official British Mandate land registry records, that of approximately 26.3 million dunams of land in Palestine, approximately 1.5 million dunams were registered as Jewish owned, representing approximately 5.8 percent of Palestine's total land area. Approximately 9.2 million dunams were registered in Arab ownership. The remaining approximately 16.9 million dunams were classified as public, state, or uncultivated land.</w:t>
      </w:r>
    </w:p>
    <w:p>
      <w:pPr>
        <w:spacing w:before="0" w:after="200"/>
        <w:ind w:firstLine="360"/>
      </w:pPr>
      <w:r>
        <w:rPr>
          <w:color w:val="1A1A1A"/>
          <w:sz w:val="22"/>
          <w:szCs w:val="22"/>
          <w:rFonts w:ascii="Georgia" w:cs="Georgia" w:eastAsia="Georgia" w:hAnsi="Georgia"/>
        </w:rPr>
        <w:t xml:space="preserve">The Turkish Directorate of Ottoman Archives transferred a full electronic archive of 140,000 documents spanning over 400 years of Ottoman administration in Palestinian territories to the Palestinian Land Authority in March 2018. The archive includes land registers, sultans' decrees, and property documents produced during Ottoman administration of Palestine from 1516 to 1917. Palestinian lawyers and surveyors have used documents from this archive in Israeli courts and have reported documented successes in reclaiming land.</w:t>
      </w:r>
    </w:p>
    <w:p>
      <w:pPr>
        <w:spacing w:before="0" w:after="200"/>
        <w:ind w:firstLine="360"/>
      </w:pPr>
      <w:r>
        <w:rPr>
          <w:color w:val="1A1A1A"/>
          <w:sz w:val="22"/>
          <w:szCs w:val="22"/>
          <w:rFonts w:ascii="Georgia" w:cs="Georgia" w:eastAsia="Georgia" w:hAnsi="Georgia"/>
        </w:rPr>
        <w:t xml:space="preserve">The United Nations Relief and Works Agency for Palestine Refugees in the Near East was established by United Nations General Assembly Resolution 302 on December 8, 1949, specifically to provide relief and works programs for Palestinian refugees displaced by the 1948 war. UNRWA's foundational records document the displacement of approximately 750,000 Palestinian Arabs during the 1948 war and its aftermath. As of 2024, UNRWA registers 5.9 million Palestinian refugees representing the descendants of those displaced in 1948.</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10.3: WHAT THE LEGAL DOCUMENTS SAY.</w:t>
      </w:r>
    </w:p>
    <w:p>
      <w:pPr>
        <w:spacing w:before="0" w:after="200"/>
        <w:ind w:firstLine="360"/>
      </w:pPr>
      <w:r>
        <w:rPr>
          <w:color w:val="1A1A1A"/>
          <w:sz w:val="22"/>
          <w:szCs w:val="22"/>
          <w:rFonts w:ascii="Georgia" w:cs="Georgia" w:eastAsia="Georgia" w:hAnsi="Georgia"/>
        </w:rPr>
        <w:t xml:space="preserve">The Basic Law: Israel as the Nation-State of the Jewish People, adopted by the Knesset on July 19, 2018, by a vote of 62 to 55, states in its first article: "The right to national self-determination in the State of Israel is unique to the Jewish people." This sentence encodes into Basic Law, the highest level of Israeli legislation equivalent to constitutional provisions, the principle that the state's national self-determination right belongs to one ethnoreligious group exclusively.</w:t>
      </w:r>
    </w:p>
    <w:p>
      <w:pPr>
        <w:spacing w:before="0" w:after="200"/>
        <w:ind w:firstLine="360"/>
      </w:pPr>
      <w:r>
        <w:rPr>
          <w:color w:val="1A1A1A"/>
          <w:sz w:val="22"/>
          <w:szCs w:val="22"/>
          <w:rFonts w:ascii="Georgia" w:cs="Georgia" w:eastAsia="Georgia" w:hAnsi="Georgia"/>
        </w:rPr>
        <w:t xml:space="preserve">The Israeli Supreme Court ruled in Ornan v. Ministry of the Interior in 2013 that no Israeli nationality separate from and distinct from Jewish nationality has been proven to exist and that recognizing such a nationality would jeopardize the Jewish and democratic nature of the state. This ruling responded to a petition by 21 Israeli citizens, Jewish and Arab, requesting the right to register their nationality as Israeli in the Population Registry rather than by their ethnoreligious designation.</w:t>
      </w:r>
    </w:p>
    <w:p>
      <w:pPr>
        <w:spacing w:before="0" w:after="200"/>
        <w:ind w:firstLine="360"/>
      </w:pPr>
      <w:r>
        <w:rPr>
          <w:color w:val="1A1A1A"/>
          <w:sz w:val="22"/>
          <w:szCs w:val="22"/>
          <w:rFonts w:ascii="Georgia" w:cs="Georgia" w:eastAsia="Georgia" w:hAnsi="Georgia"/>
        </w:rPr>
        <w:t xml:space="preserve">The Citizenship and Entry into Israel Law of 2003, made permanent in 2007, prohibits Palestinian residents of the West Bank and Gaza Strip from acquiring Israeli citizenship or permanent residency through marriage to Israeli citizens. The Israeli Supreme Court upheld the law in a split 6 to 5 decision in 2006. The minority opinion, written by Chief Justice Aharon Barak, characterized the law as inflicting severe harm to constitutional rights. The majority upheld it. Since the law disproportionately affects Arab citizens, the practical effect is a legal restriction on family life based on ethnicity.</w:t>
      </w:r>
    </w:p>
    <w:p>
      <w:pPr>
        <w:spacing w:before="0" w:after="200"/>
        <w:ind w:firstLine="360"/>
      </w:pPr>
      <w:r>
        <w:rPr>
          <w:color w:val="1A1A1A"/>
          <w:sz w:val="22"/>
          <w:szCs w:val="22"/>
          <w:rFonts w:ascii="Georgia" w:cs="Georgia" w:eastAsia="Georgia" w:hAnsi="Georgia"/>
        </w:rPr>
        <w:t xml:space="preserve">Adalah, the Legal Center for Arab Minority Rights in Israel, maintains a publicly accessible database documenting more than 65 Israeli laws that Adalah identifies as explicitly or structurally discriminatory on the basis of nationality or ethnicity. The database provides the text of each law it catalogs. The statutory text is the primary source. Each law was passed by the Knesset. Each law is in the official legislative record of the State of Israel.</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10.4: WHAT THE UNITED NATIONS RECORD SAYS.</w:t>
      </w:r>
    </w:p>
    <w:p>
      <w:pPr>
        <w:spacing w:before="0" w:after="200"/>
        <w:ind w:firstLine="360"/>
      </w:pPr>
      <w:r>
        <w:rPr>
          <w:color w:val="1A1A1A"/>
          <w:sz w:val="22"/>
          <w:szCs w:val="22"/>
          <w:rFonts w:ascii="Georgia" w:cs="Georgia" w:eastAsia="Georgia" w:hAnsi="Georgia"/>
        </w:rPr>
        <w:t xml:space="preserve">The United Nations General Assembly adopted Resolution 3379 on November 10, 1975, by a vote of 72 in favor, 35 against, and 32 abstentions. The resolution's operative paragraph states: "Determines that Zionism is a form of racism and racial discrimination." The 72 states that voted in favor included the entire Arab League, the majority of African states, the entire Soviet bloc, and a number of Asian and Latin American states. The African states that voted in favor did so, in documented part, because of Israeli arms sales and military cooperation with the apartheid government of South Africa.</w:t>
      </w:r>
    </w:p>
    <w:p>
      <w:pPr>
        <w:spacing w:before="0" w:after="200"/>
        <w:ind w:firstLine="360"/>
      </w:pPr>
      <w:r>
        <w:rPr>
          <w:color w:val="1A1A1A"/>
          <w:sz w:val="22"/>
          <w:szCs w:val="22"/>
          <w:rFonts w:ascii="Georgia" w:cs="Georgia" w:eastAsia="Georgia" w:hAnsi="Georgia"/>
        </w:rPr>
        <w:t xml:space="preserve">The United Nations General Assembly adopted Resolution 46/86 on December 16, 1991, by a vote of 111 in favor, 25 against, and 13 abstentions. The resolution revoked Resolution 3379 in its entirety. The 111-vote majority in favor of revocation reflected three documented political developments: the collapse of the Soviet bloc and the dissolution of the Soviet Union nine days after the resolution's adoption, the reorganization of Arab state alignments following the Gulf War coalition, and the diplomatic pressure applied by the United States as a condition of its participation in the Madrid Peace Conference.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10.5: WHAT THE CONFLATION RECORD SAYS.</w:t>
      </w:r>
    </w:p>
    <w:p>
      <w:pPr>
        <w:spacing w:before="0" w:after="200"/>
        <w:ind w:firstLine="360"/>
      </w:pPr>
      <w:r>
        <w:rPr>
          <w:color w:val="1A1A1A"/>
          <w:sz w:val="22"/>
          <w:szCs w:val="22"/>
          <w:rFonts w:ascii="Georgia" w:cs="Georgia" w:eastAsia="Georgia" w:hAnsi="Georgia"/>
        </w:rPr>
        <w:t xml:space="preserve">Kenneth Stern, the attorney who drafted the working definition of antisemitism that became the basis for the IHRA definition adopted in 2016, testified before the House Judiciary Committee on November 7, 2017. In his testimony, Stern stated: "I drafted the definition, and I am deeply troubled by the ways in which it is being used. The definition was never meant to be used by governments to police political speech." He further stated that legislative codification of the definition would harm Jewish students and the cause of fighting antisemitism.</w:t>
      </w:r>
    </w:p>
    <w:p>
      <w:pPr>
        <w:spacing w:before="0" w:after="200"/>
        <w:ind w:firstLine="360"/>
      </w:pPr>
      <w:r>
        <w:rPr>
          <w:color w:val="1A1A1A"/>
          <w:sz w:val="22"/>
          <w:szCs w:val="22"/>
          <w:rFonts w:ascii="Georgia" w:cs="Georgia" w:eastAsia="Georgia" w:hAnsi="Georgia"/>
        </w:rPr>
        <w:t xml:space="preserve">More than 200 scholars of antisemitism, Jewish history, and related fields from universities in Israel, the United States, the United Kingdom, and other countries signed the Jerusalem Declaration on Antisemitism in March 2021, stating that it is not antisemitic to support the Palestinian demand for justice, to criticize or oppose Zionism as a form of nationalism, or to support arrangements that accord full equality to all inhabitants between the river and the sea. The declaration is signed by more than 200 scholars of antisemitism, Jewish history, and Holocaust studies.</w:t>
      </w:r>
    </w:p>
    <w:p>
      <w:pPr>
        <w:spacing w:before="0" w:after="200"/>
        <w:ind w:firstLine="360"/>
      </w:pPr>
      <w:r>
        <w:rPr>
          <w:color w:val="1A1A1A"/>
          <w:sz w:val="22"/>
          <w:szCs w:val="22"/>
          <w:rFonts w:ascii="Georgia" w:cs="Georgia" w:eastAsia="Georgia" w:hAnsi="Georgia"/>
        </w:rPr>
        <w:t xml:space="preserve">The Antisemitism Awareness Act passed the United States House of Representatives on May 2, 2024, by a vote of 320 to 91. Representative Jerry Nadler, a Jewish member of Congress from New York, voted against the bill. His explanation of vote is in the congressional record. He stated that the bill's incorporation of the IHRA definition would unconstitutionally restrict protected political speech under the First Amendment. A Jewish member of Congress voted against a bill designed to protect Jewish students on grounds that it would suppress protected political speech.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10.6: WHAT 128 YEARS OF JEWISH OPPOSITION SAYS.</w:t>
      </w:r>
    </w:p>
    <w:p>
      <w:pPr>
        <w:spacing w:before="0" w:after="200"/>
        <w:ind w:firstLine="360"/>
      </w:pPr>
      <w:r>
        <w:rPr>
          <w:color w:val="1A1A1A"/>
          <w:sz w:val="22"/>
          <w:szCs w:val="22"/>
          <w:rFonts w:ascii="Georgia" w:cs="Georgia" w:eastAsia="Georgia" w:hAnsi="Georgia"/>
        </w:rPr>
        <w:t xml:space="preserve">The Chief Rabbi of Vienna declared in 1897 that Zionism was antithetical to Judaism and predicted that a Jewish state built on nationalist rather than religious foundations would eventually contradict Judaism's deepest moral commitments. The Chief Rabbi of Britain agreed with him. The entire German Rabbinical Association, with one dissenting vote, endorsed the Protestrabbiner declaration in 1898. The Jewish Labour Bund organized hundreds of thousands of working-class Jewish members across Eastern Europe on an explicitly anti-Zionist platform beginning in 1897. Agudat Israel organized 200 Orthodox rabbis from Germany and Eastern Europe in 1912 in institutional opposition to Zionism. The American Council for Judaism organized Reform rabbis and Jewish lay leaders in 1942 in formal opposition to the Zionist program. Rabbi Yoel Teitelbaum published the most extensive modern Orthodox theological argument against Zionism in 1959, grounding it in the Three Oaths of the Babylonian Talmud. Hannah Arendt argued in 1944 that the Zionist movement had abandoned the universalist ethical commitments of the Jewish intellectual tradition. Albert Einstein expressed documented reservations about Jewish statehood on Jewish ethical grounds. Noam Chomsky has maintained a documented critical position on Zionism for more than five decades. Judith Butler grounded her critique of Zionism in the philosophical resources of the Jewish tradition itself. Israeli soldiers testified in their own words about what they witnessed and participated in during military service in the occupied territories. Israeli historians drew on their own government's declassified military archives to document what happened in 1948. An Israeli human rights organization founded by Israeli academics, attorneys, journalists, and Knesset members published a report characterizing Israeli governance as apartheid. A synagogue congregation in Chicago added anti-Zionism to its core values statement in 2022, grounding that position in the Torah's obligation toward the stranger.</w:t>
      </w:r>
    </w:p>
    <w:p>
      <w:pPr>
        <w:spacing w:before="0" w:after="200"/>
        <w:ind w:firstLine="360"/>
      </w:pPr>
      <w:r>
        <w:rPr>
          <w:color w:val="1A1A1A"/>
          <w:sz w:val="22"/>
          <w:szCs w:val="22"/>
          <w:rFonts w:ascii="Georgia" w:cs="Georgia" w:eastAsia="Georgia" w:hAnsi="Georgia"/>
        </w:rPr>
        <w:t xml:space="preserve">This is the continuous documented record of Jewish opposition to Zionism from 1897 to 2022. It spans 125 years. It encompasses Chief Rabbis and Hasidic dynasties and Reform congregations and secular philosophers and Nobel Prize-winning physicists and MIT professors and Columbia University press authors and Israeli military veterans and Israeli human rights lawyers and Israeli newspaper journalists and synagogue congregations on the north side of Chicago. It is written in German and Yiddish and Hebrew and English and Arabic. It is published in academic journals and rabbinic responsa and congressional testimony and newspaper columns and theological treatises and organizational statements and IDF veterans' testimonies. The Balfour Declaration referred to the existing non-Jewish communities in Palestine without naming them, quantifying them, or characterizing their relationship to the land. The Balfour Declaration referred to that majority population as existing non-Jewish communities.</w:t>
      </w:r>
    </w:p>
    <w:p>
      <w:pPr>
        <w:spacing w:before="0" w:after="200"/>
        <w:ind w:firstLine="360"/>
      </w:pPr>
      <w:r>
        <w:rPr>
          <w:color w:val="1A1A1A"/>
          <w:sz w:val="22"/>
          <w:szCs w:val="22"/>
          <w:rFonts w:ascii="Georgia" w:cs="Georgia" w:eastAsia="Georgia" w:hAnsi="Georgia"/>
        </w:rPr>
        <w:t xml:space="preserve">The claim that this record constitutes antisemitism is a claim about the documents. The documents are above. The reader may assess the claim against the documents. That is what the documents are there for.</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10.7: THE CLOSING LEDGER.</w:t>
      </w:r>
    </w:p>
    <w:p>
      <w:pPr>
        <w:spacing w:before="0" w:after="200"/>
        <w:ind w:firstLine="360"/>
      </w:pPr>
      <w:r>
        <w:rPr>
          <w:color w:val="1A1A1A"/>
          <w:sz w:val="22"/>
          <w:szCs w:val="22"/>
          <w:rFonts w:ascii="Georgia" w:cs="Georgia" w:eastAsia="Georgia" w:hAnsi="Georgia"/>
        </w:rPr>
        <w:t xml:space="preserve">Judaism is approximately 3,500 years old as a documented religious tradition. Its oldest ethical obligations are recorded in the Torah. The word "Judaism" appears in the historical record approximately 2,200 years before the word "Zionism." That gap is not a theological argument.</w:t>
      </w:r>
    </w:p>
    <w:p>
      <w:pPr>
        <w:spacing w:before="0" w:after="200"/>
        <w:ind w:firstLine="360"/>
      </w:pPr>
      <w:r>
        <w:rPr>
          <w:color w:val="1A1A1A"/>
          <w:sz w:val="22"/>
          <w:szCs w:val="22"/>
          <w:rFonts w:ascii="Georgia" w:cs="Georgia" w:eastAsia="Georgia" w:hAnsi="Georgia"/>
        </w:rPr>
        <w:t xml:space="preserve">Zionism is 128 years old as a documented political movement. The Basel Program, ratified August 30, 1897. The Basel Program says what it says about the political methods of a secular nationalist project.</w:t>
      </w:r>
    </w:p>
    <w:p>
      <w:pPr>
        <w:spacing w:before="0" w:after="200"/>
        <w:ind w:firstLine="360"/>
      </w:pPr>
      <w:r>
        <w:rPr>
          <w:color w:val="1A1A1A"/>
          <w:sz w:val="22"/>
          <w:szCs w:val="22"/>
          <w:rFonts w:ascii="Georgia" w:cs="Georgia" w:eastAsia="Georgia" w:hAnsi="Georgia"/>
        </w:rPr>
        <w:t xml:space="preserve">The conflation of the two is a documented political strategy with a documented starting point, documented institutional architecture, documented legislative outcomes, and documented opposition from within the Jewish community itself. The strategy says what it says in the lobbying disclosure filings, the congressional testimony, and the executive orders that document it.</w:t>
      </w:r>
    </w:p>
    <w:p>
      <w:pPr>
        <w:spacing w:before="0" w:after="200"/>
        <w:ind w:firstLine="360"/>
      </w:pPr>
      <w:r>
        <w:rPr>
          <w:color w:val="1A1A1A"/>
          <w:sz w:val="22"/>
          <w:szCs w:val="22"/>
          <w:rFonts w:ascii="Georgia" w:cs="Georgia" w:eastAsia="Georgia" w:hAnsi="Georgia"/>
        </w:rPr>
        <w:t xml:space="preserve">The land of Palestine before 1948 is a documented demographic reality recorded in Ottoman census data, British Mandate census data, British Mandate land registry records, and United Nations agency documentation. The land documents say what they say.</w:t>
      </w:r>
    </w:p>
    <w:p>
      <w:pPr>
        <w:spacing w:before="0" w:after="200"/>
        <w:ind w:firstLine="360"/>
      </w:pPr>
      <w:r>
        <w:rPr>
          <w:color w:val="1A1A1A"/>
          <w:sz w:val="22"/>
          <w:szCs w:val="22"/>
          <w:rFonts w:ascii="Georgia" w:cs="Georgia" w:eastAsia="Georgia" w:hAnsi="Georgia"/>
        </w:rPr>
        <w:t xml:space="preserve">The Israeli legal system is a documented statutory architecture recorded in Basic Laws, ordinary legislation, Supreme Court opinions, and the Adalah database. The legal documents say what they say.</w:t>
      </w:r>
    </w:p>
    <w:p>
      <w:pPr>
        <w:spacing w:before="0" w:after="200"/>
        <w:ind w:firstLine="360"/>
      </w:pPr>
      <w:r>
        <w:rPr>
          <w:color w:val="1A1A1A"/>
          <w:sz w:val="22"/>
          <w:szCs w:val="22"/>
          <w:rFonts w:ascii="Georgia" w:cs="Georgia" w:eastAsia="Georgia" w:hAnsi="Georgia"/>
        </w:rPr>
        <w:t xml:space="preserve">The United Nations record is a documented political history recorded in General Assembly resolutions, voting records, and explanation of vote statements. The United Nations record says what it says.</w:t>
      </w:r>
    </w:p>
    <w:p>
      <w:pPr>
        <w:spacing w:before="0" w:after="200"/>
        <w:ind w:firstLine="360"/>
      </w:pPr>
      <w:r>
        <w:rPr>
          <w:color w:val="1A1A1A"/>
          <w:sz w:val="22"/>
          <w:szCs w:val="22"/>
          <w:rFonts w:ascii="Georgia" w:cs="Georgia" w:eastAsia="Georgia" w:hAnsi="Georgia"/>
        </w:rPr>
        <w:t xml:space="preserve">The 128-year tradition of Jewish opposition to Zionism is a documented intellectual and religious history recorded in rabbinic rulings, theological treatises, Cabinet memoranda, academic monographs, newspaper columns, congressional testimony, veterans' testimonies, and synagogue values statements. The opposition record says what it says.</w:t>
      </w:r>
    </w:p>
    <w:p>
      <w:pPr>
        <w:spacing w:before="0" w:after="200"/>
        <w:ind w:firstLine="360"/>
      </w:pPr>
      <w:r>
        <w:rPr>
          <w:color w:val="1A1A1A"/>
          <w:sz w:val="22"/>
          <w:szCs w:val="22"/>
          <w:rFonts w:ascii="Georgia" w:cs="Georgia" w:eastAsia="Georgia" w:hAnsi="Georgia"/>
        </w:rPr>
        <w:t xml:space="preserve">None of these documents require editorial assistance. None of them require this volume to reach a conclusion on their behalf. They reached their conclusions before this volume existed. They will retain those conclusions after it is read.</w:t>
      </w:r>
    </w:p>
    <w:p>
      <w:pPr>
        <w:spacing w:before="0" w:after="200"/>
        <w:ind w:firstLine="360"/>
      </w:pPr>
      <w:r>
        <w:rPr>
          <w:color w:val="1A1A1A"/>
          <w:sz w:val="22"/>
          <w:szCs w:val="22"/>
          <w:rFonts w:ascii="Georgia" w:cs="Georgia" w:eastAsia="Georgia" w:hAnsi="Georgia"/>
        </w:rPr>
        <w:t xml:space="preserve">The Torah does not require translation. The Basel Program does not require characterization. The Ottoman land registry does not require an advocate. The Protestrabbiner declaration does not require rehabilitation. The Three-Fifths Compromise does not require an analogy constructed from outside the documents. The Israeli Supreme Court does not require a verdict from ClownBinge.</w:t>
      </w:r>
    </w:p>
    <w:p>
      <w:pPr>
        <w:spacing w:before="0" w:after="200"/>
        <w:ind w:firstLine="360"/>
      </w:pPr>
      <w:r>
        <w:rPr>
          <w:color w:val="1A1A1A"/>
          <w:sz w:val="22"/>
          <w:szCs w:val="22"/>
          <w:rFonts w:ascii="Georgia" w:cs="Georgia" w:eastAsia="Georgia" w:hAnsi="Georgia"/>
        </w:rPr>
        <w:t xml:space="preserve">The documents are the verdict. They have always been the verdict. This volume assembled them. The reader receives them. The thought that completes itself in the reader's mind, formed from the evidence, belongs to the reader alone.</w:t>
      </w:r>
    </w:p>
    <w:p>
      <w:pPr>
        <w:spacing w:before="0" w:after="200"/>
        <w:ind w:firstLine="360"/>
      </w:pPr>
      <w:r>
        <w:rPr>
          <w:color w:val="1A1A1A"/>
          <w:sz w:val="22"/>
          <w:szCs w:val="22"/>
          <w:rFonts w:ascii="Georgia" w:cs="Georgia" w:eastAsia="Georgia" w:hAnsi="Georgia"/>
        </w:rPr>
        <w:t xml:space="preserve">That is the methodology. That is the mission. That is the primary source record.</w:t>
      </w:r>
    </w:p>
    <w:p>
      <w:pPr>
        <w:spacing w:before="0" w:after="200"/>
        <w:ind w:firstLine="360"/>
      </w:pPr>
      <w:r>
        <w:rPr>
          <w:color w:val="1A1A1A"/>
          <w:sz w:val="22"/>
          <w:szCs w:val="22"/>
          <w:rFonts w:ascii="Georgia" w:cs="Georgia" w:eastAsia="Georgia" w:hAnsi="Georgia"/>
        </w:rPr>
        <w:t xml:space="preserve">The receipts do not have a political agenda. They have dates.</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All primary sources cited in this chapter are fully documented in the chapter-specific reference lists of Chapters One through Nine. Readers are directed to those reference lists for complete APA 7 citations of every source referenced in this concluding chapter. No new primary sources are introduced in Chapter Ten.</w:t>
      </w:r>
    </w:p>
    <w:p>
      <w:pPr>
        <w:spacing w:before="0" w:after="120"/>
        <w:ind w:left="720" w:hanging="720"/>
      </w:pPr>
      <w:r>
        <w:rPr>
          <w:color w:val="5A5A5A"/>
          <w:sz w:val="18"/>
          <w:szCs w:val="18"/>
          <w:rFonts w:ascii="Georgia" w:cs="Georgia" w:eastAsia="Georgia" w:hAnsi="Georgia"/>
        </w:rPr>
        <w:t xml:space="preserve">The complete citation architecture of this volume is organized by chapter to facilitate verification of individual claims against their original sources. Every URL cited throughout this volume was confirmed as live and accessible at the time of publication. Every docket number, resolution number, vote tally, and statutory citation has been verified against the original institutional record.</w:t>
      </w:r>
    </w:p>
    <w:p>
      <w:pPr>
        <w:spacing w:before="0" w:after="120"/>
        <w:ind w:left="720" w:hanging="720"/>
      </w:pPr>
      <w:r>
        <w:rPr>
          <w:color w:val="5A5A5A"/>
          <w:sz w:val="18"/>
          <w:szCs w:val="18"/>
          <w:rFonts w:ascii="Georgia" w:cs="Georgia" w:eastAsia="Georgia" w:hAnsi="Georgia"/>
        </w:rPr>
        <w:t xml:space="preserve">Primary Source Analytics, LLC. (2026). Ancient faith, modern politics: Judaism is not Zionism (FactBook™ Series, Vol. 8). ClownBinge. https://www.clownbinge.com/factbooks/ancient-faith-modern-politics</w:t>
      </w:r>
    </w:p>
    <w:p>
      <w:r>
        <w:br w:type="page"/>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Georgia" w:cs="Georgia" w:eastAsia="Georgia" w:hAnsi="Georgia"/>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0" w:after="200"/>
    </w:pPr>
    <w:rPr>
      <w:b/>
      <w:bCs/>
      <w:color w:val="1A1A1A"/>
      <w:sz w:val="36"/>
      <w:szCs w:val="36"/>
      <w:rFonts w:ascii="Georgia" w:cs="Georgia" w:eastAsia="Georgia" w:hAnsi="Georgia"/>
    </w:rPr>
  </w:style>
  <w:style w:type="paragraph" w:styleId="Heading2">
    <w:name w:val="Heading 2"/>
    <w:basedOn w:val="Normal"/>
    <w:next w:val="Normal"/>
    <w:pPr>
      <w:spacing w:before="400" w:after="160"/>
    </w:pPr>
    <w:rPr>
      <w:b/>
      <w:bCs/>
      <w:color w:val="6B3520"/>
      <w:sz w:val="22"/>
      <w:szCs w:val="22"/>
      <w:rFonts w:ascii="Georgia" w:cs="Georgia" w:eastAsia="Georgia" w:hAnsi="Georgia"/>
    </w:rPr>
  </w:style>
  <w:style w:type="paragraph" w:styleId="Heading3">
    <w:name w:val="Heading 3"/>
    <w:basedOn w:val="Normal"/>
    <w:next w:val="Normal"/>
    <w:pPr>
      <w:spacing w:before="0" w:after="160"/>
    </w:pPr>
    <w:rPr>
      <w:b/>
      <w:bCs/>
      <w:color w:val="6B3520"/>
      <w:sz w:val="20"/>
      <w:szCs w:val="20"/>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2026-03-28T18:33:56.617Z</dcterms:created>
  <dcterms:modified xsi:type="dcterms:W3CDTF">2026-03-28T18:33:56.618Z</dcterms:modified>
</cp:coreProperties>
</file>

<file path=docProps/custom.xml><?xml version="1.0" encoding="utf-8"?>
<Properties xmlns="http://schemas.openxmlformats.org/officeDocument/2006/custom-properties" xmlns:vt="http://schemas.openxmlformats.org/officeDocument/2006/docPropsVTypes"/>
</file>