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SHPËRNDARJES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Furnizuesi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Shpërndarësi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territorin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Furnizuesit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promovuese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asistencë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Shpërndarësit</w:t>
      </w:r>
    </w:p>
    <w:p>
      <w:pPr>
        <w:jc w:val="both"/>
      </w:pPr>
      <w:r>
        <w:rPr/>
        <w:t xml:space="preserve">Shpërndarësi pranon të promovojë, të shpërndajë dhe të shesë produktet në përputhje me strategjitë e marketingut të përcaktuara nga Furnizuesi. Shpërndarësi do të mbajë stokun e mjaftueshëm dhe do të sigurojë që produktet të jenë të disponueshme për klientët në çdo kohë.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Menaxhimi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Stokut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stokut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ri-furnizim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ri-furnizimin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stokut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Promovimi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Marketingu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promovuese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panairet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reklamat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Kthimet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zëvendësojë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Markës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promovojë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territoret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Ekskluziviteti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territor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njëjtin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territor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Ruajtjen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Produktit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përshtatshme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papërshtatshme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Furnizuesin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2025-08-31T01:56:41+00:00</dcterms:created>
  <dcterms:modified xsi:type="dcterms:W3CDTF">2025-08-31T01:56:41+00:00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