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b w:val="1"/>
          <w:bCs w:val="1"/>
        </w:rPr>
        <w:t xml:space="preserve">Për: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GjykatënThemelore në __________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Departamenti për Krime të Rënda</w:t>
      </w:r>
      <w:r>
        <w:rPr/>
        <w:t xml:space="preserve">	 </w:t>
      </w:r>
      <w:r>
        <w:rPr>
          <w:rFonts w:ascii="Garamond" w:hAnsi="Garamond" w:eastAsia="Garamond" w:cs="Garamond"/>
          <w:b w:val="1"/>
          <w:bCs w:val="1"/>
        </w:rPr>
        <w:t xml:space="preserve">_____:______</w:t>
      </w:r>
      <w:br/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Nga:</w:t>
      </w:r>
    </w:p>
    <w:p>
      <w:pPr>
        <w:jc w:val="both"/>
      </w:pPr>
      <w:r>
        <w:rPr>
          <w:rFonts w:ascii="Garamond" w:hAnsi="Garamond" w:eastAsia="Garamond" w:cs="Garamond"/>
          <w:b w:val="1"/>
          <w:bCs w:val="1"/>
        </w:rPr>
        <w:t xml:space="preserve">I pandehuri _____________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</w:rPr>
        <w:t xml:space="preserve">Pas mbajtjes së shqyrtimit fillestar me datë _________ në Gjykatën Themelore në _______, në çështjen penale sipas aktakuzës PP.I.nr.__/____ të datës ______ të Prokurorisë Themelore _____– Departamenti i Krimeve të Rënda, kundër të pandehurit ____ për shkak të veprës _____________________________ nga neni __ parag.__ të KPRK-së, mbështetur në nenin 243 të Kodit të Procedurës Penale të Republikës së Kosovës, brenda afatit ligjor, parashtroj ketë:</w:t>
      </w:r>
    </w:p>
    <w:p>
      <w:pPr>
        <w:jc w:val="both"/>
      </w:pPr>
    </w:p>
    <w:p>
      <w:pPr>
        <w:jc w:val="both"/>
      </w:pPr>
    </w:p>
    <w:p>
      <w:pPr>
        <w:jc w:val="center"/>
      </w:pPr>
      <w:r>
        <w:rPr>
          <w:rFonts w:ascii="Garamond" w:hAnsi="Garamond" w:eastAsia="Garamond" w:cs="Garamond"/>
          <w:b w:val="1"/>
          <w:bCs w:val="1"/>
          <w:u w:val="single"/>
        </w:rPr>
        <w:t xml:space="preserve">Kundërshtim të Provave </w:t>
      </w:r>
    </w:p>
    <w:p>
      <w:pPr>
        <w:jc w:val="center"/>
      </w:pP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Kundërshtimi i provave, mbi bazën e nenit 243 par.1.1. provat nuk janë marrë në mënyrë të ligjshme nga policia, prokurori i shtetit ose organi tjetër qeveritar 1.2 sepse provat janë në kundërshtim me rregullat nga Kapitulli XVII të KPPRK-së.</w:t>
      </w:r>
    </w:p>
    <w:p>
      <w:pPr>
        <w:jc w:val="both"/>
      </w:pP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Në vijim duhet të paraqitën faktet të cilat dëshmojnë se provat janë marrë në kundërshtim me ligjin. </w:t>
      </w:r>
    </w:p>
    <w:p>
      <w:pPr>
        <w:jc w:val="both"/>
      </w:pPr>
      <w:r>
        <w:rPr>
          <w:rFonts w:ascii="Garamond" w:hAnsi="Garamond" w:eastAsia="Garamond" w:cs="Garamond"/>
          <w:color w:val="000000"/>
          <w:sz w:val="24"/>
          <w:szCs w:val="24"/>
        </w:rPr>
        <w:t xml:space="preserve">P.sh.: </w:t>
      </w:r>
    </w:p>
    <w:p>
      <w:pPr>
        <w:jc w:val="both"/>
      </w:pPr>
      <w:r>
        <w:rPr>
          <w:rFonts w:ascii="Garamond" w:hAnsi="Garamond" w:eastAsia="Garamond" w:cs="Garamond"/>
          <w:color w:val="000000"/>
          <w:sz w:val="24"/>
          <w:szCs w:val="24"/>
        </w:rPr>
        <w:t xml:space="preserve">- Në bazë të nenit 104 të KPPRK-së [Kufizimet në ekzekutimin e urdhërkontrollit] përcaktohet se: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‘’Zyrtarët e autorizuar të policisë e ekzekutojnë urdhërkontrollin brenda orës 06:00 dhe 22:00.’’ 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Ligji parasheh edhe rastet kur kemi përjashtim të ekzekutimit të urdhërkontrollit jashtë këtij orari që parashihen me parag.4 të po të njejtën dispozitë, dhe atë kur: “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4.1. ka filluar brenda kësaj kohe e nuk është përfunduar në orën 22:00”. 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Ndërsa marrja e provave është e kundërligjshme nëse ato janë marrë në kundërshtim me dispozitat e lartëcekura, p.sh.: kur kontrolli në shtëpinë e të pandehurit është filluar pas orës 22:00, dhe kjo mund të provohet apo është në vetë shkresat e policisë.</w:t>
      </w:r>
    </w:p>
    <w:p>
      <w:pPr>
        <w:jc w:val="both"/>
      </w:pP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dispozitë tjetër me rëndësi është neni 108 i KPPRKS-së, ku përcaktohet se “</w:t>
      </w: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4.2. kontrolli bëhet sipas nenit 108 të këtij Kodi” - </w:t>
      </w: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nëse i referohemi këtij neni lidhur me arsyet e kontrollit pa urdhër të gjykatës, atëherë ky nen përcakton disa raste kur lejohet kontrolli i tillë, e që janë: </w:t>
      </w: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personi jep pëlqim vullnetarisht për kontroll; personi thërret për ndihmë; kryesi kapet në flagrancë; kur mbrohet dëmi serioz; për të parandaluar asgjësimin e provave; personi ka urdhërarrest nga gjykata.” </w:t>
      </w:r>
      <w:r>
        <w:rPr/>
        <w:t xml:space="preserve"> 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Në kundërshtim me këto përcaktime ligjore është nëse kontrolli pa urdhër të gjykatës është bërë derisa nuk kanë ekzistuar asnjëra nga rrethanat që i parsheh ligji dhe do të legjitimonete kontrollin në shtëpinë apo objektet e të pandehurit. Kjo e bën të kundërligjshme marrjen e provave.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color w:val="000000"/>
          <w:sz w:val="24"/>
          <w:szCs w:val="24"/>
        </w:rPr>
        <w:t xml:space="preserve">Andaj çdo provë e bashkangjitur në dosjen e lëndës, është provë e papranueshme, derisa  janë siguruar duke mos respektuar dispozitat ligjore të përcaktuara shumë qartë nga Kodi i Procedurës Penale të Kosovës lidhur me kontrollin.  Andaj konsiderohet se në këto raste kemi të bëjmë me prova të papranueshme, mbështetur në nenin 109 të KPPRK-së, ku përcaktohet [Papranueshmëria e provave të marra gjatë kontrollit], respektivisht se 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‘’Provat e marra gjatë kontrollit </w:t>
      </w:r>
      <w:r>
        <w:rPr>
          <w:rFonts w:ascii="Garamond" w:hAnsi="Garamond" w:eastAsia="Garamond" w:cs="Garamond"/>
          <w:color w:val="000000"/>
          <w:sz w:val="24"/>
          <w:szCs w:val="24"/>
          <w:b w:val="1"/>
          <w:bCs w:val="1"/>
          <w:i w:val="1"/>
          <w:iCs w:val="1"/>
        </w:rPr>
        <w:t xml:space="preserve">janë të papranueshme</w:t>
      </w:r>
      <w:r>
        <w:rPr>
          <w:rFonts w:ascii="Garamond" w:hAnsi="Garamond" w:eastAsia="Garamond" w:cs="Garamond"/>
          <w:color w:val="000000"/>
          <w:sz w:val="24"/>
          <w:szCs w:val="24"/>
          <w:i w:val="1"/>
          <w:iCs w:val="1"/>
        </w:rPr>
        <w:t xml:space="preserve"> nëse kontrolli është zbatuar në shkelje e rëndë të dispozitave nga ky Kapitull të cilat kanë rezultuar në zbatim të gabuar dhe të pariparueshëm të drejtësisë.’’</w:t>
      </w:r>
      <w:r>
        <w:rPr>
          <w:rFonts w:ascii="Garamond" w:hAnsi="Garamond" w:eastAsia="Garamond" w:cs="Garamond"/>
          <w:color w:val="000000"/>
          <w:sz w:val="24"/>
          <w:szCs w:val="24"/>
        </w:rPr>
        <w:t xml:space="preserve">. </w:t>
      </w:r>
    </w:p>
    <w:p>
      <w:pPr>
        <w:jc w:val="both"/>
      </w:pPr>
    </w:p>
    <w:p>
      <w:pPr>
        <w:jc w:val="both"/>
      </w:pPr>
      <w:r>
        <w:rPr>
          <w:rFonts w:ascii="Garamond" w:hAnsi="Garamond" w:eastAsia="Garamond" w:cs="Garamond"/>
          <w:color w:val="000000"/>
          <w:sz w:val="24"/>
          <w:szCs w:val="24"/>
        </w:rPr>
        <w:t xml:space="preserve">Andaj, në bazë të lartcekurave i propozoj gjykatës të nxjerrë aktvendim me të cilin: APROVOHET Kundërshtimi i Provave dhe provat e marra në bazë të kontrollit të shpallen në kundërshtim me ligjin. </w:t>
      </w:r>
    </w:p>
    <w:p>
      <w:pPr>
        <w:jc w:val="both"/>
      </w:pPr>
    </w:p>
    <w:p>
      <w:pPr>
        <w:jc w:val="both"/>
      </w:pPr>
    </w:p>
    <w:p>
      <w:pPr>
        <w:jc w:val="end"/>
      </w:pPr>
    </w:p>
    <w:p>
      <w:pPr>
        <w:jc w:val="both"/>
      </w:pPr>
    </w:p>
    <w:p>
      <w:pPr>
        <w:jc w:val="end"/>
      </w:pPr>
      <w:r>
        <w:rPr>
          <w:rFonts w:ascii="Garamond" w:hAnsi="Garamond" w:eastAsia="Garamond" w:cs="Garamond"/>
          <w:b w:val="1"/>
          <w:bCs w:val="1"/>
        </w:rPr>
        <w:t xml:space="preserve">I pandehuri: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b w:val="1"/>
          <w:bCs w:val="1"/>
        </w:rPr>
        <w:t xml:space="preserve">    Vendi_______, Data:_____ </w:t>
      </w: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2025-08-31T01:57:20+00:00</dcterms:created>
  <dcterms:modified xsi:type="dcterms:W3CDTF">2025-08-31T01:57:20+00:00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