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POLÍTICA INTERNA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{{Nome da Política}}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CÓDIGO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{{POL-000}}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VERSÃO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{{1.0}}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VIGÊNCIA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{{a partir de Data}}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APROVAÇÃO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{{Diretoria}}</w:t>
            </w:r>
          </w:p>
        </w:tc>
      </w:tr>
    </w:tbl>
    <w:p>
      <w:pPr>
        <w:spacing w:after="283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435965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OBJETIVO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{{O que esta política estabelece e por quê.}}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Abrangência</w:t>
      </w: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{{A quem se aplica (áreas, cargos, terceiros).}}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Diretrizes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{{Diretriz / regra.}}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{{Diretriz / regra.}}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{{Diretriz / regra.}}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Responsabilidades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3095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PAPEL</w:t>
            </w:r>
          </w:p>
        </w:tc>
        <w:tc>
          <w:tcPr>
            <w:tcW w:type="dxa" w:w="7223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RESPONSABILIDADE</w:t>
            </w:r>
          </w:p>
        </w:tc>
      </w:tr>
      <w:tr>
        <w:tc>
          <w:tcPr>
            <w:tcW w:type="dxa" w:w="3095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{{Gestores}}</w:t>
            </w:r>
          </w:p>
        </w:tc>
        <w:tc>
          <w:tcPr>
            <w:tcW w:type="dxa" w:w="7223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{{O que cabe a eles}}</w:t>
            </w:r>
          </w:p>
        </w:tc>
      </w:tr>
      <w:tr>
        <w:tc>
          <w:tcPr>
            <w:tcW w:type="dxa" w:w="3095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{{Colaboradores}}</w:t>
            </w:r>
          </w:p>
        </w:tc>
        <w:tc>
          <w:tcPr>
            <w:tcW w:type="dxa" w:w="7223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{{O que cabe a eles}}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04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Descumprimento</w:t>
      </w: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{{Consequências do não cumprimento desta política.}}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05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Vigência e revisão</w:t>
      </w: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Esta política entra em vigor em {{data}} e será revisada a cada {{12 meses}} ou quando necessário.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— uso interno · {{DD/MM/AAAA}}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POLÍTICA INTERNA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