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7" w:line="372" w:lineRule="auto"/>
      </w:pPr>
      <w:r>
        <w:rPr>
          <w:rFonts w:ascii="Zalando Sans Expanded" w:hAnsi="Zalando Sans Expanded" w:cs="Zalando Sans Expanded"/>
          <w:b w:val="0"/>
          <w:i w:val="0"/>
          <w:color w:val="688594"/>
          <w:sz w:val="14"/>
          <w:spacing w:val="32"/>
        </w:rPr>
        <w:t>BRIEFING DE PROJETO</w:t>
      </w:r>
    </w:p>
    <w:p>
      <w:pPr>
        <w:spacing w:after="283" w:line="245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50"/>
        </w:rPr>
        <w:t>Campanha — Lançamento Mentoria SMTM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CLIENTE / ÁREA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Marketing Metta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SOLICITANTE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Tiago Alves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DATA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05/05/2026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PRAZO DESEJADO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30/05/2026</w:t>
            </w:r>
          </w:p>
        </w:tc>
      </w:tr>
    </w:tbl>
    <w:p>
      <w:pPr>
        <w:spacing w:after="283"/>
      </w:pPr>
    </w:p>
    <w:p>
      <w:pPr>
        <w:spacing w:after="147" w:line="37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Preencha os blocos abaixo. Quanto mais completo o briefing, mais preciso o resultado e menos retrabalho.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tcBorders>
              <w:left w:val="single" w:sz="16" w:space="0" w:color="C9DAE3"/>
              <w:top w:val="nil"/>
              <w:bottom w:val="nil"/>
              <w:right w:val="nil"/>
            </w:tcBorders>
            <w:tcMar>
              <w:top w:w="113" w:type="dxa"/>
              <w:bottom w:w="113" w:type="dxa"/>
              <w:start w:w="227" w:type="dxa"/>
              <w:end w:w="0" w:type="dxa"/>
              <w:left w:w="227" w:type="dxa"/>
              <w:right w:w="0" w:type="dxa"/>
            </w:tcMar>
          </w:tcPr>
          <w:p>
            <w:pPr>
              <w:spacing w:after="68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7"/>
              </w:rPr>
              <w:t>1 · Objetivo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Qual problema este projeto resolve? — Gerar 80 leads qualificados para a nova turma da Mentoria SMTM.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Qual resultado esperado? — Encher a turma de junho (30 vagas) com empresários do ICP.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Por que agora? — A turma abre em 1º de junho e a captação precisa começar em 15/05.</w:t>
            </w:r>
          </w:p>
        </w:tc>
      </w:tr>
    </w:tbl>
    <w:p>
      <w:pPr>
        <w:spacing w:after="181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tcBorders>
              <w:left w:val="single" w:sz="16" w:space="0" w:color="C9DAE3"/>
              <w:top w:val="nil"/>
              <w:bottom w:val="nil"/>
              <w:right w:val="nil"/>
            </w:tcBorders>
            <w:tcMar>
              <w:top w:w="113" w:type="dxa"/>
              <w:bottom w:w="113" w:type="dxa"/>
              <w:start w:w="227" w:type="dxa"/>
              <w:end w:w="0" w:type="dxa"/>
              <w:left w:w="227" w:type="dxa"/>
              <w:right w:w="0" w:type="dxa"/>
            </w:tcMar>
          </w:tcPr>
          <w:p>
            <w:pPr>
              <w:spacing w:after="68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7"/>
              </w:rPr>
              <w:t>2 · Público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Para quem é? — Donos de PME (R$ 2M–10M/ano) que cresceram no peito e travaram na gestão.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O que essa pessoa precisa sentir ou fazer? — Sentir que existe método; agendar uma call de diagnóstico.</w:t>
            </w:r>
          </w:p>
        </w:tc>
      </w:tr>
    </w:tbl>
    <w:p>
      <w:pPr>
        <w:spacing w:after="181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tcBorders>
              <w:left w:val="single" w:sz="16" w:space="0" w:color="C9DAE3"/>
              <w:top w:val="nil"/>
              <w:bottom w:val="nil"/>
              <w:right w:val="nil"/>
            </w:tcBorders>
            <w:tcMar>
              <w:top w:w="113" w:type="dxa"/>
              <w:bottom w:w="113" w:type="dxa"/>
              <w:start w:w="227" w:type="dxa"/>
              <w:end w:w="0" w:type="dxa"/>
              <w:left w:w="227" w:type="dxa"/>
              <w:right w:w="0" w:type="dxa"/>
            </w:tcMar>
          </w:tcPr>
          <w:p>
            <w:pPr>
              <w:spacing w:after="68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7"/>
              </w:rPr>
              <w:t>3 · Escopo e entregáveis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O que precisa ser entregue? — 1 landing page, 6 criativos de anúncio (feed+story) e 3 e-mails.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O que está fora do escopo? — Produção de vídeo longo e gestão de tráfego (tocada pela agência).</w:t>
            </w:r>
          </w:p>
        </w:tc>
      </w:tr>
    </w:tbl>
    <w:p>
      <w:pPr>
        <w:spacing w:after="181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tcBorders>
              <w:left w:val="single" w:sz="16" w:space="0" w:color="C9DAE3"/>
              <w:top w:val="nil"/>
              <w:bottom w:val="nil"/>
              <w:right w:val="nil"/>
            </w:tcBorders>
            <w:tcMar>
              <w:top w:w="113" w:type="dxa"/>
              <w:bottom w:w="113" w:type="dxa"/>
              <w:start w:w="227" w:type="dxa"/>
              <w:end w:w="0" w:type="dxa"/>
              <w:left w:w="227" w:type="dxa"/>
              <w:right w:w="0" w:type="dxa"/>
            </w:tcMar>
          </w:tcPr>
          <w:p>
            <w:pPr>
              <w:spacing w:after="68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7"/>
              </w:rPr>
              <w:t>4 · Referências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Exemplos do que você gosta — Campanhas diretas, com prova e número; evitar tom de guru.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Assets existentes — Banco de cases, depoimentos em vídeo e a identidade do brand-system.</w:t>
            </w:r>
          </w:p>
        </w:tc>
      </w:tr>
    </w:tbl>
    <w:p>
      <w:pPr>
        <w:spacing w:after="181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tcBorders>
              <w:left w:val="single" w:sz="16" w:space="0" w:color="C9DAE3"/>
              <w:top w:val="nil"/>
              <w:bottom w:val="nil"/>
              <w:right w:val="nil"/>
            </w:tcBorders>
            <w:tcMar>
              <w:top w:w="113" w:type="dxa"/>
              <w:bottom w:w="113" w:type="dxa"/>
              <w:start w:w="227" w:type="dxa"/>
              <w:end w:w="0" w:type="dxa"/>
              <w:left w:w="227" w:type="dxa"/>
              <w:right w:w="0" w:type="dxa"/>
            </w:tcMar>
          </w:tcPr>
          <w:p>
            <w:pPr>
              <w:spacing w:after="68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7"/>
              </w:rPr>
              <w:t>5 · Mensagem e tom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Mensagem principal — Meta batida é método, não sorte.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Tom de voz desejado — Direto, conselheiro, sem promessa mágica.</w:t>
            </w:r>
          </w:p>
        </w:tc>
      </w:tr>
    </w:tbl>
    <w:p>
      <w:pPr>
        <w:spacing w:after="181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tcBorders>
              <w:left w:val="single" w:sz="16" w:space="0" w:color="C9DAE3"/>
              <w:top w:val="nil"/>
              <w:bottom w:val="nil"/>
              <w:right w:val="nil"/>
            </w:tcBorders>
            <w:tcMar>
              <w:top w:w="113" w:type="dxa"/>
              <w:bottom w:w="113" w:type="dxa"/>
              <w:start w:w="227" w:type="dxa"/>
              <w:end w:w="0" w:type="dxa"/>
              <w:left w:w="227" w:type="dxa"/>
              <w:right w:w="0" w:type="dxa"/>
            </w:tcMar>
          </w:tcPr>
          <w:p>
            <w:pPr>
              <w:spacing w:after="68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7"/>
              </w:rPr>
              <w:t>6 · Restrições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Limitações de marca ou legais — Sem promessa de faturamento garantido; dado sempre com fonte.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O que evitar — Estética genérica de infoproduto e uso de amarelo fora de CTA.</w:t>
            </w:r>
          </w:p>
        </w:tc>
      </w:tr>
    </w:tbl>
    <w:p>
      <w:pPr>
        <w:spacing w:after="181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tcBorders>
              <w:left w:val="single" w:sz="16" w:space="0" w:color="C9DAE3"/>
              <w:top w:val="nil"/>
              <w:bottom w:val="nil"/>
              <w:right w:val="nil"/>
            </w:tcBorders>
            <w:tcMar>
              <w:top w:w="113" w:type="dxa"/>
              <w:bottom w:w="113" w:type="dxa"/>
              <w:start w:w="227" w:type="dxa"/>
              <w:end w:w="0" w:type="dxa"/>
              <w:left w:w="227" w:type="dxa"/>
              <w:right w:w="0" w:type="dxa"/>
            </w:tcMar>
          </w:tcPr>
          <w:p>
            <w:pPr>
              <w:spacing w:after="68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7"/>
              </w:rPr>
              <w:t>7 · Prazos e aprovação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Data final e marcos — Criativos até 22/05; LP até 26/05; no ar em 30/05.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Quem aprova e quantas rodadas — Tiago aprova; até 2 rodadas de ajuste.</w:t>
            </w:r>
          </w:p>
        </w:tc>
      </w:tr>
    </w:tbl>
    <w:p>
      <w:pPr>
        <w:spacing w:after="181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Confidencial — uso interno · {{DD/MM/AAAA}}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BRIEFING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