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和光智成商业计划书"/>
    <w:p>
      <w:pPr>
        <w:pStyle w:val="Heading1"/>
      </w:pPr>
      <w:r>
        <w:rPr>
          <w:rFonts w:hint="eastAsia"/>
        </w:rPr>
        <w:t xml:space="preserve">和光智成商业计划书</w:t>
      </w:r>
    </w:p>
    <w:p>
      <w:pPr>
        <w:pStyle w:val="FirstParagraph"/>
      </w:pPr>
      <w:r>
        <w:rPr>
          <w:rFonts w:hint="eastAsia"/>
          <w:b/>
          <w:bCs/>
        </w:rPr>
        <w:t xml:space="preserve">版本：V3.0（终稿）</w:t>
      </w:r>
      <w:r>
        <w:t xml:space="preserve"> </w:t>
      </w:r>
      <w:r>
        <w:rPr>
          <w:rFonts w:hint="eastAsia"/>
          <w:b/>
          <w:bCs/>
        </w:rPr>
        <w:t xml:space="preserve">日期：2026年4月23日</w:t>
      </w:r>
      <w:r>
        <w:t xml:space="preserve"> </w:t>
      </w:r>
      <w:r>
        <w:rPr>
          <w:rFonts w:hint="eastAsia"/>
          <w:b/>
          <w:bCs/>
        </w:rPr>
        <w:t xml:space="preserve">编制单位：和光智成（北京）科技有限公司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cdff0541bc5f998faf69978356cd287227eba5a">
        <w:r>
          <w:rPr>
            <w:rStyle w:val="Hyperlink"/>
            <w:rFonts w:hint="eastAsia"/>
          </w:rPr>
          <w:t xml:space="preserve">执行摘要</w:t>
        </w:r>
      </w:hyperlink>
    </w:p>
    <w:p>
      <w:pPr>
        <w:pStyle w:val="Compact"/>
        <w:numPr>
          <w:ilvl w:val="0"/>
          <w:numId w:val="1001"/>
        </w:numPr>
      </w:pPr>
      <w:hyperlink w:anchor="X44a4b02fc1a2ffaab4d7288fcf2b4412b1ba3e5">
        <w:r>
          <w:rPr>
            <w:rStyle w:val="Hyperlink"/>
            <w:rFonts w:hint="eastAsia"/>
          </w:rPr>
          <w:t xml:space="preserve">市场分析</w:t>
        </w:r>
      </w:hyperlink>
    </w:p>
    <w:p>
      <w:pPr>
        <w:pStyle w:val="Compact"/>
        <w:numPr>
          <w:ilvl w:val="0"/>
          <w:numId w:val="1001"/>
        </w:numPr>
      </w:pPr>
      <w:hyperlink w:anchor="Xe53fe17b96eb06dbd9d8275d4170d0245d4c2f4">
        <w:r>
          <w:rPr>
            <w:rStyle w:val="Hyperlink"/>
            <w:rFonts w:hint="eastAsia"/>
          </w:rPr>
          <w:t xml:space="preserve">核心产品与技术</w:t>
        </w:r>
      </w:hyperlink>
    </w:p>
    <w:p>
      <w:pPr>
        <w:pStyle w:val="Compact"/>
        <w:numPr>
          <w:ilvl w:val="0"/>
          <w:numId w:val="1001"/>
        </w:numPr>
      </w:pPr>
      <w:hyperlink w:anchor="X113423449353f1ec67cc410fbe9c5ed6feca31a">
        <w:r>
          <w:rPr>
            <w:rStyle w:val="Hyperlink"/>
            <w:rFonts w:hint="eastAsia"/>
          </w:rPr>
          <w:t xml:space="preserve">商业模式与落地路径</w:t>
        </w:r>
      </w:hyperlink>
    </w:p>
    <w:p>
      <w:pPr>
        <w:pStyle w:val="Compact"/>
        <w:numPr>
          <w:ilvl w:val="0"/>
          <w:numId w:val="1001"/>
        </w:numPr>
      </w:pPr>
      <w:hyperlink w:anchor="X55236f827722e674af698d8a82ac1dccac7a044">
        <w:r>
          <w:rPr>
            <w:rStyle w:val="Hyperlink"/>
            <w:rFonts w:hint="eastAsia"/>
          </w:rPr>
          <w:t xml:space="preserve">竞争格局与核心优势</w:t>
        </w:r>
      </w:hyperlink>
    </w:p>
    <w:p>
      <w:pPr>
        <w:pStyle w:val="Compact"/>
        <w:numPr>
          <w:ilvl w:val="0"/>
          <w:numId w:val="1001"/>
        </w:numPr>
      </w:pPr>
      <w:hyperlink w:anchor="X298dd7c9f72fd389b6230e6da84917f060a097e">
        <w:r>
          <w:rPr>
            <w:rStyle w:val="Hyperlink"/>
            <w:rFonts w:hint="eastAsia"/>
          </w:rPr>
          <w:t xml:space="preserve">核心团队介绍</w:t>
        </w:r>
      </w:hyperlink>
    </w:p>
    <w:p>
      <w:pPr>
        <w:pStyle w:val="Compact"/>
        <w:numPr>
          <w:ilvl w:val="0"/>
          <w:numId w:val="1001"/>
        </w:numPr>
      </w:pPr>
      <w:hyperlink w:anchor="Xcff22003c546f330d0c1402aaadce54712c6982">
        <w:r>
          <w:rPr>
            <w:rStyle w:val="Hyperlink"/>
            <w:rFonts w:hint="eastAsia"/>
          </w:rPr>
          <w:t xml:space="preserve">5年财务预测模型</w:t>
        </w:r>
      </w:hyperlink>
    </w:p>
    <w:p>
      <w:pPr>
        <w:pStyle w:val="Compact"/>
        <w:numPr>
          <w:ilvl w:val="0"/>
          <w:numId w:val="1001"/>
        </w:numPr>
      </w:pPr>
      <w:hyperlink w:anchor="X3272051901a3b2a32884aff6604573e06884717">
        <w:r>
          <w:rPr>
            <w:rStyle w:val="Hyperlink"/>
            <w:rFonts w:hint="eastAsia"/>
          </w:rPr>
          <w:t xml:space="preserve">融资计划与资金用途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和光智成是国内领先的AI材料科学解决方案服务商，由北京航空航天大学化学学院刘宇宙教授创办，核心技术团队来自北航、中科院、清华等顶尖科研机构，拥有20+项材料AI相关发明专利。</w:t>
      </w:r>
    </w:p>
    <w:p>
      <w:pPr>
        <w:pStyle w:val="BodyText"/>
      </w:pPr>
      <w:r>
        <w:rPr>
          <w:rFonts w:hint="eastAsia"/>
        </w:rPr>
        <w:t xml:space="preserve">公司依托自主研发的材料大模型”光智1.0”，为新材料研发企业、高校科研院所、工业制造企业提供AI辅助材料研发全流程服务，可将材料研发周期缩短70%，研发成本降低60%。</w:t>
      </w:r>
    </w:p>
    <w:p>
      <w:pPr>
        <w:pStyle w:val="BodyText"/>
      </w:pPr>
      <w:r>
        <w:rPr>
          <w:rFonts w:hint="eastAsia"/>
        </w:rPr>
        <w:t xml:space="preserve">当前已落地服务30+付费客户，包括中建材、宁德时代、中石化等行业龙头，2025年营收突破1200万元，增速超300%。本次融资计划释放10%股权，融资5000万元，用于产品迭代、市场拓展和团队扩张，预计2028年实现IPO申报。</w:t>
      </w:r>
    </w:p>
    <w:p>
      <w:r>
        <w:pict>
          <v:rect style="width:0;height:1.5pt" o:hralign="center" o:hrstd="t" o:hr="t"/>
        </w:pict>
      </w:r>
    </w:p>
    <w:bookmarkEnd w:id="10"/>
    <w:bookmarkStart w:id="14" w:name="市场分析"/>
    <w:p>
      <w:pPr>
        <w:pStyle w:val="Heading2"/>
      </w:pPr>
      <w:r>
        <w:t xml:space="preserve">2. </w:t>
      </w:r>
      <w:r>
        <w:rPr>
          <w:rFonts w:hint="eastAsia"/>
        </w:rPr>
        <w:t xml:space="preserve">市场分析</w:t>
      </w:r>
    </w:p>
    <w:bookmarkStart w:id="11" w:name="行业背景"/>
    <w:p>
      <w:pPr>
        <w:pStyle w:val="Heading3"/>
      </w:pPr>
      <w:r>
        <w:t xml:space="preserve">2.1 </w:t>
      </w:r>
      <w:r>
        <w:rPr>
          <w:rFonts w:hint="eastAsia"/>
        </w:rPr>
        <w:t xml:space="preserve">行业背景</w:t>
      </w:r>
    </w:p>
    <w:p>
      <w:pPr>
        <w:pStyle w:val="FirstParagraph"/>
      </w:pPr>
      <w:r>
        <w:rPr>
          <w:rFonts w:hint="eastAsia"/>
        </w:rPr>
        <w:t xml:space="preserve">全球新材料市场规模超2万亿美元，中国占比超35%，是全球最大的新材料生产和消费国。传统材料研发依赖”试错法”，平均研发周期10-20年，研发成本超1亿美元，效率极低。</w:t>
      </w:r>
      <w:r>
        <w:t xml:space="preserve"> </w:t>
      </w:r>
      <w:r>
        <w:rPr>
          <w:rFonts w:hint="eastAsia"/>
        </w:rPr>
        <w:t xml:space="preserve">AI+材料科学是行业公认的下一代研发范式，全球市场规模预计2030年突破3000亿元，年复合增长率超45%，处于爆发前夜。</w:t>
      </w:r>
    </w:p>
    <w:bookmarkEnd w:id="11"/>
    <w:bookmarkStart w:id="12" w:name="政策利好"/>
    <w:p>
      <w:pPr>
        <w:pStyle w:val="Heading3"/>
      </w:pPr>
      <w:r>
        <w:t xml:space="preserve">2.2 </w:t>
      </w:r>
      <w:r>
        <w:rPr>
          <w:rFonts w:hint="eastAsia"/>
        </w:rPr>
        <w:t xml:space="preserve">政策利好</w:t>
      </w:r>
    </w:p>
    <w:p>
      <w:pPr>
        <w:pStyle w:val="FirstParagraph"/>
      </w:pPr>
      <w:r>
        <w:rPr>
          <w:rFonts w:hint="eastAsia"/>
        </w:rPr>
        <w:t xml:space="preserve">国家”十四五”新材料产业发展规划明确将AI辅助材料研发列为核心支持方向，各级政府累计出台20+专项政策，提供研发补贴、税收优惠等多重支持。</w:t>
      </w:r>
    </w:p>
    <w:bookmarkEnd w:id="12"/>
    <w:bookmarkStart w:id="13" w:name="痛点分析"/>
    <w:p>
      <w:pPr>
        <w:pStyle w:val="Heading3"/>
      </w:pPr>
      <w:r>
        <w:t xml:space="preserve">2.3 </w:t>
      </w:r>
      <w:r>
        <w:rPr>
          <w:rFonts w:hint="eastAsia"/>
        </w:rPr>
        <w:t xml:space="preserve">痛点分析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高校/科研院所：研发效率低，实验数据难以沉淀复用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企业：研发成本高，新品上市慢，难以应对快速变化的市场需求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行业：高端材料卡脖子问题突出，自主可控需求迫切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核心产品与技术"/>
    <w:p>
      <w:pPr>
        <w:pStyle w:val="Heading2"/>
      </w:pPr>
      <w:r>
        <w:t xml:space="preserve">3. </w:t>
      </w:r>
      <w:r>
        <w:rPr>
          <w:rFonts w:hint="eastAsia"/>
        </w:rPr>
        <w:t xml:space="preserve">核心产品与技术</w:t>
      </w:r>
    </w:p>
    <w:bookmarkStart w:id="15" w:name="核心技术栈"/>
    <w:p>
      <w:pPr>
        <w:pStyle w:val="Heading3"/>
      </w:pPr>
      <w:r>
        <w:t xml:space="preserve">3.1 </w:t>
      </w:r>
      <w:r>
        <w:rPr>
          <w:rFonts w:hint="eastAsia"/>
        </w:rPr>
        <w:t xml:space="preserve">核心技术栈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光智1.0材料大模型</w:t>
      </w:r>
      <w:r>
        <w:rPr>
          <w:rFonts w:hint="eastAsia"/>
        </w:rPr>
        <w:t xml:space="preserve">：训练数据覆盖1亿+材料结构、性质、实验数据，参数规模7B，在材料性能预测、结构设计等任务上准确率超92%，领先行业平均水平15%。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AI辅助研发平台</w:t>
      </w:r>
      <w:r>
        <w:rPr>
          <w:rFonts w:hint="eastAsia"/>
        </w:rPr>
        <w:t xml:space="preserve">：提供材料性能预测、逆向结构设计、实验方案优化、数据管理四大核心功能，支持云端部署和本地私有化部署。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高通量计算与实验闭环</w:t>
      </w:r>
      <w:r>
        <w:rPr>
          <w:rFonts w:hint="eastAsia"/>
        </w:rPr>
        <w:t xml:space="preserve">：打通计算模拟-虚拟筛选-实验验证全流程，实现研发迭代自动化。</w:t>
      </w:r>
    </w:p>
    <w:bookmarkEnd w:id="15"/>
    <w:bookmarkStart w:id="16" w:name="产品矩阵"/>
    <w:p>
      <w:pPr>
        <w:pStyle w:val="Heading3"/>
      </w:pPr>
      <w:r>
        <w:t xml:space="preserve">3.2 </w:t>
      </w:r>
      <w:r>
        <w:rPr>
          <w:rFonts w:hint="eastAsia"/>
        </w:rPr>
        <w:t xml:space="preserve">产品矩阵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科研版</w:t>
      </w:r>
      <w:r>
        <w:rPr>
          <w:rFonts w:hint="eastAsia"/>
        </w:rPr>
        <w:t xml:space="preserve">：面向高校、科研院所，提供轻量化研发工具，年费5-20万元。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企业版</w:t>
      </w:r>
      <w:r>
        <w:rPr>
          <w:rFonts w:hint="eastAsia"/>
        </w:rPr>
        <w:t xml:space="preserve">：面向新材料企业，提供定制化私有化部署，项目付费+年费，单客价值50-500万元。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联合研发服务</w:t>
      </w:r>
      <w:r>
        <w:rPr>
          <w:rFonts w:hint="eastAsia"/>
        </w:rPr>
        <w:t xml:space="preserve">：与企业联合研发特定材料，享有成果转化收益分成，单项目收益超千万元。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商业模式与落地路径"/>
    <w:p>
      <w:pPr>
        <w:pStyle w:val="Heading2"/>
      </w:pPr>
      <w:r>
        <w:t xml:space="preserve">4. </w:t>
      </w:r>
      <w:r>
        <w:rPr>
          <w:rFonts w:hint="eastAsia"/>
        </w:rPr>
        <w:t xml:space="preserve">商业模式与落地路径</w:t>
      </w:r>
    </w:p>
    <w:bookmarkStart w:id="18" w:name="盈利模式"/>
    <w:p>
      <w:pPr>
        <w:pStyle w:val="Heading3"/>
      </w:pPr>
      <w:r>
        <w:t xml:space="preserve">4.1 </w:t>
      </w:r>
      <w:r>
        <w:rPr>
          <w:rFonts w:hint="eastAsia"/>
        </w:rPr>
        <w:t xml:space="preserve">盈利模式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软件授权收入：占比40%，包括SaaS订阅和私有化部署授权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技术服务收入：占比35%，包括定制化开发、联合研发服务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成果转化收入：占比25%，包括专利授权、落地项目收益分成</w:t>
      </w:r>
    </w:p>
    <w:bookmarkEnd w:id="18"/>
    <w:bookmarkStart w:id="19" w:name="落地路径"/>
    <w:p>
      <w:pPr>
        <w:pStyle w:val="Heading3"/>
      </w:pPr>
      <w:r>
        <w:t xml:space="preserve">4.2 </w:t>
      </w:r>
      <w:r>
        <w:rPr>
          <w:rFonts w:hint="eastAsia"/>
        </w:rPr>
        <w:t xml:space="preserve">落地路径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2026年：深耕新能源、半导体材料领域，客户突破100家，营收突破5000万元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2027年：拓展航空航天、生物医药材料领域，客户突破300家，营收突破2亿元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2028年：成为国内AI材料研发赛道龙头，市占率超20%，启动IPO申报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竞争格局与核心优势"/>
    <w:p>
      <w:pPr>
        <w:pStyle w:val="Heading2"/>
      </w:pPr>
      <w:r>
        <w:t xml:space="preserve">5. </w:t>
      </w:r>
      <w:r>
        <w:rPr>
          <w:rFonts w:hint="eastAsia"/>
        </w:rPr>
        <w:t xml:space="preserve">竞争格局与核心优势</w:t>
      </w:r>
    </w:p>
    <w:bookmarkStart w:id="21" w:name="竞争格局"/>
    <w:p>
      <w:pPr>
        <w:pStyle w:val="Heading3"/>
      </w:pPr>
      <w:r>
        <w:t xml:space="preserve">5.1 </w:t>
      </w:r>
      <w:r>
        <w:rPr>
          <w:rFonts w:hint="eastAsia"/>
        </w:rPr>
        <w:t xml:space="preserve">竞争格局</w:t>
      </w:r>
    </w:p>
    <w:p>
      <w:pPr>
        <w:pStyle w:val="FirstParagraph"/>
      </w:pPr>
      <w:r>
        <w:rPr>
          <w:rFonts w:hint="eastAsia"/>
        </w:rPr>
        <w:t xml:space="preserve">当前国内AI材料研发赛道玩家主要分为三类：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互联网巨头跨界：如百度、阿里，技术强但行业理解不足</w:t>
      </w:r>
      <w:r>
        <w:t xml:space="preserve"> </w:t>
      </w:r>
      <w:r>
        <w:t xml:space="preserve">2. </w:t>
      </w:r>
      <w:r>
        <w:rPr>
          <w:rFonts w:hint="eastAsia"/>
        </w:rPr>
        <w:t xml:space="preserve">初创公司：如深势科技、魔材科技，融资多但落地能力弱</w:t>
      </w:r>
      <w:r>
        <w:t xml:space="preserve"> </w:t>
      </w:r>
      <w:r>
        <w:t xml:space="preserve">3. </w:t>
      </w:r>
      <w:r>
        <w:rPr>
          <w:rFonts w:hint="eastAsia"/>
        </w:rPr>
        <w:t xml:space="preserve">科研院所孵化团队：如和光智成，行业资源丰富，落地能力强</w:t>
      </w:r>
    </w:p>
    <w:bookmarkEnd w:id="21"/>
    <w:bookmarkStart w:id="22" w:name="核心优势"/>
    <w:p>
      <w:pPr>
        <w:pStyle w:val="Heading3"/>
      </w:pPr>
      <w:r>
        <w:t xml:space="preserve">5.2 </w:t>
      </w:r>
      <w:r>
        <w:rPr>
          <w:rFonts w:hint="eastAsia"/>
        </w:rPr>
        <w:t xml:space="preserve">核心优势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技术壁垒</w:t>
      </w:r>
      <w:r>
        <w:rPr>
          <w:rFonts w:hint="eastAsia"/>
        </w:rPr>
        <w:t xml:space="preserve">：核心团队深耕材料科学领域20年，拥有独家的材料数据集和算法专利，大模型准确率行业领先。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资源优势</w:t>
      </w:r>
      <w:r>
        <w:rPr>
          <w:rFonts w:hint="eastAsia"/>
        </w:rPr>
        <w:t xml:space="preserve">：与北航、中科院等10+顶尖科研机构建立深度合作，拥有丰富的行业客户资源和专家资源。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落地优势</w:t>
      </w:r>
      <w:r>
        <w:rPr>
          <w:rFonts w:hint="eastAsia"/>
        </w:rPr>
        <w:t xml:space="preserve">：已落地30+付费客户，验证了商业模式的可行性，客户留存率超90%。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团队优势</w:t>
      </w:r>
      <w:r>
        <w:rPr>
          <w:rFonts w:hint="eastAsia"/>
        </w:rPr>
        <w:t xml:space="preserve">：核心团队兼具学术背景和产业经验，既有顶尖科研能力，也有商业化落地能力。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核心团队介绍"/>
    <w:p>
      <w:pPr>
        <w:pStyle w:val="Heading2"/>
      </w:pPr>
      <w:r>
        <w:t xml:space="preserve">6. </w:t>
      </w:r>
      <w:r>
        <w:rPr>
          <w:rFonts w:hint="eastAsia"/>
        </w:rPr>
        <w:t xml:space="preserve">核心团队介绍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刘宇宙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创始人/CEO</w:t>
      </w:r>
      <w:r>
        <w:rPr>
          <w:rFonts w:hint="eastAsia"/>
        </w:rPr>
        <w:t xml:space="preserve">：北京航空航天大学化学学院教授，博士生导师，AI材料科学领域顶尖专家，拥有15年材料研发经验，20+项发明专利，曾主导多项国家级科研项目。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张XX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联合创始人/CTO</w:t>
      </w:r>
      <w:r>
        <w:rPr>
          <w:rFonts w:hint="eastAsia"/>
        </w:rPr>
        <w:t xml:space="preserve">：清华大学计算机系博士，前百度深度学习研究院高级研究员，拥有10年AI大模型研发经验。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李XX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联合创始人/COO</w:t>
      </w:r>
      <w:r>
        <w:rPr>
          <w:rFonts w:hint="eastAsia"/>
        </w:rPr>
        <w:t xml:space="preserve">：前中建材新材料事业部总监，拥有15年新材料行业产业经验，丰富的客户资源和供应链资源。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王XX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首席科学家</w:t>
      </w:r>
      <w:r>
        <w:rPr>
          <w:rFonts w:hint="eastAsia"/>
        </w:rPr>
        <w:t xml:space="preserve">：中科院化学所研究员，国家杰出青年基金获得者，材料计算领域权威专家。</w:t>
      </w:r>
    </w:p>
    <w:p>
      <w:r>
        <w:pict>
          <v:rect style="width:0;height:1.5pt" o:hralign="center" o:hrstd="t" o:hr="t"/>
        </w:pict>
      </w:r>
    </w:p>
    <w:bookmarkEnd w:id="24"/>
    <w:bookmarkStart w:id="26" w:name="年财务预测模型"/>
    <w:p>
      <w:pPr>
        <w:pStyle w:val="Heading2"/>
      </w:pPr>
      <w:r>
        <w:t xml:space="preserve">7. </w:t>
      </w:r>
      <w:r>
        <w:rPr>
          <w:rFonts w:hint="eastAsia"/>
        </w:rPr>
        <w:t xml:space="preserve">5年财务预测模型</w:t>
      </w:r>
    </w:p>
    <w:p>
      <w:pPr>
        <w:pStyle w:val="FirstParagraph"/>
      </w:pPr>
      <w:r>
        <w:rPr>
          <w:rFonts w:hint="eastAsia"/>
        </w:rPr>
        <w:t xml:space="preserve">单位：万元人民币</w:t>
      </w:r>
      <w:r>
        <w:t xml:space="preserve"> </w:t>
      </w:r>
      <w:r>
        <w:t xml:space="preserve">| </w:t>
      </w:r>
      <w:r>
        <w:rPr>
          <w:rFonts w:hint="eastAsia"/>
        </w:rPr>
        <w:t xml:space="preserve">指标</w:t>
      </w:r>
      <w:r>
        <w:t xml:space="preserve"> | </w:t>
      </w:r>
      <w:r>
        <w:rPr>
          <w:rFonts w:hint="eastAsia"/>
        </w:rPr>
        <w:t xml:space="preserve">2026年</w:t>
      </w:r>
      <w:r>
        <w:t xml:space="preserve"> | </w:t>
      </w:r>
      <w:r>
        <w:rPr>
          <w:rFonts w:hint="eastAsia"/>
        </w:rPr>
        <w:t xml:space="preserve">2027年</w:t>
      </w:r>
      <w:r>
        <w:t xml:space="preserve"> | </w:t>
      </w:r>
      <w:r>
        <w:rPr>
          <w:rFonts w:hint="eastAsia"/>
        </w:rPr>
        <w:t xml:space="preserve">2028年</w:t>
      </w:r>
      <w:r>
        <w:t xml:space="preserve"> | </w:t>
      </w:r>
      <w:r>
        <w:rPr>
          <w:rFonts w:hint="eastAsia"/>
        </w:rPr>
        <w:t xml:space="preserve">2029年</w:t>
      </w:r>
      <w:r>
        <w:t xml:space="preserve"> | </w:t>
      </w:r>
      <w:r>
        <w:rPr>
          <w:rFonts w:hint="eastAsia"/>
        </w:rPr>
        <w:t xml:space="preserve">2030年</w:t>
      </w:r>
      <w:r>
        <w:t xml:space="preserve"> | </w:t>
      </w:r>
      <w:r>
        <w:rPr>
          <w:rFonts w:hint="eastAsia"/>
        </w:rPr>
        <w:t xml:space="preserve">复合增长率</w:t>
      </w:r>
      <w:r>
        <w:t xml:space="preserve"> |</w:t>
      </w:r>
      <w:r>
        <w:t xml:space="preserve"> </w:t>
      </w:r>
      <w:r>
        <w:t xml:space="preserve">|———————|——–|——–|——–|——–|——–|————|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营业收入</w:t>
      </w:r>
      <w:r>
        <w:t xml:space="preserve"> | 5000 | 20000 | 60000 | 150000 | 300000 | 137% |</w:t>
      </w:r>
      <w:r>
        <w:t xml:space="preserve"> </w:t>
      </w:r>
      <w:r>
        <w:t xml:space="preserve">| - </w:t>
      </w:r>
      <w:r>
        <w:rPr>
          <w:rFonts w:hint="eastAsia"/>
        </w:rPr>
        <w:t xml:space="preserve">软件授权收入</w:t>
      </w:r>
      <w:r>
        <w:t xml:space="preserve"> | 2000 | 8000 | 24000 | 60000 | 120000 | 137% |</w:t>
      </w:r>
      <w:r>
        <w:t xml:space="preserve"> </w:t>
      </w:r>
      <w:r>
        <w:t xml:space="preserve">| - </w:t>
      </w:r>
      <w:r>
        <w:rPr>
          <w:rFonts w:hint="eastAsia"/>
        </w:rPr>
        <w:t xml:space="preserve">技术服务收入</w:t>
      </w:r>
      <w:r>
        <w:t xml:space="preserve"> | 1750 | 7000 | 21000 | 52500 | 105000 | 137% |</w:t>
      </w:r>
      <w:r>
        <w:t xml:space="preserve"> </w:t>
      </w:r>
      <w:r>
        <w:t xml:space="preserve">| - </w:t>
      </w:r>
      <w:r>
        <w:rPr>
          <w:rFonts w:hint="eastAsia"/>
        </w:rPr>
        <w:t xml:space="preserve">成果转化收入</w:t>
      </w:r>
      <w:r>
        <w:t xml:space="preserve"> | 1250 | 5000 | 15000 | 37500 | 75000 | 137% |</w:t>
      </w:r>
      <w:r>
        <w:t xml:space="preserve"> </w:t>
      </w:r>
      <w:r>
        <w:t xml:space="preserve">| </w:t>
      </w:r>
      <w:r>
        <w:rPr>
          <w:rFonts w:hint="eastAsia"/>
        </w:rPr>
        <w:t xml:space="preserve">营业成本</w:t>
      </w:r>
      <w:r>
        <w:t xml:space="preserve"> | 2000 | 7000 | 18000 | 42000 | 80000 | 109% |</w:t>
      </w:r>
      <w:r>
        <w:t xml:space="preserve"> </w:t>
      </w:r>
      <w:r>
        <w:t xml:space="preserve">| </w:t>
      </w:r>
      <w:r>
        <w:rPr>
          <w:rFonts w:hint="eastAsia"/>
        </w:rPr>
        <w:t xml:space="preserve">毛利润</w:t>
      </w:r>
      <w:r>
        <w:t xml:space="preserve"> | 3000 | 13000 | 42000 | 108000 | 220000 | 141% |</w:t>
      </w:r>
      <w:r>
        <w:t xml:space="preserve"> </w:t>
      </w:r>
      <w:r>
        <w:t xml:space="preserve">| </w:t>
      </w:r>
      <w:r>
        <w:rPr>
          <w:rFonts w:hint="eastAsia"/>
        </w:rPr>
        <w:t xml:space="preserve">毛利率</w:t>
      </w:r>
      <w:r>
        <w:t xml:space="preserve"> | 60% | 65% | 70% | 72% | 73% | - |</w:t>
      </w:r>
      <w:r>
        <w:t xml:space="preserve"> </w:t>
      </w:r>
      <w:r>
        <w:t xml:space="preserve">| </w:t>
      </w:r>
      <w:r>
        <w:rPr>
          <w:rFonts w:hint="eastAsia"/>
        </w:rPr>
        <w:t xml:space="preserve">期间费用</w:t>
      </w:r>
      <w:r>
        <w:t xml:space="preserve"> | 4000 | 9000 | 20000 | 40000 | 70000 | 104% |</w:t>
      </w:r>
      <w:r>
        <w:t xml:space="preserve"> </w:t>
      </w:r>
      <w:r>
        <w:t xml:space="preserve">| - </w:t>
      </w:r>
      <w:r>
        <w:rPr>
          <w:rFonts w:hint="eastAsia"/>
        </w:rPr>
        <w:t xml:space="preserve">研发费用</w:t>
      </w:r>
      <w:r>
        <w:t xml:space="preserve"> | 2000 | 4000 | 8000 | 15000 | 25000 | 88% |</w:t>
      </w:r>
      <w:r>
        <w:t xml:space="preserve"> </w:t>
      </w:r>
      <w:r>
        <w:t xml:space="preserve">| - </w:t>
      </w:r>
      <w:r>
        <w:rPr>
          <w:rFonts w:hint="eastAsia"/>
        </w:rPr>
        <w:t xml:space="preserve">销售费用</w:t>
      </w:r>
      <w:r>
        <w:t xml:space="preserve"> | 1500 | 3500 | 8000 | 18000 | 32000 | 114% |</w:t>
      </w:r>
      <w:r>
        <w:t xml:space="preserve"> </w:t>
      </w:r>
      <w:r>
        <w:t xml:space="preserve">| - </w:t>
      </w:r>
      <w:r>
        <w:rPr>
          <w:rFonts w:hint="eastAsia"/>
        </w:rPr>
        <w:t xml:space="preserve">管理费用</w:t>
      </w:r>
      <w:r>
        <w:t xml:space="preserve"> | 500 | 1500 | 4000 | 7000 | 13000 | 126% |</w:t>
      </w:r>
      <w:r>
        <w:t xml:space="preserve"> </w:t>
      </w:r>
      <w:r>
        <w:t xml:space="preserve">| </w:t>
      </w:r>
      <w:r>
        <w:rPr>
          <w:rFonts w:hint="eastAsia"/>
        </w:rPr>
        <w:t xml:space="preserve">净利润</w:t>
      </w:r>
      <w:r>
        <w:t xml:space="preserve"> | -1000 | 4000 | 22000 | 68000 | 150000 | 230% |</w:t>
      </w:r>
      <w:r>
        <w:t xml:space="preserve"> </w:t>
      </w:r>
      <w:r>
        <w:t xml:space="preserve">| </w:t>
      </w:r>
      <w:r>
        <w:rPr>
          <w:rFonts w:hint="eastAsia"/>
        </w:rPr>
        <w:t xml:space="preserve">净利率</w:t>
      </w:r>
      <w:r>
        <w:t xml:space="preserve"> | -20% | 20% | 36.7% | 45.3% | 50% | - |</w:t>
      </w:r>
      <w:r>
        <w:t xml:space="preserve"> </w:t>
      </w:r>
      <w:r>
        <w:t xml:space="preserve">| </w:t>
      </w:r>
      <w:r>
        <w:rPr>
          <w:rFonts w:hint="eastAsia"/>
        </w:rPr>
        <w:t xml:space="preserve">经营活动现金流净额</w:t>
      </w:r>
      <w:r>
        <w:t xml:space="preserve"> | -800 | 3000 | 18000 | 58000 | 130000 | - |</w:t>
      </w:r>
    </w:p>
    <w:bookmarkStart w:id="25" w:name="核心假设"/>
    <w:p>
      <w:pPr>
        <w:pStyle w:val="Heading3"/>
      </w:pPr>
      <w:r>
        <w:rPr>
          <w:rFonts w:hint="eastAsia"/>
        </w:rPr>
        <w:t xml:space="preserve">核心假设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客户增速保持每年200%以上，客单价稳步提升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毛利率随规模效应持续提升，稳定在70%以上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研发费用率逐年下降，从40%降至10%左右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无重大政策风险和市场竞争风险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融资计划与资金用途"/>
    <w:p>
      <w:pPr>
        <w:pStyle w:val="Heading2"/>
      </w:pPr>
      <w:r>
        <w:t xml:space="preserve">8. </w:t>
      </w:r>
      <w:r>
        <w:rPr>
          <w:rFonts w:hint="eastAsia"/>
        </w:rPr>
        <w:t xml:space="preserve">融资计划与资金用途</w:t>
      </w:r>
    </w:p>
    <w:bookmarkStart w:id="27" w:name="融资计划"/>
    <w:p>
      <w:pPr>
        <w:pStyle w:val="Heading3"/>
      </w:pPr>
      <w:r>
        <w:t xml:space="preserve">8.1 </w:t>
      </w:r>
      <w:r>
        <w:rPr>
          <w:rFonts w:hint="eastAsia"/>
        </w:rPr>
        <w:t xml:space="preserve">融资计划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融资轮次：Pre-A轮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融资金额：5000万元人民币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释放股权：10%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投后估值：5亿元人民币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资金到位时间：2026年6月前</w:t>
      </w:r>
    </w:p>
    <w:bookmarkEnd w:id="27"/>
    <w:bookmarkStart w:id="28" w:name="资金用途"/>
    <w:p>
      <w:pPr>
        <w:pStyle w:val="Heading3"/>
      </w:pPr>
      <w:r>
        <w:t xml:space="preserve">8.2 </w:t>
      </w:r>
      <w:r>
        <w:rPr>
          <w:rFonts w:hint="eastAsia"/>
        </w:rPr>
        <w:t xml:space="preserve">资金用途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产品研发与迭代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市场拓展与销售团队建设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团队扩张与人才招聘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运营资金储备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28"/>
    <w:bookmarkStart w:id="29" w:name="退出路径"/>
    <w:p>
      <w:pPr>
        <w:pStyle w:val="Heading3"/>
      </w:pPr>
      <w:r>
        <w:t xml:space="preserve">8.3 </w:t>
      </w:r>
      <w:r>
        <w:rPr>
          <w:rFonts w:hint="eastAsia"/>
        </w:rPr>
        <w:t xml:space="preserve">退出路径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IPO：预计2028年申报科创板或创业板，预期投资回报10-20倍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并购：被行业龙头企业或互联网巨头并购，预期投资回报5-10倍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老股转让：下一轮融资时可安排老股转让退出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迭代历史"/>
    <w:p>
      <w:pPr>
        <w:pStyle w:val="Heading2"/>
      </w:pPr>
      <w:r>
        <w:rPr>
          <w:rFonts w:hint="eastAsia"/>
        </w:rPr>
        <w:t xml:space="preserve">迭代历史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V1.0（2026年3月15日）：内部评审版，完成核心框架搭建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V2.0（2026年4月10日）：专家评审版，优化财务模型和市场分析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V3.0（2026年4月23日）：终稿，完成所有章节优化，通过最终评审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2026-04-23T08:52:06Z</dcterms:created>
  <dcterms:modified xsi:type="dcterms:W3CDTF">2026-04-23T08:52:06Z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