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sz w:val="18"/>
                <w:szCs w:val="18"/>
              </w:rPr>
              <w:t xml:space="preserve">RATIFICADO v1.1 — APTA COM AJUSTES · SELADO E FIRMADO PELA SIGNATÁRIA (09/06/2026). </w:t>
            </w:r>
            <w:r>
              <w:rPr>
                <w:sz w:val="18"/>
                <w:szCs w:val="18"/>
              </w:rPr>
              <w:t xml:space="preserve">A signatária julgou a minuta Φ₁ v2.4 APTA COM AJUSTES: notas N2, N5 e N7 conformes; N3 e N8 conformes com salvaguarda (metadata minimizado; consentimento granular + RIPD do Φ₄ antes de operar); N6 a ajustar (destaque do art. 54 §§3º/4º — corpo ≥12 e rubrica na cl. 8.2 — e crédito responsável no parcelamento). Cláusula 9.1 confirmada, fiel à Opção C selada. A responsabilidade técnica e a assinatura são exclusivas da advogada signatária.</w:t>
            </w:r>
          </w:p>
        </w:tc>
      </w:tr>
    </w:tbl>
    <w:p>
      <w:pPr>
        <w:spacing w:after="40" w:before="160"/>
        <w:jc w:val="center"/>
      </w:pPr>
      <w:r>
        <w:rPr>
          <w:b/>
          <w:bCs/>
          <w:sz w:val="26"/>
          <w:szCs w:val="26"/>
        </w:rPr>
        <w:t xml:space="preserve">PARECER — Φ₁ v2.4 (B2C) · APTA COM AJUSTES (RATIFICADO)</w:t>
      </w:r>
    </w:p>
    <w:p>
      <w:pPr>
        <w:spacing w:after="60"/>
        <w:jc w:val="center"/>
      </w:pPr>
      <w:r>
        <w:rPr>
          <w:i/>
          <w:iCs/>
          <w:color w:val="1F3864"/>
          <w:sz w:val="20"/>
          <w:szCs w:val="20"/>
        </w:rPr>
        <w:t xml:space="preserve">Contrato de adesão B2C · consumidor hipervulnerável · notas N2–N8 + cl. 9.1 · 3º condicionado</w:t>
      </w:r>
    </w:p>
    <w:p>
      <w:pPr>
        <w:spacing w:after="150"/>
        <w:jc w:val="center"/>
      </w:pPr>
      <w:r>
        <w:rPr>
          <w:b/>
          <w:bCs/>
          <w:color w:val="1F6B3B"/>
          <w:sz w:val="19"/>
          <w:szCs w:val="19"/>
        </w:rPr>
        <w:t xml:space="preserve">RATIFICADO E FIRMADO PELA SIGNATÁRIA — VERSÃO SELADA v1.1 (09/06/2026) · APTA COM AJUSTES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1. Matéria e pergunta jurídica</w:t>
      </w:r>
    </w:p>
    <w:p>
      <w:pPr>
        <w:spacing w:after="108" w:line="274" w:lineRule="auto"/>
        <w:jc w:val="both"/>
      </w:pPr>
      <w:r>
        <w:t xml:space="preserve">Matéria: contrato de adesão B2C com consumidor </w:t>
      </w:r>
      <w:r>
        <w:rPr>
          <w:b/>
          <w:bCs/>
        </w:rPr>
        <w:t xml:space="preserve">hipervulnerável</w:t>
      </w:r>
      <w:r>
        <w:t xml:space="preserve">, para prestação de serviço tecnológico de orquestração documental (atividade-meio · CNAE 6201-5/01) — dossiê + protocolo INSS, preço fixo (Standard R$ 2.200; CadÚnico R$ 1.500), sem success fee, custódia fiduciária gov.br, jornada E0–E7 coberta. Perguntas: as notas N2 (inadimplência), N3 (custódia), N5 (remuneração × resultado), N6 (destaque das cláusulas de não-reembolso), N7 (eliminação de Φ₂) e N8 (Φ₄ autônomo) são conformes? E a cl. 9.1 (marketplace) reflete fielmente a Opção C selada?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2. Base normativa (com selo Proof-First)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26"/>
        <w:gridCol w:w="12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Norma / fonte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Conteúdo pertinente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Selo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CDC arts. 6º III, 39 (I/IV/V), 42, 49, 51 IV, 54 §§3º/4º, 54-A, 54-C IV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Informação; vedação de venda casada (39 I), de prevalecer-se da vulnerabilidade (39 IV) e de cobrança vexatória (42); decadência do arrependimento (49); cláusulas abusivas (51 IV); destaque/corpo 12 das cláusulas limitativas (54 §§3º/4º); crédito responsável e vedação de assédio ao vulnerável (54-C IV).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CC art. 884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Vedação ao enriquecimento sem causa — devolução proporcional ao não-executado.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LGPD arts. 7º/11, 8º §4º, 6º III, 18 VI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Bases; finalidades determinadas; minimização; eliminação dos dados a pedido.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Lei 8.906/94 art. 22; Prov. CFOAB 154/2012; Prov. 205/2021; EAOAB art. 34 IV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Vedação a success fee/quota litis fora dos limites; vedação de captação/direcionamento.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[VERIFICADO no Project]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Lei 4.595/64 art. 17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Conceito de instituição financeira — risco de reclassificação de pagamento contingente.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[VERIFICADO]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Jurisprudência STJ — obrigação de meio × resultado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Serviços advocatícios/de assessoria são, em regra, obrigação de meio (não de resultado).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[DOUTRINA — precedente a confirmar]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3. Análise nota a nota (semáforo)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3226"/>
        <w:gridCol w:w="1200"/>
        <w:gridCol w:w="1800"/>
      </w:tblGrid>
      <w:tr>
        <w:trPr>
          <w:tblHeader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Nota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Cláusula / tema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Aferição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Sinal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Ajuste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N2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8.4/8.5 — inadimplência D+60, monitoramento silencioso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Pró-consumidor: suspender cobrança proativa (D+20→D+60) evita assédio (CDC 42; 54-C IV); 60 dias é tolerância generosa; 8.5 preserva o dever de informar movimentação (6º III); 8.6 nunca cobra antes de liquidez.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Garantir que o D+5 seja lembrete gentil e a rescisão D+60 seja precedida de aviso claro.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N3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6.1–6.5 — custódia gov.br, eliminação D+0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Alinhada ao Prov. 205/2021, LGPD 18 VI, CDC 39 V e CP 146/345; vedação de retenção como cobrança + eliminação D+0 + vedações explícitas (6.4) são robustas.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Confirmar que o metadata/audit log (6.5) é minimizado (sem conteúdo sensível) — LGPD 6º III.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2.3 — remuneração independente do resultado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Enquadra corretamente como obrigação de MEIO (orquestração), não de resultado (concessão). Coerente com a vedação a success fee (2.6) e a cobertura integral sem pagamento contingente.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Não citar precedente STJ não verificado; manter o discurso de “meio” também no marketing (léxico blindado).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N6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8.1/8.2 — destaque do não-reembolso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Os realces (boxes “em linguagem clara”) atendem ao art. 54 §4º; como as parcelas são “financiamento diferido” (8.3), incidem também os deveres de crédito responsável (54-A/54-C).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🟡 Ajuste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Garantir corpo ≥12 (54 §3º) e rubrica/ciência específica na 8.2; honrar 54-C IV (sem assédio) na oferta do parcelamento.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2.4/2.6 — eliminação de Φ₂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Confirma-se o benefício: sem bônus pós-protocolo, removem-se o success fee disfarçado (art. 22) e o pagamento contingente típico de IF (Lei 4.595/64 art. 17). Cobertura integral E0–E7 reforça a obrigação de meio.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 parcelamento direto é financiamento do próprio serviço (não é IF); como crédito, observar 54-A/54-C.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N8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5.4 — Φ₄ Guardião autônomo</w:t>
            </w:r>
          </w:p>
        </w:tc>
        <w:tc>
          <w:tcPr>
            <w:tcW w:type="dxa" w:w="32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(a) contrato autônomo + “não-adesão sem ônus” afasta venda casada (39 I) e não contamina o Φ₁; (b) contribuição por capacidade é preço social — oposto de 39 IV (não explora, protege); (c) instrumento autônomo + consentimento granular é o correto.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🟢 Sólido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Consentimento do monitoramento pós-E5 específico/granular/revogável + RIPD selado antes do Φ₄ ir ao ar; critério de gratuidade transparente.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4. Dois pontos que merecem prosa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N6 — destaque e a natureza de crédito do parcelamento</w:t>
      </w:r>
    </w:p>
    <w:p>
      <w:pPr>
        <w:spacing w:after="108" w:line="274" w:lineRule="auto"/>
        <w:jc w:val="both"/>
      </w:pPr>
      <w:r>
        <w:t xml:space="preserve">O art. 54 §4º exige que cláusulas limitadoras de direito sejam redigidas com destaque, de imediata e fácil compreensão; o §3º impõe corpo mínimo 12. A minuta já traz boxes em linguagem clara — bom começo. Como a cl. 8.3 define as parcelas como </w:t>
      </w:r>
      <w:r>
        <w:rPr>
          <w:i/>
          <w:iCs/>
        </w:rPr>
        <w:t xml:space="preserve">“financiamento diferido de serviço já prestado”</w:t>
      </w:r>
      <w:r>
        <w:t xml:space="preserve">, a relação ganha dimensão de </w:t>
      </w:r>
      <w:r>
        <w:rPr>
          <w:b/>
          <w:bCs/>
        </w:rPr>
        <w:t xml:space="preserve">crédito ao consumidor</w:t>
      </w:r>
      <w:r>
        <w:t xml:space="preserve">: incidem os deveres de crédito responsável (art. 54-A) e a vedação de assédio ao vulnerável (art. 54-C, IV — que nomeia idoso, doente, vulnerabilidade agravada). Recomendo: (i) confirmar corpo ≥12; (ii) rubrica/ciência específica do(a) titular na cl. 8.2 (não-reembolso); (iii) jamais transformar a urgência em alavanca de venda do parcelamento. O Teto de Dignidade (cl. 2.7) já dialoga com o mínimo existencial (art. 54-A) — coerente.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N8 — Φ₄ Guardião: autonomia, preço social e consentimento</w:t>
      </w:r>
    </w:p>
    <w:p>
      <w:pPr>
        <w:spacing w:after="108" w:line="274" w:lineRule="auto"/>
        <w:jc w:val="both"/>
      </w:pPr>
      <w:r>
        <w:t xml:space="preserve">A cláusula 5.4 acerta nos três eixos: o contrato </w:t>
      </w:r>
      <w:r>
        <w:rPr>
          <w:b/>
          <w:bCs/>
        </w:rPr>
        <w:t xml:space="preserve">autônomo</w:t>
      </w:r>
      <w:r>
        <w:t xml:space="preserve"> com fato gerador distinto e a regra de que a não-adesão </w:t>
      </w:r>
      <w:r>
        <w:rPr>
          <w:b/>
          <w:bCs/>
        </w:rPr>
        <w:t xml:space="preserve">não gera ônus nem redução de serviço</w:t>
      </w:r>
      <w:r>
        <w:t xml:space="preserve"> afastam a venda casada (art. 39, I) e impedem a contaminação do Φ₁; a contribuição </w:t>
      </w:r>
      <w:r>
        <w:rPr>
          <w:b/>
          <w:bCs/>
        </w:rPr>
        <w:t xml:space="preserve">por capacidade</w:t>
      </w:r>
      <w:r>
        <w:t xml:space="preserve"> (inclusive gratuita) é preço social — o oposto do art. 39, IV (que veda explorar a vulnerabilidade, não protegê-la), desde que não haja serviço inferior ao regime subsidiado (a minuta veda essa diferença). Como o Guardião envolve </w:t>
      </w:r>
      <w:r>
        <w:rPr>
          <w:b/>
          <w:bCs/>
        </w:rPr>
        <w:t xml:space="preserve">monitoramento contínuo</w:t>
      </w:r>
      <w:r>
        <w:t xml:space="preserve"> pós-E5, exige consentimento próprio, específico, granular e revogável (LGPD art. 8º §4º) e RIPD selado antes de entrar em operação — e o critério de gratuidade deve ser transparente e objetivo, sem estigma.</w:t>
      </w:r>
    </w:p>
    <w:p>
      <w:pPr>
        <w:spacing w:after="55" w:before="150"/>
      </w:pPr>
      <w:r>
        <w:rPr>
          <w:b/>
          <w:bCs/>
          <w:color w:val="1F3864"/>
          <w:sz w:val="20"/>
          <w:szCs w:val="20"/>
        </w:rPr>
        <w:t xml:space="preserve">Cl. 9.1 (Errata 2) — confirmação</w:t>
      </w:r>
    </w:p>
    <w:p>
      <w:pPr>
        <w:spacing w:after="108" w:line="274" w:lineRule="auto"/>
        <w:jc w:val="both"/>
      </w:pPr>
      <w:r>
        <w:t xml:space="preserve">A reescrita é </w:t>
      </w:r>
      <w:r>
        <w:rPr>
          <w:b/>
          <w:bCs/>
          <w:color w:val="1F6B3B"/>
        </w:rPr>
        <w:t xml:space="preserve">fiel à Opção C selada</w:t>
      </w:r>
      <w:r>
        <w:t xml:space="preserve"> (Saneamento ADR-009b v1.3): exige solicitação/concordância prévia; informa primeiro a livre escolha de qualquer advogado(a); sem comissão; nominal à Dra. Melo na Crisálida (até 31/12/2026), genérica/rotativa após 01/01/2027 (anti-direcionamento — EAOAB art. 34 IV, Prov. 205/2021). Confirmo a redação.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5. Matriz de risco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26"/>
        <w:gridCol w:w="1200"/>
        <w:gridCol w:w="190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Eixo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Foco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Sever.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Mitigação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Consumerista (forma)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Destaque/corpo do não-reembolso (54 §3º/§4º)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Média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Corpo ≥12 + rubrica na 8.2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Crédito responsável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Parcelamento como crédito ao vulnerável (54-C)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Média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Sem assédio; ônus claro; Teto Dignidade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OAB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Success fee / direcionamento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 (selado)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Vedação 2.6 + cl. 9.1 Opção C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LGPD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Monitoramento Φ₄ / metadata custódia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Média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Consentimento granular + RIPD; metadata minimizado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IF (reclassificação)</w:t>
            </w:r>
          </w:p>
        </w:tc>
        <w:tc>
          <w:tcPr>
            <w:tcW w:type="dxa" w:w="3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Pagamento contingente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Baixa (Φ₂ eliminado)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4"/>
              <w:left w:type="dxa" w:w="84"/>
              <w:bottom w:type="dxa" w:w="54"/>
              <w:right w:type="dxa" w:w="84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Preço fixo, sem êxito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6. Opções e recomendação técnica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A — APTA COM AJUSTES (RECOMENDADA). </w:t>
      </w:r>
      <w:r>
        <w:t xml:space="preserve">Selar a minuta com as notas N2, N3, N5, N7 e N8 sólidas e a cl. 9.1 confirmada, condicionada aos ajustes de forma da N6 (corpo ≥12 + rubrica na 8.2; crédito responsável no parcelamento), à minimização do metadata da custódia (N3) e ao consentimento granular + RIPD do monitoramento Φ₄ (N8).</w:t>
      </w:r>
    </w:p>
    <w:p>
      <w:pPr>
        <w:spacing w:after="108" w:line="274" w:lineRule="auto"/>
        <w:jc w:val="both"/>
      </w:pPr>
      <w:r>
        <w:rPr>
          <w:b/>
          <w:bCs/>
        </w:rPr>
        <w:t xml:space="preserve">Opção B — apta sem ajustes. </w:t>
      </w:r>
      <w:r>
        <w:t xml:space="preserve">NÃO RECOMENDADA: deixa pendente o destaque formal exigido pelo art. 54 §§3º/4º para um público hipervulnerável.</w:t>
      </w:r>
    </w:p>
    <w:p>
      <w:pPr>
        <w:spacing w:after="108" w:line="274" w:lineRule="auto"/>
        <w:jc w:val="both"/>
      </w:pPr>
      <w:r>
        <w:rPr>
          <w:b/>
          <w:bCs/>
          <w:color w:val="1F6B3B"/>
        </w:rPr>
        <w:t xml:space="preserve">Recomendação técnica: Opção A</w:t>
      </w:r>
      <w:r>
        <w:t xml:space="preserve">. O contrato é sólido e protetivo (anti-assédio na inadimplência, custódia blindada, sem success fee, preço social no Φ₄); os ajustes são de forma e de salvaguarda, não de mérito. A decisão é da signatária.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7. Minuta da conclusão (texto para ratificar/retificar/assinar)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color w:val="1F6B3B"/>
              </w:rPr>
              <w:t xml:space="preserve">Conclusão ratificada: </w:t>
            </w:r>
            <w:r>
              <w:rPr>
                <w:color w:val="1F6B3B"/>
              </w:rPr>
              <w:t xml:space="preserve">“RATIFICO — APTA COM AJUSTES. Examinada a minuta Φ₁ v2.4 à luz do CDC (arts. 6º III, 39, 42, 49, 51 IV, 54 §§3º/4º, 54-A, 54-C IV), do CC (art. 884), da LGPD (arts. 7º/11, 8º, 18 VI), da Lei 8.906/94 (art. 22) e da Lei 4.595/64 (art. 17): considero APTA COM AJUSTES. As notas N2 (inadimplência com monitoramento silencioso — pró-consumidor), N3 (custódia com eliminação D+0 e vedação de retenção), N5 (remuneração como obrigação de meio), N7 (eliminação de Φ₂, que remove success fee disfarçado e risco de pagamento contingente de IF) e N8 (Φ₄ como contrato autônomo, com preço social não-abusivo) estão conformes. Como ajustes: na N6, assegurar o destaque do art. 54 §§3º/4º (corpo ≥12 e rubrica específica na cl. 8.2) e os deveres de crédito responsável (art. 54-C) no parcelamento; na N3, minimizar o metadata da custódia; na N8, consentimento granular e RIPD selado antes de o Φ₄ operar. Confirmo a redação da cl. 9.1, fiel à Opção C selada. Sob D &gt; C &gt; V, o contrato protege o hipervulnerável e mantém o MC na atividade-meio.”</w:t>
            </w:r>
          </w:p>
        </w:tc>
      </w:tr>
    </w:tbl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8. Fontes citadas (com selo)</w:t>
      </w:r>
    </w:p>
    <w:p>
      <w:pPr>
        <w:spacing w:after="108" w:line="274" w:lineRule="auto"/>
        <w:jc w:val="both"/>
      </w:pPr>
      <w:r>
        <w:rPr>
          <w:sz w:val="19"/>
          <w:szCs w:val="19"/>
        </w:rPr>
        <w:t xml:space="preserve">CDC (Lei 8.078/90) arts. 6º III, 39 I/IV/V, 42, 49, 51 IV, 54 §§3º/4º, 54-A, 54-C IV — [VERIFICADO no Project]. CC art. 884 — [VERIFICADO]. LGPD arts. 7º/11, 8º §4º, 6º III, 18 VI — [VERIFICADO no Project]. Lei 8.906/94 art. 22; Prov. CFOAB 154/2012; Prov. 205/2021; EAOAB art. 34 IV — [VERIFICADO no Project]. Lei 4.595/64 art. 17 — [VERIFICADO]. Decreto 7.962/2013 art. 5º — [VERIFICADO no Project]. Parecer Caso 7 (N1) e Despacho Saneamento 009b v1.3 (cl. 9.1) — [VERIFICADO — selados]. Jurisprudência STJ sobre obrigação de meio em serviço previdenciário — [DOUTRINA — precedente específico a confirmar antes de citar no texto].</w:t>
      </w:r>
    </w:p>
    <w:p>
      <w:pPr>
        <w:spacing w:after="100" w:before="240"/>
      </w:pPr>
      <w:r>
        <w:rPr>
          <w:b/>
          <w:bCs/>
          <w:color w:val="1F3864"/>
          <w:sz w:val="25"/>
          <w:szCs w:val="25"/>
        </w:rPr>
        <w:t xml:space="preserve">9. Veredito da signatária</w:t>
      </w:r>
    </w:p>
    <w:p>
      <w:pPr>
        <w:spacing w:after="60" w:before="60"/>
      </w:pPr>
      <w:r>
        <w:rPr>
          <w:b/>
          <w:bCs/>
        </w:rPr>
        <w:t xml:space="preserve">Minuta Φ₁ v2.4 (com erratas 1 e 2 já aplicadas pelo MC):</w:t>
      </w:r>
    </w:p>
    <w:p>
      <w:pPr>
        <w:spacing w:after="40"/>
      </w:pPr>
      <w:r>
        <w:rPr>
          <w:b/>
          <w:bCs/>
          <w:color w:val="1F6B3B"/>
          <w:sz w:val="23"/>
          <w:szCs w:val="23"/>
        </w:rPr>
        <w:t xml:space="preserve">☑ APTA COM AJUSTES</w:t>
      </w:r>
      <w:r>
        <w:t xml:space="preserve"> — selada com os ajustes abaixo; a redação final dos ajustes é execução do MC, conferida na entrega.</w:t>
      </w:r>
    </w:p>
    <w:p>
      <w:pPr>
        <w:spacing w:after="40"/>
      </w:pPr>
      <w:r>
        <w:rPr>
          <w:b/>
          <w:bCs/>
        </w:rPr>
        <w:t xml:space="preserve">Por nota: </w:t>
      </w:r>
      <w:r>
        <w:rPr>
          <w:color w:val="1F6B3B"/>
        </w:rPr>
        <w:t xml:space="preserve">N2 ☑ ok · N3 ☑ ok (metadata da custódia minimizado) · N5 ☑ ok · N6 ☑ ajustar (destaque art. 54 §§3º/4º — corpo ≥12 + rubrica na cl. 8.2; crédito responsável no parcelamento) · N7 ☑ ok · N8 ☑ ok (consentimento granular + RIPD selado antes de o Φ₄ operar).</w:t>
      </w:r>
    </w:p>
    <w:p>
      <w:pPr>
        <w:spacing w:after="120"/>
      </w:pPr>
      <w:r>
        <w:rPr>
          <w:b/>
          <w:bCs/>
        </w:rPr>
        <w:t xml:space="preserve">Cláusula 9.1 (Errata 2 · Opção C): </w:t>
      </w:r>
      <w:r>
        <w:rPr>
          <w:b/>
          <w:bCs/>
          <w:color w:val="1F6B3B"/>
        </w:rPr>
        <w:t xml:space="preserve">☑ redação confirmada</w:t>
      </w:r>
      <w:r>
        <w:t xml:space="preserve"> — fiel à Opção C selada (nominal Dra. Melo até 31/12/2026; genérica/rotativa após; livre escolha sempre informada).</w:t>
      </w:r>
    </w:p>
    <w:p>
      <w:pPr>
        <w:spacing w:after="120" w:before="40"/>
      </w:pPr>
      <w:r>
        <w:rPr>
          <w:b/>
          <w:bCs/>
        </w:rPr>
        <w:t xml:space="preserve">Observações da signatária:</w:t>
      </w:r>
    </w:p>
    <w:p>
      <w:pPr>
        <w:pBdr>
          <w:bottom w:val="single" w:color="BBBBBB" w:sz="6" w:space="1"/>
        </w:pBdr>
        <w:spacing w:after="150"/>
      </w:pPr>
    </w:p>
    <w:p>
      <w:pPr>
        <w:pBdr>
          <w:bottom w:val="single" w:color="BBBBBB" w:sz="6" w:space="1"/>
        </w:pBdr>
        <w:spacing w:after="150"/>
      </w:pPr>
    </w:p>
    <w:p>
      <w:pPr>
        <w:pBdr>
          <w:top w:val="single" w:color="000000" w:sz="6" w:space="6"/>
        </w:pBdr>
        <w:spacing w:before="24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Ratificado e firmado em 09/06/2026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A validação, sua ratificação/retificação/rejeição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Parecer R3 Φ₁ v2.4 v1.1 RATIFICADO · D &gt; C &gt; V · Provérbios 31:8 · Independência do parecerista preservada (Lei 8.906/94, art. 18)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2"/>
        <w:szCs w:val="12"/>
      </w:rPr>
      <w:t xml:space="preserve">PARECER R3 — Φ₁ v2.4 (CONTRATO B2C) · v1.1 RATIFICADO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2026-06-09T16:09:40.608Z</dcterms:created>
  <dcterms:modified xsi:type="dcterms:W3CDTF">2026-06-09T16:09:40.609Z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