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E5B8C"/>
          <w:sz w:val="26"/>
          <w:szCs w:val="26"/>
        </w:rPr>
        <w:t xml:space="preserve">CONTRATO DE PRESTAÇÃO DE SERVIÇOS DE ORQUESTRAÇÃO DOCUMENTAL</w:t>
      </w:r>
    </w:p>
    <w:p>
      <w:pPr>
        <w:spacing w:after="40"/>
        <w:jc w:val="center"/>
      </w:pPr>
      <w:r>
        <w:rPr>
          <w:b/>
          <w:bCs/>
          <w:sz w:val="21"/>
          <w:szCs w:val="21"/>
        </w:rPr>
        <w:t xml:space="preserve">CadÚnico / Assistencial — Φ₀ (Triagem por IA + Dossiê com coleta assistida)</w:t>
      </w:r>
    </w:p>
    <w:p>
      <w:pPr>
        <w:spacing w:after="160"/>
        <w:jc w:val="center"/>
      </w:pPr>
      <w:r>
        <w:rPr>
          <w:color w:val="555555"/>
          <w:sz w:val="17"/>
          <w:szCs w:val="17"/>
        </w:rPr>
        <w:t xml:space="preserve">Meu Cumpadre — Orquestração Documental e Tecnologia Ltda. · CNAE 6201-5/01 · Goiânia-GO · Junho/2026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2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64"/>
            </w:pPr>
            <w:r>
              <w:rPr>
                <w:b/>
                <w:bCs/>
              </w:rPr>
              <w:t xml:space="preserve">RATIFICADA PELA PARECERISTA v0.2-A3 — aprovada quanto à conformidade jurídica pela Dra. Juliana Pereira de Melo (OAB-GO 38.662) em 07/06/2026. </w:t>
            </w:r>
            <w:r>
              <w:t xml:space="preserve">A minuta torna-se APTA AO USO pelo MC; a execução com cada cidadão dá-se pelas assinaturas das partes (MC e cidadão) no ato. A Dra. atua como parecerista externa independente — não é parte do contrato. O valor da 2ª fração rastreia o serviço, jamais o resultado do benefício.</w:t>
            </w:r>
          </w:p>
        </w:tc>
      </w:tr>
    </w:tbl>
    <w:p>
      <w:pPr>
        <w:spacing w:after="120" w:before="0" w:line="276"/>
      </w:pPr>
      <w:r>
        <w:t xml:space="preserve"/>
      </w:r>
    </w:p>
    <w:p>
      <w:pPr>
        <w:pStyle w:val="Heading1"/>
      </w:pPr>
      <w:r>
        <w:t xml:space="preserve">O que este contrato diz — em linguagem clara</w:t>
      </w:r>
    </w:p>
    <w:p>
      <w:pPr>
        <w:spacing w:after="120" w:before="0" w:line="276"/>
      </w:pPr>
      <w:r>
        <w:rPr>
          <w:b/>
          <w:bCs/>
        </w:rPr>
        <w:t xml:space="preserve">A empresa Meu Cumpadre é uma empresa de tecnologia. Não é advogado e não é o governo.</w:t>
      </w:r>
    </w:p>
    <w:p>
      <w:pPr>
        <w:spacing w:after="120" w:before="0" w:line="276"/>
      </w:pPr>
      <w:r>
        <w:t xml:space="preserve">Este serviço é para o CadÚnico (o cadastro do governo para programas sociais como Bolsa Família e BPC). A empresa vai te ajudar a organizar seus documentos, fazer um diagnóstico do seu caso e te preparar para a entrevista no CRAS — junto com você, usando seu acesso com sua autorização.</w:t>
      </w:r>
    </w:p>
    <w:p>
      <w:pPr>
        <w:spacing w:after="120" w:before="0" w:line="276"/>
      </w:pPr>
      <w:r>
        <w:t xml:space="preserve">O diagnóstico inicial é de graça (Φ₀-Triagem). Se você seguir com o dossiê completo, o preço é R$ 60 no começo e mais R$ 60 quando o seu dossiê fica pronto e o protocolo é aceito no CRAS — em parcelinhas de R$ 15. Você paga pelo trabalho de organizar e preparar, não por um resultado.</w:t>
      </w:r>
    </w:p>
    <w:p>
      <w:pPr>
        <w:spacing w:after="120" w:before="0" w:line="276"/>
      </w:pPr>
      <w:r>
        <w:t xml:space="preserve">Quem decide se você tem direito ao benefício é o governo / CRAS, não o Meu Cumpadre. A empresa nunca cobra nada por o seu benefício sair — o preço é pelo serviço feito.</w:t>
      </w:r>
    </w:p>
    <w:p>
      <w:pPr>
        <w:spacing w:after="120" w:before="0" w:line="276"/>
      </w:pPr>
      <w:r>
        <w:t xml:space="preserve">Seu acesso fica guardado com segurança só enquanto o serviço acontece. No final, a gente apaga. Se você ficar sem pagar, a gente nunca segura seu acesso como pressão.</w:t>
      </w:r>
    </w:p>
    <w:p>
      <w:pPr>
        <w:spacing w:after="120" w:before="0" w:line="276"/>
      </w:pPr>
      <w:r>
        <w:t xml:space="preserve">Em 7 dias você pode desistir e receber o dinheiro de volta, sem precisar explicar nada.</w:t>
      </w:r>
    </w:p>
    <w:p>
      <w:pPr>
        <w:spacing w:after="120" w:before="0" w:line="276"/>
      </w:pPr>
      <w:r>
        <w:t xml:space="preserve"/>
      </w:r>
    </w:p>
    <w:p>
      <w:pPr>
        <w:pStyle w:val="Heading1"/>
      </w:pPr>
      <w:r>
        <w:t xml:space="preserve">Preâmbulo — Identificação das Partes</w:t>
      </w:r>
    </w:p>
    <w:p>
      <w:pPr>
        <w:spacing w:after="120" w:before="0" w:line="276"/>
      </w:pPr>
      <w:r>
        <w:rPr>
          <w:b/>
          <w:bCs/>
        </w:rPr>
        <w:t xml:space="preserve">CONTRATADA: MEU CUMPADRE — ORQUESTRAÇÃO DOCUMENTAL E TECNOLOGIA LTDA.</w:t>
      </w:r>
      <w:r>
        <w:t xml:space="preserve">, pessoa jurídica de direito privado, CNPJ [a inserir], sede em Goiânia-GO, CNAE 6201-5/01 (desenvolvimento de programas de computador sob encomenda), neste ato representada por seu Founder/CEO Alessandro de Souza Neves, CPF [a inserir], adiante “CONTRATADA” ou “MC”;</w:t>
      </w:r>
    </w:p>
    <w:p>
      <w:pPr>
        <w:spacing w:after="120" w:before="0" w:line="276"/>
      </w:pPr>
      <w:r>
        <w:rPr>
          <w:b/>
          <w:bCs/>
        </w:rPr>
        <w:t xml:space="preserve">CONTRATANTE: [NOME COMPLETO]</w:t>
      </w:r>
      <w:r>
        <w:t xml:space="preserve">, [nacionalidade], [estado civil], [profissão], documento de identidade nº [...], CPF nº [...], NIS nº [... se houver], residente em [endereço], adiante “CONTRATANTE” ou “CIDADÃO(Ã)”;</w:t>
      </w:r>
    </w:p>
    <w:p>
      <w:pPr>
        <w:spacing w:after="120" w:before="0" w:line="276"/>
      </w:pPr>
      <w:r>
        <w:t xml:space="preserve">Resolvem celebrar o presente CONTRATO DE PRESTAÇÃO DE SERVIÇOS DE ORQUESTRAÇÃO DOCUMENTAL CadÚnico/Assistencial, regido pelas cláusulas a seguir.</w:t>
      </w:r>
    </w:p>
    <w:p>
      <w:pPr>
        <w:pStyle w:val="Heading1"/>
      </w:pPr>
      <w:r>
        <w:t xml:space="preserve">Cláusula 1ª — Do Objeto e da Natureza do Serviço</w:t>
      </w:r>
    </w:p>
    <w:p>
      <w:pPr>
        <w:spacing w:after="120" w:before="0" w:line="276"/>
      </w:pPr>
      <w:r>
        <w:t xml:space="preserve">1.1. O objeto é a prestação de serviços tecnológicos de orquestração documental destinados a viabilizar, em nome e sob a instrução do(a) CONTRATANTE: (a) diagnóstico assistido por IA de elegibilidade a programas do CadÚnico/assistenciais (ex.: Bolsa Família, BPC/LOAS) — produto Φ₀-Triagem; e (b) montagem de dossiê documental com coleta assistida, formulário pré-analisado, checklist de pendências e preparação para entrevista no CRAS — produto Φ₀-Dossiê.</w:t>
      </w:r>
    </w:p>
    <w:p>
      <w:pPr>
        <w:spacing w:after="120" w:before="0" w:line="276"/>
      </w:pPr>
      <w:r>
        <w:t xml:space="preserve">1.2. A CONTRATADA é empresa de tecnologia (CNAE 6201-5/01). Não é sociedade de advocacia, não exerce advocacia, não representa o(a) CONTRATANTE perante o CRAS, o órgão gestor municipal, o INSS ou o Poder Judiciário, e não promete ou garante qualquer resultado (concessão, valor ou data do benefício assistencial).</w:t>
      </w:r>
    </w:p>
    <w:p>
      <w:pPr>
        <w:spacing w:after="120" w:before="0" w:line="276"/>
      </w:pPr>
      <w:r>
        <w:t xml:space="preserve">1.3. A obrigação é de meio — não de resultado — quanto à concessão do benefício. A decisão de concessão/liberação é ato exclusivo do poder público competente (município/CRAS, MDS, INSS conforme o caso).</w:t>
      </w:r>
    </w:p>
    <w:p>
      <w:pPr>
        <w:spacing w:after="120" w:before="0" w:line="276"/>
      </w:pPr>
      <w:r>
        <w:t xml:space="preserve">1.4. FRONTEIRA ENTRE VERTICAIS. Este contrato trata exclusivamente da vertical CadÚnico/assistencial (Φ₀). Não se confunde com o produto previdenciário (Φ₁), regido por contrato próprio. É vedada a aplicação, por analogia, das regras de cobrança deste contrato ao Φ₁ previdenciário.</w:t>
      </w:r>
    </w:p>
    <w:p>
      <w:pPr>
        <w:pStyle w:val="Heading1"/>
      </w:pPr>
      <w:r>
        <w:t xml:space="preserve">Cláusula 2ª — Do Preço e da Cobrança</w:t>
      </w:r>
    </w:p>
    <w:p>
      <w:pPr>
        <w:spacing w:after="120" w:before="0" w:line="276"/>
      </w:pPr>
      <w:r>
        <w:t xml:space="preserve">2.1. Φ₀-TRIAGEM — GRATUITA. O diagnóstico inicial por IA (Φ₀-Triagem) é prestado sem qualquer custo ao(à) CONTRATANTE.</w:t>
      </w:r>
    </w:p>
    <w:p>
      <w:pPr>
        <w:spacing w:after="120" w:before="0" w:line="276"/>
      </w:pPr>
      <w:r>
        <w:t xml:space="preserve">2.2. Φ₀-DOSSIÊ — PREÇO FIXO. Optando o(a) CONTRATANTE pelo dossiê com coleta assistida, o preço total é fixo de R$ 120,00, remuneratório do serviço documental e em nenhuma hipótese condicionado ao resultado (concessão, valor ou data do benefício). Decompõe-se 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400"/>
        <w:gridCol w:w="2630"/>
        <w:gridCol w:w="263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Componente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Valor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Natureza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Vencimento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Entrada (fixo)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R$ 60,00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Pré-serviço, pela execução do dossiê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ato da contratação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2ª fração (por marco de serviço)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R$ 60,00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Devida pela ENTREGA do dossiê / aceite do protocolo — nunca pela liberação do benefício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Na entrega do dossiê ou aceite do protocolo no CRAS, em até 4× R$ 15,00</w:t>
            </w:r>
          </w:p>
        </w:tc>
      </w:tr>
    </w:tbl>
    <w:p>
      <w:pPr>
        <w:spacing w:after="60" w:before="0" w:line="276"/>
      </w:pPr>
      <w:r>
        <w:t xml:space="preserve"/>
      </w:r>
    </w:p>
    <w:p>
      <w:pPr>
        <w:spacing w:after="120" w:before="0" w:line="276"/>
      </w:pPr>
      <w:r>
        <w:t xml:space="preserve">2.3. VEDAÇÃO AO SUCCESS FEE. É vedada, neste contrato e em todas as verticais do MC, qualquer cobrança condicionada à liberação do benefício, percentual sobre o valor do benefício ou honorário de êxito. A 2ª fração do preço (2.2) rastreia exclusivamente a entrega do serviço (Cláusula 2.4), jamais o resultado assistencial.</w:t>
      </w:r>
    </w:p>
    <w:p>
      <w:pPr>
        <w:spacing w:after="120" w:before="0" w:line="276"/>
      </w:pPr>
      <w:r>
        <w:t xml:space="preserve">2.4. MARCO DE SERVIÇO (GATILHO DA 2ª FRAÇÃO). Para os fins da Cláusula 2.2, a 2ª fração torna-se devida com a ENTREGA do Φ₀-Dossiê ao(à) CONTRATANTE ou o ACEITE do protocolo/atualização no CRAS — o que ocorrer primeiro — comprovado por recibo de entrega ou comprovante de protocolo. A liberação ou o indeferimento do benefício pelo poder público é irrelevante para a cobrança: se o serviço foi entregue, a fração é devida; se não foi entregue, nada além da entrada é cobrado.</w:t>
      </w:r>
    </w:p>
    <w:p>
      <w:pPr>
        <w:spacing w:after="120" w:before="0" w:line="276"/>
      </w:pPr>
      <w:r>
        <w:t xml:space="preserve">2.5. SEM OUTRAS COBRANÇAS. Salvo o disposto na Cláusula 2.2, não há reajuste, taxa adicional, comissão proporcional ao valor do benefício, ou cobrança posterior de qualquer natureza. A CONTRATADA não intermedia crédito; eventual parcelamento é relação direta com a operadora, quando houver.</w:t>
      </w:r>
    </w:p>
    <w:p>
      <w:pPr>
        <w:spacing w:after="120" w:before="0" w:line="276"/>
      </w:pPr>
      <w:r>
        <w:t xml:space="preserve">2.6. TETO DE DIGNIDADE (Φ₃). A parcela mensal máxima comprometida pelo(a) CONTRATANTE com serviços MC não poderá exceder 0,5 × β_rms (incluído no β_rms o benefício recebido). Constraint verificado automaticamente a cada fatura.</w:t>
      </w:r>
    </w:p>
    <w:p>
      <w:pPr>
        <w:spacing w:after="120" w:before="0" w:line="276"/>
      </w:pPr>
      <w:r>
        <w:t xml:space="preserve">2.7. VEDAÇÃO À CONTAMINAÇÃO PREVIDENCIÁRIA. As regras de cobrança deste contrato não se aplicam a qualquer serviço previdenciário (Φ₁), onde a vedação ao success fee permanece integral (art. 22 da Lei 8.906/94; entendimento do STJ no REsp 2.079.440/RO sobre honorários abusivos em face de beneficiário hipervulnerável).</w:t>
      </w:r>
    </w:p>
    <w:p>
      <w:pPr>
        <w:pStyle w:val="Heading1"/>
      </w:pPr>
      <w:r>
        <w:t xml:space="preserve">Cláusula 3ª — Das Obrigações da Contratada</w:t>
      </w:r>
    </w:p>
    <w:p>
      <w:pPr>
        <w:spacing w:after="120" w:before="0" w:line="276"/>
      </w:pPr>
      <w:r>
        <w:t xml:space="preserve">3.1. Executar os serviços com diligência, boa-fé e linguagem acessível (Teste Zilda-STF).</w:t>
      </w:r>
    </w:p>
    <w:p>
      <w:pPr>
        <w:spacing w:after="120" w:before="0" w:line="276"/>
      </w:pPr>
      <w:r>
        <w:t xml:space="preserve">3.2. Entregar o Φ₀-Dossiê em até 7 (sete) dias corridos do recebimento da documentação completa.</w:t>
      </w:r>
    </w:p>
    <w:p>
      <w:pPr>
        <w:spacing w:after="120" w:before="0" w:line="276"/>
      </w:pPr>
      <w:r>
        <w:t xml:space="preserve">3.3. Manter confidencialidade e segurança dos dados (Cláusula 7ª).</w:t>
      </w:r>
    </w:p>
    <w:p>
      <w:pPr>
        <w:spacing w:after="120" w:before="0" w:line="276"/>
      </w:pPr>
      <w:r>
        <w:t xml:space="preserve">3.4. Informar proativamente o(a) CONTRATANTE sobre pendências, prazos e exigências, independentemente do status financeiro.</w:t>
      </w:r>
    </w:p>
    <w:p>
      <w:pPr>
        <w:spacing w:after="120" w:before="0" w:line="276"/>
      </w:pPr>
      <w:r>
        <w:t xml:space="preserve">3.5. Não abandonar o caso durante a preparação e o acompanhamento da entrevista no CRAS.</w:t>
      </w:r>
    </w:p>
    <w:p>
      <w:pPr>
        <w:pStyle w:val="Heading1"/>
      </w:pPr>
      <w:r>
        <w:t xml:space="preserve">Cláusula 4ª — Das Obrigações do(a) Contratante</w:t>
      </w:r>
    </w:p>
    <w:p>
      <w:pPr>
        <w:spacing w:after="120" w:before="0" w:line="276"/>
      </w:pPr>
      <w:r>
        <w:t xml:space="preserve">4.1. Fornecer documentos legíveis e autênticos em tempo hábil.</w:t>
      </w:r>
    </w:p>
    <w:p>
      <w:pPr>
        <w:spacing w:after="120" w:before="0" w:line="276"/>
      </w:pPr>
      <w:r>
        <w:t xml:space="preserve">4.2. Informar alterações relevantes de renda, composição familiar ou situação social.</w:t>
      </w:r>
    </w:p>
    <w:p>
      <w:pPr>
        <w:spacing w:after="120" w:before="0" w:line="276"/>
      </w:pPr>
      <w:r>
        <w:t xml:space="preserve">4.3. Efetuar o pagamento da entrada (2.2) e da 2ª fração, quando devida na forma da Cláusula 2.4.</w:t>
      </w:r>
    </w:p>
    <w:p>
      <w:pPr>
        <w:spacing w:after="120" w:before="0" w:line="276"/>
      </w:pPr>
      <w:r>
        <w:t xml:space="preserve">4.4. Zelar pela segurança das próprias credenciais, abstendo-se de compartilhá-las com terceiros durante o período de custódia.</w:t>
      </w:r>
    </w:p>
    <w:p>
      <w:pPr>
        <w:pStyle w:val="Heading1"/>
      </w:pPr>
      <w:r>
        <w:t xml:space="preserve">Cláusula 5ª — Do Prazo e da Jornada</w:t>
      </w:r>
    </w:p>
    <w:p>
      <w:pPr>
        <w:spacing w:after="120" w:before="0" w:line="276"/>
      </w:pPr>
      <w:r>
        <w:t xml:space="preserve">5.1. Entrega do dossiê em até 7 dias corridos do recebimento da documentação completa; diligências pendentes suspendem o prazo.</w:t>
      </w:r>
    </w:p>
    <w:p>
      <w:pPr>
        <w:spacing w:after="120" w:before="0" w:line="276"/>
      </w:pPr>
      <w:r>
        <w:t xml:space="preserve">5.2. A jornada compreende triagem (Φ₀-Triagem), coleta assistida, montagem do dossiê e preparação para a entrevista no CRAS. O prazo de análise e a decisão são do poder público, não controláveis pela CONTRATADA.</w:t>
      </w:r>
    </w:p>
    <w:p>
      <w:pPr>
        <w:spacing w:after="120" w:before="0" w:line="276"/>
      </w:pPr>
      <w:r>
        <w:t xml:space="preserve">5.3. GUARDIÃO (Φ₄) — AUTÔNOMO. Concluído o Φ₀, o(a) CONTRATANTE poderá, voluntariamente, aderir ao Φ₄ Guardião CadÚnico (regime escalonado R$ 0–R$ 19/mês por β_rms per capita), objeto de contrato autônomo. A não-adesão não gera ônus. O Φ₄ não tem cobrança condicionada a resultado.</w:t>
      </w:r>
    </w:p>
    <w:p>
      <w:pPr>
        <w:pStyle w:val="Heading1"/>
      </w:pPr>
      <w:r>
        <w:t xml:space="preserve">Cláusula 6ª — Da Custódia de Credenciais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64"/>
            </w:pPr>
            <w:r>
              <w:rPr>
                <w:b/>
                <w:bCs/>
              </w:rPr>
              <w:t xml:space="preserve">A inadimplência jamais justifica retenção de credenciais. </w:t>
            </w:r>
            <w:r>
              <w:t xml:space="preserve">A retenção como instrumento de cobrança é vedada em qualquer hipótese.</w:t>
            </w:r>
          </w:p>
        </w:tc>
      </w:tr>
    </w:tbl>
    <w:p>
      <w:pPr>
        <w:spacing w:after="60" w:before="0" w:line="276"/>
      </w:pPr>
      <w:r>
        <w:t xml:space="preserve"/>
      </w:r>
    </w:p>
    <w:p>
      <w:pPr>
        <w:spacing w:after="120" w:before="0" w:line="276"/>
      </w:pPr>
      <w:r>
        <w:t xml:space="preserve">6.1. Credenciais de acesso (gov.br / sistemas CadÚnico) eventualmente fornecidas são custodiadas sob Bitwarden AES-256, 2FA e audit log, exclusivamente pelo tempo do serviço.</w:t>
      </w:r>
    </w:p>
    <w:p>
      <w:pPr>
        <w:spacing w:after="120" w:before="0" w:line="276"/>
      </w:pPr>
      <w:r>
        <w:t xml:space="preserve">6.2. A custódia encerra-se automaticamente no primeiro de: (i) conclusão/entrega do dossiê e desfecho; ou (ii) cancelamento, com eliminação em D+0. Não há terceiro gatilho.</w:t>
      </w:r>
    </w:p>
    <w:p>
      <w:pPr>
        <w:spacing w:after="120" w:before="0" w:line="276"/>
      </w:pPr>
      <w:r>
        <w:t xml:space="preserve">6.3. Vedada, em qualquer hipótese, a retenção como instrumento de cobrança ou coerção (CDC art. 39, V; LGPD art. 18, VI; Código Penal arts. 146 e 345).</w:t>
      </w:r>
    </w:p>
    <w:p>
      <w:pPr>
        <w:spacing w:after="120" w:before="0" w:line="276"/>
      </w:pPr>
      <w:r>
        <w:t xml:space="preserve">6.4. Vedadas operações financeiras com as credenciais (empréstimo, descontos associativos, cessão de créditos).</w:t>
      </w:r>
    </w:p>
    <w:p>
      <w:pPr>
        <w:spacing w:after="120" w:before="0" w:line="276"/>
      </w:pPr>
      <w:r>
        <w:t xml:space="preserve">6.5. Ao encerramento, a CONTRATADA orienta a troca de senha e elimina o valor custodiado, mantendo apenas metadata/audit log para compliance.</w:t>
      </w:r>
    </w:p>
    <w:p>
      <w:pPr>
        <w:pStyle w:val="Heading1"/>
      </w:pPr>
      <w:r>
        <w:t xml:space="preserve">Cláusula 7ª — Proteção de Dados (LGPD)</w:t>
      </w:r>
    </w:p>
    <w:p>
      <w:pPr>
        <w:spacing w:after="120" w:before="0" w:line="276"/>
      </w:pPr>
      <w:r>
        <w:t xml:space="preserve">7.1. Tratamento conforme Lei 13.709/2018, sob execução de contrato (art. 7º, V) e consentimento específico (art. 7º, I, e art. 11, I, para dados sensíveis) para dados sensíveis e custódia de credenciais. Dados de CadÚnico, NIS, renda e composição familiar recebem tratamento na stack soberana.</w:t>
      </w:r>
    </w:p>
    <w:p>
      <w:pPr>
        <w:spacing w:after="120" w:before="0" w:line="276"/>
      </w:pPr>
      <w:r>
        <w:t xml:space="preserve">7.2. Consentimento colhido por áudio no WhatsApp oficial, transcrito, criptografado, com timestamp.</w:t>
      </w:r>
    </w:p>
    <w:p>
      <w:pPr>
        <w:spacing w:after="120" w:before="0" w:line="276"/>
      </w:pPr>
      <w:r>
        <w:t xml:space="preserve">7.3. Direitos do art. 18 da LGPD atendidos em até 15 dias (Encarregado/DPO: dpo@meucumpadre.com.br).</w:t>
      </w:r>
    </w:p>
    <w:p>
      <w:pPr>
        <w:spacing w:after="120" w:before="0" w:line="276"/>
      </w:pPr>
      <w:r>
        <w:t xml:space="preserve">7.4. Conservação por 5 anos após o serviço; depois, eliminação/anonimização.</w:t>
      </w:r>
    </w:p>
    <w:p>
      <w:pPr>
        <w:spacing w:after="120" w:before="0" w:line="276"/>
      </w:pPr>
      <w:r>
        <w:t xml:space="preserve">7.5. Ouvidoria independente: ouvidoria@meucumpadre.com.br (SLA 48h).</w:t>
      </w:r>
    </w:p>
    <w:p>
      <w:pPr>
        <w:pStyle w:val="Heading1"/>
      </w:pPr>
      <w:r>
        <w:t xml:space="preserve">Cláusula 8ª — Cancelamento, Arrependimento e Inadimplência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64"/>
            </w:pPr>
            <w:r>
              <w:rPr>
                <w:b/>
                <w:bCs/>
              </w:rPr>
              <w:t xml:space="preserve">ARREPENDIMENTO — 7 DIAS (CDC art. 49): </w:t>
            </w:r>
            <w:r>
              <w:t xml:space="preserve">cancelamento sem custo em 7 dias corridos; devolução integral dos valores pagos, monetariamente atualizada, sem multa.</w:t>
            </w:r>
          </w:p>
        </w:tc>
      </w:tr>
    </w:tbl>
    <w:p>
      <w:pPr>
        <w:spacing w:after="60" w:before="0" w:line="276"/>
      </w:pPr>
      <w:r>
        <w:t xml:space="preserve"/>
      </w:r>
    </w:p>
    <w:p>
      <w:pPr>
        <w:spacing w:after="120" w:before="0" w:line="276"/>
      </w:pPr>
      <w:r>
        <w:t xml:space="preserve">8.1. Direito de arrependimento em 7 dias corridos (CDC art. 49 e parágrafo único) — devolução integral e imediata dos valores pagos, monetariamente atualizada, sem multa, exercível pela mesma ferramenta de contratação (Decreto 7.962/2013, art. 5º).</w:t>
      </w:r>
    </w:p>
    <w:p>
      <w:pPr>
        <w:spacing w:after="120" w:before="0" w:line="276"/>
      </w:pPr>
      <w:r>
        <w:t xml:space="preserve">8.2. Esgotado o prazo de 7 dias do art. 49 do CDC (prazo decadencial) e iniciada/prestada a execução do dossiê, não há devolução da entrada, ressalvadas as hipóteses de vício do serviço (CDC arts. 18-20). A 2ª fração, quando ainda não vencida pelo marco de serviço (Cláusula 2.4), não é devida no cancelamento. [Nota técnica: não se opõe ao(à) CONTRATANTE a tese de “produto personalizado” como causa de exclusão do arrependimento — exceção inexistente no texto do art. 49 e controversa; o fundamento da não-devolução após o 7º dia é exclusivamente a decadência do prazo somada ao serviço prestado.]</w:t>
      </w:r>
    </w:p>
    <w:p>
      <w:pPr>
        <w:spacing w:after="120" w:before="0" w:line="276"/>
      </w:pPr>
      <w:r>
        <w:t xml:space="preserve">8.3. INADIMPLÊNCIA. Dado o valor reduzido, o protocolo é: D+5 notificação (tom de cuidado) · D+20 suspensão de comunicação ativa (monitoramento interno segue) · D+60 rescisão declarada + eliminação de credenciais + cobrança civil pelo rito do CDC. Nunca cancelar antes de D+60.</w:t>
      </w:r>
    </w:p>
    <w:p>
      <w:pPr>
        <w:spacing w:after="120" w:before="0" w:line="276"/>
      </w:pPr>
      <w:r>
        <w:t xml:space="preserve">8.4. COMUNICAÇÃO OBRIGATÓRIA. Qualquer movimentação relevante (exigência, prazo CRAS, decisão) é comunicada independentemente de débito, sem menção a cobrança (CDC art. 6º, III).</w:t>
      </w:r>
    </w:p>
    <w:p>
      <w:pPr>
        <w:pStyle w:val="Heading1"/>
      </w:pPr>
      <w:r>
        <w:t xml:space="preserve">Cláusula 9ª — Não-Advocacia e Encaminhamento</w:t>
      </w:r>
    </w:p>
    <w:p>
      <w:pPr>
        <w:spacing w:after="120" w:before="0" w:line="276"/>
      </w:pPr>
      <w:r>
        <w:t xml:space="preserve">9.1. Caso o caso demande atuação jurídica (ex.: indeferimento que exija recurso/ação), a CONTRATADA poderá, a pedido e mediante concordância prévia e expressa do(a) CONTRATANTE — nunca por oferta ativa da CONTRATADA — apresentar advogada(s) parceira(s), sem vinculação obrigatória e sem comissão por indicação (Provimento CFOAB 205/2021).</w:t>
      </w:r>
    </w:p>
    <w:p>
      <w:pPr>
        <w:spacing w:after="120" w:before="0" w:line="276"/>
      </w:pPr>
      <w:r>
        <w:t xml:space="preserve">9.2. A relação advocatícia é exclusivamente entre o(a) CONTRATANTE e a advogada. A CONTRATADA é estranha ao contrato de honorários e não recebe comissão, percentual ou bônus por indicação.</w:t>
      </w:r>
    </w:p>
    <w:p>
      <w:pPr>
        <w:pStyle w:val="Heading1"/>
      </w:pPr>
      <w:r>
        <w:t xml:space="preserve">Cláusula 10ª — Rescisão</w:t>
      </w:r>
    </w:p>
    <w:p>
      <w:pPr>
        <w:spacing w:after="120" w:before="0" w:line="276"/>
      </w:pPr>
      <w:r>
        <w:t xml:space="preserve">10.1. Pelo(a) CONTRATANTE: a qualquer tempo, por comunicação formal (após o prazo de arrependimento, observada a Cláusula 8.2).</w:t>
      </w:r>
    </w:p>
    <w:p>
      <w:pPr>
        <w:spacing w:after="120" w:before="0" w:line="276"/>
      </w:pPr>
      <w:r>
        <w:t xml:space="preserve">10.2. Pela CONTRATADA: inadimplência superior a 60 dias, falsidade documental, ou impossibilidade técnica não imputável.</w:t>
      </w:r>
    </w:p>
    <w:p>
      <w:pPr>
        <w:spacing w:after="120" w:before="0" w:line="276"/>
      </w:pPr>
      <w:r>
        <w:t xml:space="preserve">10.3. Força maior/caso fortuito não gera ônus.</w:t>
      </w:r>
    </w:p>
    <w:p>
      <w:pPr>
        <w:pStyle w:val="Heading1"/>
      </w:pPr>
      <w:r>
        <w:t xml:space="preserve">Cláusula 11ª — Confidencialidade</w:t>
      </w:r>
    </w:p>
    <w:p>
      <w:pPr>
        <w:spacing w:after="120" w:before="0" w:line="276"/>
      </w:pPr>
      <w:r>
        <w:t xml:space="preserve">11.1. Sigilo absoluto sobre dados e documentos, salvo autorização expressa ou obrigação legal.</w:t>
      </w:r>
    </w:p>
    <w:p>
      <w:pPr>
        <w:pStyle w:val="Heading1"/>
      </w:pPr>
      <w:r>
        <w:t xml:space="preserve">Cláusula 12ª — Foro</w:t>
      </w:r>
    </w:p>
    <w:p>
      <w:pPr>
        <w:spacing w:after="120" w:before="0" w:line="276"/>
      </w:pPr>
      <w:r>
        <w:t xml:space="preserve">12.1. Foro do domicílio do(a) CONTRATANTE (CDC art. 101, I).</w:t>
      </w:r>
    </w:p>
    <w:p>
      <w:pPr>
        <w:pStyle w:val="Heading1"/>
      </w:pPr>
      <w:r>
        <w:t xml:space="preserve">Cláusula 13ª — Disposições Finais</w:t>
      </w:r>
    </w:p>
    <w:p>
      <w:pPr>
        <w:spacing w:after="120" w:before="0" w:line="276"/>
      </w:pPr>
      <w:r>
        <w:t xml:space="preserve">13.1. Redigido em linguagem clara (CDC art. 6º, III). Dúvidas podem ser esclarecidas antes da assinatura.</w:t>
      </w:r>
    </w:p>
    <w:p>
      <w:pPr>
        <w:spacing w:after="120" w:before="0" w:line="276"/>
      </w:pPr>
      <w:r>
        <w:t xml:space="preserve">13.2. Assinatura eletrônica via plataforma idônea (MP 2.200-2/2001; Lei 14.063/2020).</w:t>
      </w:r>
    </w:p>
    <w:p>
      <w:pPr>
        <w:spacing w:after="120" w:before="0" w:line="276"/>
      </w:pPr>
      <w:r>
        <w:t xml:space="preserve">13.3. Anexos: I — Checklist de documentos CadÚnico · II — Jornada simplificada · III — Script do áudio de consentimento LGPD.</w:t>
      </w:r>
    </w:p>
    <w:p>
      <w:pPr>
        <w:pStyle w:val="Heading1"/>
      </w:pPr>
      <w:r>
        <w:t xml:space="preserve">Assinaturas</w:t>
      </w:r>
    </w:p>
    <w:p>
      <w:pPr>
        <w:spacing w:after="240" w:before="0" w:line="276"/>
      </w:pPr>
      <w:r>
        <w:t xml:space="preserve">Goiânia-GO, ______ de _________________ de 2026.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single" w:color="000000" w:sz="6"/>
              <w:right w:val="none"/>
            </w:tcBorders>
            <w:tcMar>
              <w:top w:type="dxa" w:w="400"/>
              <w:left w:type="dxa" w:w="40"/>
              <w:bottom w:type="dxa" w:w="40"/>
              <w:right w:type="dxa" w:w="200"/>
            </w:tcMar>
          </w:tcPr>
          <w:p>
            <w:r>
              <w:t xml:space="preserve"> </w:t>
            </w:r>
          </w:p>
        </w:tc>
        <w:tc>
          <w:tcPr>
            <w:tcW w:type="dxa" w:w="4680"/>
            <w:tcBorders>
              <w:top w:val="none"/>
              <w:left w:val="none"/>
              <w:bottom w:val="single" w:color="000000" w:sz="6"/>
              <w:right w:val="none"/>
            </w:tcBorders>
            <w:tcMar>
              <w:top w:type="dxa" w:w="400"/>
              <w:left w:type="dxa" w:w="200"/>
              <w:bottom w:type="dxa" w:w="40"/>
              <w:right w:type="dxa" w:w="4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200"/>
            </w:tcMar>
          </w:tcPr>
          <w:p>
            <w:pPr>
              <w:spacing w:after="0" w:before="0" w:line="276"/>
            </w:pPr>
            <w:r>
              <w:rPr>
                <w:b/>
                <w:bCs/>
              </w:rPr>
              <w:t xml:space="preserve">MEU CUMPADRE — ORQUESTRAÇÃO DOCUMENTAL E TECNOLOGIA LTDA.</w:t>
            </w:r>
          </w:p>
          <w:p>
            <w:pPr>
              <w:spacing w:after="0" w:before="0" w:line="276"/>
            </w:pPr>
            <w:r>
              <w:t xml:space="preserve">Alessandro de Souza Neves — Founder/CEO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40"/>
            </w:tcMar>
          </w:tcPr>
          <w:p>
            <w:pPr>
              <w:spacing w:after="0" w:before="0" w:line="276"/>
            </w:pPr>
            <w:r>
              <w:rPr>
                <w:b/>
                <w:bCs/>
              </w:rPr>
              <w:t xml:space="preserve">[NOME COMPLETO]</w:t>
            </w:r>
          </w:p>
          <w:p>
            <w:pPr>
              <w:spacing w:after="0" w:before="0" w:line="276"/>
            </w:pPr>
            <w:r>
              <w:t xml:space="preserve">CPF: [a inserir]</w:t>
            </w:r>
          </w:p>
        </w:tc>
      </w:tr>
    </w:tbl>
    <w:p>
      <w:pPr>
        <w:spacing w:after="120" w:before="0" w:line="276"/>
      </w:pPr>
      <w:r>
        <w:t xml:space="preserve"/>
      </w:r>
    </w:p>
    <w:p>
      <w:pPr>
        <w:pStyle w:val="Heading1"/>
      </w:pPr>
      <w:r>
        <w:t xml:space="preserve">Anotação Jurídica — Resolução R3 (Bancada Dra. Juliana)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64"/>
            </w:pPr>
            <w:r>
              <w:rPr>
                <w:b/>
                <w:bCs/>
              </w:rPr>
              <w:t xml:space="preserve">Documento confidencial — uso interno. </w:t>
            </w:r>
            <w:r>
              <w:t xml:space="preserve">Esta v0.2 incorpora a deliberação da Dra. Juliana Pereira de Melo (OAB-GO 38.662) sobre os Blocos M (success fee Φ₀) e a minuta contratual:</w:t>
            </w:r>
          </w:p>
          <w:p>
            <w:pPr>
              <w:spacing w:after="60" w:line="264"/>
            </w:pPr>
            <w:r>
              <w:t xml:space="preserve">• Opção A / A3 (Caso 1 e 2): success fee suprimido; preço FLAT de R$ 120, com a 2ª fração presa a marco de SERVIÇO (entrega do dossiê / aceite do protocolo), nunca à liberação do benefício (Cláusulas 2.2–2.4).</w:t>
            </w:r>
          </w:p>
          <w:p>
            <w:pPr>
              <w:spacing w:after="60" w:line="264"/>
            </w:pPr>
            <w:r>
              <w:t xml:space="preserve">• Cláusula 8.2 refundamentada: não-devolução após o 7º dia por decadência do art. 49 do CDC + serviço prestado, sem invocar a tese controversa de “produto personalizado”.</w:t>
            </w:r>
          </w:p>
          <w:p>
            <w:pPr>
              <w:spacing w:after="60" w:line="264"/>
            </w:pPr>
            <w:r>
              <w:t xml:space="preserve">• Ajustes: Cláusula 4.4 (revertida — o cidadão zela pela própria credencial, sem necessitar de autorização do MC) e Cláusula 9.1 (encaminhamento sempre a pedido do cidadão, nunca por oferta ativa).</w:t>
            </w:r>
          </w:p>
          <w:p>
            <w:pPr>
              <w:spacing w:after="60" w:line="264"/>
            </w:pPr>
            <w:r>
              <w:t xml:space="preserve">• Mantidas as blindagens de firewall já conformes: 1.2, 1.3, 1.4/2.7, 2.5, 2.6 (teto de dignidade) e 6.3.</w:t>
            </w:r>
          </w:p>
          <w:p>
            <w:pPr>
              <w:spacing w:after="60" w:line="264"/>
            </w:pPr>
            <w:r>
              <w:rPr>
                <w:i/>
                <w:iCs/>
              </w:rPr>
              <w:t xml:space="preserve">RATIFICADA PELA PARECERISTA. A Dra. Juliana Pereira de Melo (OAB-GO 38.662) aprova esta minuta quanto à conformidade jurídica em 07/06/2026, na qualidade de parecerista externa independente (atividade-fim). Não é parte do contrato — que se firma entre o MC e o cidadão. APROVADA PARA USO.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B8C" w:sz="6" w:space="2"/>
      </w:pBdr>
      <w:jc w:val="center"/>
    </w:pPr>
    <w:r>
      <w:rPr>
        <w:color w:val="555555"/>
        <w:sz w:val="15"/>
        <w:szCs w:val="15"/>
      </w:rPr>
      <w:t xml:space="preserve">Meu Cumpadre · D &gt; C &gt; V · Pág. </w:t>
    </w:r>
    <w:r>
      <w:rPr>
        <w:color w:val="55555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B8C" w:sz="6" w:space="2"/>
      </w:pBdr>
      <w:spacing w:after="60"/>
      <w:jc w:val="right"/>
    </w:pPr>
    <w:r>
      <w:rPr>
        <w:color w:val="555555"/>
        <w:sz w:val="15"/>
        <w:szCs w:val="15"/>
      </w:rPr>
      <w:t xml:space="preserve">Φ₀ v0.2-A3 RATIFICADA PELA PARECERISTA — CONFIDENCIAL / USO INTERNO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2E5B8C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1F3B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Prestação de Serviços de Orquestração Documental CadÚnico — Φ₀</dc:title>
  <dc:creator>Assessoria Jurídica — Bancada Dra. Juliana</dc:creator>
  <cp:lastModifiedBy>Un-named</cp:lastModifiedBy>
  <cp:revision>1</cp:revision>
  <dcterms:created xsi:type="dcterms:W3CDTF">2026-06-07T20:06:32.367Z</dcterms:created>
  <dcterms:modified xsi:type="dcterms:W3CDTF">2026-06-07T20:06:32.367Z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