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FEA" w:rsidRDefault="00A85948">
      <w:pPr>
        <w:spacing w:after="40"/>
        <w:jc w:val="center"/>
      </w:pPr>
      <w:bookmarkStart w:id="0" w:name="_GoBack"/>
      <w:bookmarkEnd w:id="0"/>
      <w:r>
        <w:rPr>
          <w:b/>
          <w:bCs/>
          <w:color w:val="2E5B8C"/>
          <w:sz w:val="28"/>
          <w:szCs w:val="28"/>
        </w:rPr>
        <w:t>CONVENÇÃO INSTITUCIONAL DO PARECERISTA MC</w:t>
      </w:r>
    </w:p>
    <w:p w:rsidR="00B53FEA" w:rsidRDefault="00A85948">
      <w:pPr>
        <w:spacing w:after="40"/>
        <w:jc w:val="center"/>
      </w:pPr>
      <w:r>
        <w:rPr>
          <w:b/>
          <w:bCs/>
          <w:sz w:val="19"/>
          <w:szCs w:val="19"/>
        </w:rPr>
        <w:t>v1.1 — RETIFICADA pela Dra. Juliana Pereira de Melo (OAB-GO 38.662) · Opção 2</w:t>
      </w:r>
    </w:p>
    <w:p w:rsidR="00B53FEA" w:rsidRDefault="00A85948">
      <w:pPr>
        <w:spacing w:after="120"/>
        <w:jc w:val="center"/>
      </w:pPr>
      <w:r>
        <w:rPr>
          <w:color w:val="555555"/>
          <w:sz w:val="16"/>
          <w:szCs w:val="16"/>
        </w:rPr>
        <w:t xml:space="preserve">Meu </w:t>
      </w:r>
      <w:proofErr w:type="spellStart"/>
      <w:r>
        <w:rPr>
          <w:color w:val="555555"/>
          <w:sz w:val="16"/>
          <w:szCs w:val="16"/>
        </w:rPr>
        <w:t>Cumpadre</w:t>
      </w:r>
      <w:proofErr w:type="spellEnd"/>
      <w:r>
        <w:rPr>
          <w:color w:val="555555"/>
          <w:sz w:val="16"/>
          <w:szCs w:val="16"/>
        </w:rPr>
        <w:t xml:space="preserve"> — Orquestração Documental e Tecnologia Ltda. (atividade-meio · CNAE 6201-5/01) · 06/06/2026</w:t>
      </w:r>
    </w:p>
    <w:p w:rsidR="00B53FEA" w:rsidRDefault="00A85948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>“Lucro é combustível. Causa é destino. Jogo é infinito.” · “O diamante é carbono que não desistiu da pressão.”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F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F2D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53FEA" w:rsidRDefault="00A85948">
            <w:pPr>
              <w:spacing w:after="60" w:line="264" w:lineRule="auto"/>
            </w:pPr>
            <w:r>
              <w:rPr>
                <w:b/>
                <w:bCs/>
              </w:rPr>
              <w:t xml:space="preserve">Registro de retificação (R3 — deliberação da Dra. Juliana). </w:t>
            </w:r>
            <w:r>
              <w:t>Esta v1.1 ratifica a Convenção com quatro acréscimos, em verde no corpo:</w:t>
            </w:r>
          </w:p>
          <w:p w:rsidR="00B53FEA" w:rsidRDefault="00A85948">
            <w:pPr>
              <w:spacing w:after="60" w:line="264" w:lineRule="auto"/>
            </w:pPr>
            <w:r>
              <w:t>§1.5 — statu</w:t>
            </w:r>
            <w:r>
              <w:t xml:space="preserve">s de assessora externa independente; §7.4 — o selo do </w:t>
            </w:r>
            <w:proofErr w:type="spellStart"/>
            <w:r>
              <w:t>Founder</w:t>
            </w:r>
            <w:proofErr w:type="spellEnd"/>
            <w:r>
              <w:t xml:space="preserve"> recai sobre o método, não sobre o parecer; §11 — duplo papel e gestão de conflito de interesses; §12 — uso do nome/inscrição (publicidade, Prov. 205/2021); §13 — remissão ao contrato B2B e honor</w:t>
            </w:r>
            <w:r>
              <w:t>ários (Prov. 196/2020).</w:t>
            </w:r>
          </w:p>
          <w:p w:rsidR="00B53FEA" w:rsidRDefault="00A85948">
            <w:pPr>
              <w:spacing w:after="60" w:line="264" w:lineRule="auto"/>
            </w:pPr>
            <w:r>
              <w:rPr>
                <w:i/>
                <w:iCs/>
              </w:rPr>
              <w:t>MINUTA — torna-se ATIVA com a assinatura da Dra. A palavra jurídica final e a assinatura são exclusivamente dela.</w:t>
            </w:r>
          </w:p>
        </w:tc>
      </w:tr>
    </w:tbl>
    <w:p w:rsidR="00B53FEA" w:rsidRDefault="00B53FEA">
      <w:pPr>
        <w:spacing w:after="120" w:line="276" w:lineRule="auto"/>
      </w:pPr>
    </w:p>
    <w:p w:rsidR="00B53FEA" w:rsidRDefault="00A85948">
      <w:pPr>
        <w:pStyle w:val="Ttulo1"/>
      </w:pPr>
      <w:r>
        <w:t>Nota de abertura — natureza deste documento</w:t>
      </w:r>
    </w:p>
    <w:p w:rsidR="00B53FEA" w:rsidRDefault="00A85948">
      <w:pPr>
        <w:spacing w:after="120" w:line="276" w:lineRule="auto"/>
      </w:pPr>
      <w:r>
        <w:t>Dra. Juliana, esta não é uma ordem. É um convite à excelência compartilh</w:t>
      </w:r>
      <w:r>
        <w:t>ada.</w:t>
      </w:r>
    </w:p>
    <w:p w:rsidR="00B53FEA" w:rsidRDefault="00A85948">
      <w:pPr>
        <w:spacing w:after="120" w:line="276" w:lineRule="auto"/>
      </w:pPr>
      <w:r>
        <w:t xml:space="preserve">O Meu </w:t>
      </w:r>
      <w:proofErr w:type="spellStart"/>
      <w:r>
        <w:t>Cumpadre</w:t>
      </w:r>
      <w:proofErr w:type="spellEnd"/>
      <w:r>
        <w:t xml:space="preserve"> (MC) é atividade-meio: orquestra documentos, organiza método, equipa o cidadão </w:t>
      </w:r>
      <w:proofErr w:type="spellStart"/>
      <w:r>
        <w:t>hipervulnerável</w:t>
      </w:r>
      <w:proofErr w:type="spellEnd"/>
      <w:r>
        <w:t xml:space="preserve"> para a própria travessia administrativa. A senhora é atividade-fim: advoga. Esta fronteira é a coluna vertebral da parceria, e este documento</w:t>
      </w:r>
      <w:r>
        <w:t xml:space="preserve"> existe para honrá-la, nunca para dissolvê-la.</w:t>
      </w:r>
    </w:p>
    <w:p w:rsidR="00B53FEA" w:rsidRDefault="00A85948">
      <w:pPr>
        <w:spacing w:after="120" w:line="276" w:lineRule="auto"/>
      </w:pPr>
      <w:r>
        <w:t>O que segue define o envelope do trabalho conjunto — rigor, valores, forma, cadência. Em nenhuma linha toca o conteúdo da técnica: a interpretação da lei, o enquadramento jurídico, a conclusão do parecer e a a</w:t>
      </w:r>
      <w:r>
        <w:t>ssinatura são exclusivamente da Dra., protegidos pela independência profissional do advogado (Lei 8.906/94). O MC não diz à senhora como advogar; apenas declara, com transparência, o padrão de rigor e de valores que pratica e espera reencontrar — e o subme</w:t>
      </w:r>
      <w:r>
        <w:t>te à sua ratificação.</w:t>
      </w:r>
    </w:p>
    <w:p w:rsidR="00B53FEA" w:rsidRDefault="00A85948">
      <w:pPr>
        <w:pStyle w:val="Ttulo1"/>
      </w:pPr>
      <w:r>
        <w:t>1. Propósito e natureza da parceria</w:t>
      </w:r>
    </w:p>
    <w:p w:rsidR="00B53FEA" w:rsidRDefault="00A85948">
      <w:pPr>
        <w:spacing w:after="120" w:line="276" w:lineRule="auto"/>
      </w:pPr>
      <w:r>
        <w:t xml:space="preserve">1.1. Meio × fim. O MC organiza, generaliza e </w:t>
      </w:r>
      <w:proofErr w:type="spellStart"/>
      <w:r>
        <w:t>versiona</w:t>
      </w:r>
      <w:proofErr w:type="spellEnd"/>
      <w:r>
        <w:t xml:space="preserve"> método documental (CNAE 6201-5/01). A produção de tese jurídica, parecer de caso, petição ou opinião legal é ato privativo da advocacia (Lei 8.906/94, art. 1º) — território da Dra. Juliana, soberano e i</w:t>
      </w:r>
      <w:r>
        <w:t>nviolável.</w:t>
      </w:r>
    </w:p>
    <w:p w:rsidR="00B53FEA" w:rsidRDefault="00A85948">
      <w:pPr>
        <w:spacing w:after="120" w:line="276" w:lineRule="auto"/>
      </w:pPr>
      <w:r>
        <w:t xml:space="preserve">1.2. A hierarquia que nos rege: D &gt; C &gt; V. Dignidade do </w:t>
      </w:r>
      <w:proofErr w:type="spellStart"/>
      <w:r>
        <w:t>hipervulnerável</w:t>
      </w:r>
      <w:proofErr w:type="spellEnd"/>
      <w:r>
        <w:t xml:space="preserve"> prevalece sobre </w:t>
      </w:r>
      <w:proofErr w:type="spellStart"/>
      <w:r>
        <w:t>Compliance</w:t>
      </w:r>
      <w:proofErr w:type="spellEnd"/>
      <w:r>
        <w:t xml:space="preserve"> regulatório, que prevalece sobre Viabilidade técnica ou comercial. Critério de decisão quando os três conflitam.</w:t>
      </w:r>
    </w:p>
    <w:p w:rsidR="00B53FEA" w:rsidRDefault="00A85948">
      <w:pPr>
        <w:spacing w:after="120" w:line="276" w:lineRule="auto"/>
      </w:pPr>
      <w:r>
        <w:t>1.3. Quem é a Dona Zilda. Toda pe</w:t>
      </w:r>
      <w:r>
        <w:t>ça nasce e morre pensando nela — a cidadã de baixa escolaridade para quem o INSS é um muro. Quando o parecer vira comunicação ao cidadão, é ela quem precisa entender; quando permanece peça técnica, é o rigor que a protege.</w:t>
      </w:r>
    </w:p>
    <w:p w:rsidR="00B53FEA" w:rsidRDefault="00A85948">
      <w:pPr>
        <w:spacing w:after="120" w:line="276" w:lineRule="auto"/>
      </w:pPr>
      <w:r>
        <w:t xml:space="preserve">1.4. O objetivo comum. Restituir </w:t>
      </w:r>
      <w:r>
        <w:t xml:space="preserve">simetria informacional aos brasileiros </w:t>
      </w:r>
      <w:proofErr w:type="spellStart"/>
      <w:r>
        <w:t>hipervulneráveis</w:t>
      </w:r>
      <w:proofErr w:type="spellEnd"/>
      <w:r>
        <w:t xml:space="preserve">. A senhora é </w:t>
      </w:r>
      <w:proofErr w:type="spellStart"/>
      <w:r>
        <w:t>co-guardiã</w:t>
      </w:r>
      <w:proofErr w:type="spellEnd"/>
      <w:r>
        <w:t xml:space="preserve"> desse propósito.</w:t>
      </w:r>
    </w:p>
    <w:p w:rsidR="00B53FEA" w:rsidRDefault="00A85948">
      <w:pPr>
        <w:spacing w:after="120" w:line="276" w:lineRule="auto"/>
      </w:pPr>
      <w:r>
        <w:rPr>
          <w:b/>
          <w:bCs/>
          <w:color w:val="1F6B3B"/>
        </w:rPr>
        <w:t xml:space="preserve">1.5. Assessora externa independente. </w:t>
      </w:r>
      <w:r>
        <w:rPr>
          <w:color w:val="1F6B3B"/>
        </w:rPr>
        <w:t>A Dra. Juliana atua como parecerista externa e independente do MC. A linguagem de parceria e propósito comum desta Convenç</w:t>
      </w:r>
      <w:r>
        <w:rPr>
          <w:color w:val="1F6B3B"/>
        </w:rPr>
        <w:t xml:space="preserve">ão (§§1.4 e 10.4) </w:t>
      </w:r>
      <w:r>
        <w:rPr>
          <w:color w:val="1F6B3B"/>
        </w:rPr>
        <w:lastRenderedPageBreak/>
        <w:t>não cria vínculo empregatício, subordinação técnica nem sociedade; preserva-se a distância funcional que a independência do advogado exige (Lei 8.906/94, art. 18).</w:t>
      </w:r>
    </w:p>
    <w:p w:rsidR="00B53FEA" w:rsidRDefault="00A85948">
      <w:pPr>
        <w:pStyle w:val="Ttulo1"/>
      </w:pPr>
      <w:r>
        <w:t xml:space="preserve">2. </w:t>
      </w:r>
      <w:proofErr w:type="spellStart"/>
      <w:r>
        <w:t>Proof-First</w:t>
      </w:r>
      <w:proofErr w:type="spellEnd"/>
      <w:r>
        <w:t xml:space="preserve"> jurídico (princípio inegociável)</w:t>
      </w:r>
    </w:p>
    <w:p w:rsidR="00B53FEA" w:rsidRDefault="00A85948">
      <w:pPr>
        <w:spacing w:after="120" w:line="276" w:lineRule="auto"/>
      </w:pPr>
      <w:r>
        <w:t>2.1. Zero fabricação. Nenh</w:t>
      </w:r>
      <w:r>
        <w:t>uma lei, súmula, tese, enunciado, número de processo ou estatística pode ser afirmada sem existir e sem ser localizável. Dado sem fonte é dado inexistente.</w:t>
      </w:r>
    </w:p>
    <w:p w:rsidR="00B53FEA" w:rsidRDefault="00A85948">
      <w:pPr>
        <w:spacing w:after="120" w:line="276" w:lineRule="auto"/>
      </w:pPr>
      <w:r>
        <w:t>2.2. Selos de proveniência. [VERIFICADO] — norma/precedente conferido, com referência localizável; [</w:t>
      </w:r>
      <w:r>
        <w:t>FONTE PENDENTE] — afirmação plausível ainda não conferida, não sustenta conclusão; [NÃO LOCALIZADA] — busca feita, fonte não encontrada, tratar como inexistente.</w:t>
      </w:r>
    </w:p>
    <w:p w:rsidR="00B53FEA" w:rsidRDefault="00A85948">
      <w:pPr>
        <w:spacing w:after="120" w:line="276" w:lineRule="auto"/>
      </w:pPr>
      <w:r>
        <w:t>2.3. Trânsito em julgado e estágio processual. Ao citar precedente, sinalizar o estágio. Exemp</w:t>
      </w:r>
      <w:r>
        <w:t xml:space="preserve">lo da casa: o </w:t>
      </w:r>
      <w:proofErr w:type="spellStart"/>
      <w:r>
        <w:t>REsp</w:t>
      </w:r>
      <w:proofErr w:type="spellEnd"/>
      <w:r>
        <w:t xml:space="preserve"> 2.079.440/RO (STJ, Min. Nancy </w:t>
      </w:r>
      <w:proofErr w:type="spellStart"/>
      <w:r>
        <w:t>Andrighi</w:t>
      </w:r>
      <w:proofErr w:type="spellEnd"/>
      <w:r>
        <w:t>, 2024) é citado com a ressalva de que o trânsito em julgado não está confirmado — e assim permanece até confirmação.</w:t>
      </w:r>
    </w:p>
    <w:p w:rsidR="00B53FEA" w:rsidRDefault="00A85948">
      <w:pPr>
        <w:spacing w:after="120" w:line="276" w:lineRule="auto"/>
      </w:pPr>
      <w:r>
        <w:t xml:space="preserve">2.4. O antídoto contra a alucinação de máquina. O MC usa </w:t>
      </w:r>
      <w:proofErr w:type="spellStart"/>
      <w:r>
        <w:t>LLMs</w:t>
      </w:r>
      <w:proofErr w:type="spellEnd"/>
      <w:r>
        <w:t xml:space="preserve"> no fluxo documental</w:t>
      </w:r>
      <w:r>
        <w:t xml:space="preserve">, e </w:t>
      </w:r>
      <w:proofErr w:type="spellStart"/>
      <w:r>
        <w:t>LLMs</w:t>
      </w:r>
      <w:proofErr w:type="spellEnd"/>
      <w:r>
        <w:t xml:space="preserve"> fabricam jurisprudência com aparência impecável. A Dra. é o </w:t>
      </w:r>
      <w:proofErr w:type="spellStart"/>
      <w:r>
        <w:t>cross-reference</w:t>
      </w:r>
      <w:proofErr w:type="spellEnd"/>
      <w:r>
        <w:t xml:space="preserve"> humano que nenhum modelo substitui.</w:t>
      </w:r>
    </w:p>
    <w:p w:rsidR="00B53FEA" w:rsidRDefault="00A85948">
      <w:pPr>
        <w:pStyle w:val="Ttulo1"/>
      </w:pPr>
      <w:r>
        <w:t>3. D &gt; C &gt; V no corpo do parecer</w:t>
      </w:r>
    </w:p>
    <w:p w:rsidR="00B53FEA" w:rsidRDefault="00A85948">
      <w:pPr>
        <w:spacing w:after="120" w:line="276" w:lineRule="auto"/>
      </w:pPr>
      <w:r>
        <w:t xml:space="preserve">3.1. O enquadramento jurídico mantém no horizonte a dignidade do destinatário final — o cidadão </w:t>
      </w:r>
      <w:proofErr w:type="spellStart"/>
      <w:r>
        <w:t>hiperv</w:t>
      </w:r>
      <w:r>
        <w:t>ulnerável</w:t>
      </w:r>
      <w:proofErr w:type="spellEnd"/>
      <w:r>
        <w:t>.</w:t>
      </w:r>
    </w:p>
    <w:p w:rsidR="00B53FEA" w:rsidRDefault="00A85948">
      <w:pPr>
        <w:spacing w:after="120" w:line="276" w:lineRule="auto"/>
      </w:pPr>
      <w:r>
        <w:t xml:space="preserve">3.2. Quando o juridicamente viável fere a dignidade, diga. Se uma estratégia é tecnicamente </w:t>
      </w:r>
      <w:proofErr w:type="gramStart"/>
      <w:r>
        <w:t>defensável</w:t>
      </w:r>
      <w:proofErr w:type="gramEnd"/>
      <w:r>
        <w:t xml:space="preserve"> mas instrumentaliza a vulnerabilidade (ex.: cobrança contingente disfarçada, retenção de credencial como pressão, captura de retroativo), a Co</w:t>
      </w:r>
      <w:r>
        <w:t>nvenção pede que a Dra. nomeie o conflito explicitamente — ainda que a conclusão técnica permaneça sua. Apontar a tensão D &gt; C &gt; V é serviço, não insubordinação.</w:t>
      </w:r>
    </w:p>
    <w:p w:rsidR="00B53FEA" w:rsidRDefault="00A85948">
      <w:pPr>
        <w:spacing w:after="120" w:line="276" w:lineRule="auto"/>
      </w:pPr>
      <w:r>
        <w:t>3.3. A cláusula não pede subordinar a técnica a um valor: pede que a tensão, quando existir, s</w:t>
      </w:r>
      <w:r>
        <w:t xml:space="preserve">eja visível — para o </w:t>
      </w:r>
      <w:proofErr w:type="spellStart"/>
      <w:r>
        <w:t>Founder</w:t>
      </w:r>
      <w:proofErr w:type="spellEnd"/>
      <w:r>
        <w:t xml:space="preserve"> decidir com olhos abertos.</w:t>
      </w:r>
    </w:p>
    <w:p w:rsidR="00B53FEA" w:rsidRDefault="00A85948">
      <w:pPr>
        <w:pStyle w:val="Ttulo1"/>
      </w:pPr>
      <w:r>
        <w:t>4. Teste Zilda-STF</w:t>
      </w:r>
    </w:p>
    <w:p w:rsidR="00B53FEA" w:rsidRDefault="00A85948">
      <w:pPr>
        <w:spacing w:after="120" w:line="276" w:lineRule="auto"/>
      </w:pPr>
      <w:r>
        <w:t>4.1. Toda peça relevante passa no duplo crivo: Dona Zilda entende? (clareza); um ministro do STF respeita? (rigor).</w:t>
      </w:r>
    </w:p>
    <w:p w:rsidR="00B53FEA" w:rsidRDefault="00A85948">
      <w:pPr>
        <w:spacing w:after="120" w:line="276" w:lineRule="auto"/>
      </w:pPr>
      <w:r>
        <w:t>4.2. Os dois ao mesmo tempo. Rigor sem clareza exclui a Dona Zild</w:t>
      </w:r>
      <w:r>
        <w:t>a; clareza sem rigor trai o STF. A excelência vive na interseção.</w:t>
      </w:r>
    </w:p>
    <w:p w:rsidR="00B53FEA" w:rsidRDefault="00A85948">
      <w:pPr>
        <w:spacing w:after="120" w:line="276" w:lineRule="auto"/>
      </w:pPr>
      <w:r>
        <w:t>4.3. Peça puramente técnica e interna: predomina o eixo STF. Texto destinado ao cidadão: comanda o eixo Zilda — sem sacrificar o rigor.</w:t>
      </w:r>
    </w:p>
    <w:p w:rsidR="00B53FEA" w:rsidRDefault="00A85948">
      <w:pPr>
        <w:pStyle w:val="Ttulo1"/>
      </w:pPr>
      <w:r>
        <w:t>5. Firewall mútuo</w:t>
      </w:r>
    </w:p>
    <w:p w:rsidR="00B53FEA" w:rsidRDefault="00A85948">
      <w:pPr>
        <w:spacing w:after="120" w:line="276" w:lineRule="auto"/>
      </w:pPr>
      <w:r>
        <w:t xml:space="preserve">5.1. O MC se autovigia — e pede que </w:t>
      </w:r>
      <w:r>
        <w:t>a Dra. o vigie também. A maior contribuição pode não ser um parecer favorável, e sim um alerta: “aqui o MC está resvalando para atividade-fim”.</w:t>
      </w:r>
    </w:p>
    <w:p w:rsidR="00B53FEA" w:rsidRDefault="00A85948">
      <w:pPr>
        <w:spacing w:after="120" w:line="276" w:lineRule="auto"/>
      </w:pPr>
      <w:r>
        <w:t>5.2. Condutas vedadas ao MC, a serem levantadas sem hesitação: prometer resultado jurídico ou prazo de concessão</w:t>
      </w:r>
      <w:r>
        <w:t xml:space="preserve"> INSS; fazer match comercial remunerado entre cidadão e advogado; reter credencial gov.br como cobrança; ou produzir peça privativa de advocacia.</w:t>
      </w:r>
    </w:p>
    <w:p w:rsidR="00B53FEA" w:rsidRDefault="00A85948">
      <w:pPr>
        <w:spacing w:after="120" w:line="276" w:lineRule="auto"/>
      </w:pPr>
      <w:r>
        <w:lastRenderedPageBreak/>
        <w:t>5.3. A Dra. é a única que advoga. O firewall protege a Dra. (prerrogativa e OAB) e o cidadão. Sinalizar sua ru</w:t>
      </w:r>
      <w:r>
        <w:t>ptura é parceria, não atrito.</w:t>
      </w:r>
    </w:p>
    <w:p w:rsidR="00B53FEA" w:rsidRDefault="00A85948">
      <w:pPr>
        <w:spacing w:after="120" w:line="276" w:lineRule="auto"/>
      </w:pPr>
      <w:r>
        <w:t>5.4. Sobre indicação de advogado: o modelo observa o Provimento CFOAB 205/2021 (vedação a captação/mercantilização; indicação sem comissão). A Dra. é convidada a apontar qualquer desvio.</w:t>
      </w:r>
    </w:p>
    <w:p w:rsidR="00B53FEA" w:rsidRDefault="00A85948">
      <w:pPr>
        <w:pStyle w:val="Ttulo1"/>
      </w:pPr>
      <w:r>
        <w:t>6. Estrutura mínima recomendada do pare</w:t>
      </w:r>
      <w:r>
        <w:t>cer / minuta</w:t>
      </w:r>
    </w:p>
    <w:p w:rsidR="00B53FEA" w:rsidRDefault="00A85948">
      <w:pPr>
        <w:spacing w:after="120" w:line="276" w:lineRule="auto"/>
      </w:pPr>
      <w:r>
        <w:t>Recomendação de forma, não de mérito: (1) Matéria; (2) Base normativa com selo; (3) Análise (território soberano da Dra.); (4) Matriz de risco (OAB · consumerista · LGPD · regulatório); (5) Opções e recomendação; (6) Conclusão; (7) Fontes; (8)</w:t>
      </w:r>
      <w:r>
        <w:t xml:space="preserve"> Veredito (RATIFICA · RETIFICA · REJEITA).</w:t>
      </w:r>
    </w:p>
    <w:p w:rsidR="00B53FEA" w:rsidRDefault="00A85948">
      <w:pPr>
        <w:pStyle w:val="Ttulo1"/>
      </w:pPr>
      <w:r>
        <w:t xml:space="preserve">7. Disciplina de versão e </w:t>
      </w:r>
      <w:proofErr w:type="spellStart"/>
      <w:r>
        <w:t>gate</w:t>
      </w:r>
      <w:proofErr w:type="spellEnd"/>
    </w:p>
    <w:p w:rsidR="00B53FEA" w:rsidRDefault="00A85948">
      <w:pPr>
        <w:spacing w:after="120" w:line="276" w:lineRule="auto"/>
      </w:pPr>
      <w:r>
        <w:t xml:space="preserve">7.1. Ciclo de vida. Todo material nasce PROVISIONAL e só vira ATIVO após o </w:t>
      </w:r>
      <w:proofErr w:type="spellStart"/>
      <w:r>
        <w:t>gate</w:t>
      </w:r>
      <w:proofErr w:type="spellEnd"/>
      <w:r>
        <w:t xml:space="preserve"> cabível. A palavra final jurídica e a assinatura são da Dra.</w:t>
      </w:r>
    </w:p>
    <w:p w:rsidR="00B53FEA" w:rsidRDefault="00A85948">
      <w:pPr>
        <w:spacing w:after="120" w:line="276" w:lineRule="auto"/>
      </w:pPr>
      <w:r>
        <w:t xml:space="preserve">7.2. Loop de cunhagem (R3): a Dra. opina/parecer → o MC incorpora ao método → a </w:t>
      </w:r>
      <w:proofErr w:type="spellStart"/>
      <w:r>
        <w:t>Sister</w:t>
      </w:r>
      <w:proofErr w:type="spellEnd"/>
      <w:r>
        <w:t xml:space="preserve"> Anciã revisa (</w:t>
      </w:r>
      <w:proofErr w:type="spellStart"/>
      <w:r>
        <w:t>drift</w:t>
      </w:r>
      <w:proofErr w:type="spellEnd"/>
      <w:r>
        <w:t xml:space="preserve"> doutrinário) → o </w:t>
      </w:r>
      <w:proofErr w:type="spellStart"/>
      <w:r>
        <w:t>Founder</w:t>
      </w:r>
      <w:proofErr w:type="spellEnd"/>
      <w:r>
        <w:t xml:space="preserve"> sela. A Dra. é o </w:t>
      </w:r>
      <w:proofErr w:type="spellStart"/>
      <w:r>
        <w:t>gate</w:t>
      </w:r>
      <w:proofErr w:type="spellEnd"/>
      <w:r>
        <w:t xml:space="preserve"> jurídico; sem o seu aval, matéria de Direito não avança a ATIVO.</w:t>
      </w:r>
    </w:p>
    <w:p w:rsidR="00B53FEA" w:rsidRDefault="00A85948">
      <w:pPr>
        <w:spacing w:after="120" w:line="276" w:lineRule="auto"/>
      </w:pPr>
      <w:r>
        <w:t>7.3. Rastreabilidade. Cada versão car</w:t>
      </w:r>
      <w:r>
        <w:t>rega tipo, número, data e status. Mudança de mérito jurídico exige nova passagem pela Dra.</w:t>
      </w:r>
    </w:p>
    <w:p w:rsidR="00B53FEA" w:rsidRDefault="00A85948">
      <w:pPr>
        <w:spacing w:after="120" w:line="276" w:lineRule="auto"/>
      </w:pPr>
      <w:r>
        <w:rPr>
          <w:b/>
          <w:bCs/>
          <w:color w:val="1F6B3B"/>
        </w:rPr>
        <w:t xml:space="preserve">7.4. Esclarecimento do selo. </w:t>
      </w:r>
      <w:r>
        <w:rPr>
          <w:color w:val="1F6B3B"/>
        </w:rPr>
        <w:t xml:space="preserve">No loop de cunhagem (§7.2), o selo do </w:t>
      </w:r>
      <w:proofErr w:type="spellStart"/>
      <w:r>
        <w:rPr>
          <w:color w:val="1F6B3B"/>
        </w:rPr>
        <w:t>Founder</w:t>
      </w:r>
      <w:proofErr w:type="spellEnd"/>
      <w:r>
        <w:rPr>
          <w:color w:val="1F6B3B"/>
        </w:rPr>
        <w:t xml:space="preserve"> recai sobre a adoção do método pela atividade-meio — nunca sobre a validade ou o mérito ju</w:t>
      </w:r>
      <w:r>
        <w:rPr>
          <w:color w:val="1F6B3B"/>
        </w:rPr>
        <w:t>rídico do parecer, que são exclusivos da Dra. (§§7.1 e 8.3).</w:t>
      </w:r>
    </w:p>
    <w:p w:rsidR="00B53FEA" w:rsidRDefault="00A85948">
      <w:pPr>
        <w:pStyle w:val="Ttulo1"/>
      </w:pPr>
      <w:r>
        <w:t xml:space="preserve">8. Independência e </w:t>
      </w:r>
      <w:proofErr w:type="spellStart"/>
      <w:r>
        <w:t>contraintuição</w:t>
      </w:r>
      <w:proofErr w:type="spellEnd"/>
      <w:r>
        <w:t xml:space="preserve"> valorizadas</w:t>
      </w:r>
    </w:p>
    <w:p w:rsidR="00B53FEA" w:rsidRDefault="00A85948">
      <w:pPr>
        <w:spacing w:after="120" w:line="276" w:lineRule="auto"/>
      </w:pPr>
      <w:r>
        <w:t>8.1. O “não” fundamentado da Dra. é um ativo, não um obstáculo. A independência técnica (Lei 8.906/94) é, para o MC, recurso de sobrevivência: a Dra.</w:t>
      </w:r>
      <w:r>
        <w:t xml:space="preserve"> é o firewall externo que impede o erro para dentro do próprio entusiasmo.</w:t>
      </w:r>
    </w:p>
    <w:p w:rsidR="00B53FEA" w:rsidRDefault="00A85948">
      <w:pPr>
        <w:spacing w:after="120" w:line="276" w:lineRule="auto"/>
      </w:pPr>
      <w:r>
        <w:t xml:space="preserve">8.2. Divergir do MC é bem-vindo. Quando a leitura da Dra. contraria a do </w:t>
      </w:r>
      <w:proofErr w:type="spellStart"/>
      <w:r>
        <w:t>Founder</w:t>
      </w:r>
      <w:proofErr w:type="spellEnd"/>
      <w:r>
        <w:t xml:space="preserve"> ou a do método, queremos a divergência explícita e fundamentada — não a acomodação.</w:t>
      </w:r>
    </w:p>
    <w:p w:rsidR="00B53FEA" w:rsidRDefault="00A85948">
      <w:pPr>
        <w:spacing w:after="120" w:line="276" w:lineRule="auto"/>
      </w:pPr>
      <w:r>
        <w:t>8.3. A Dra. nunc</w:t>
      </w:r>
      <w:r>
        <w:t>a será pressionada a assinar o que não defende. Conforto de assinatura é pré-condição, não negociável.</w:t>
      </w:r>
    </w:p>
    <w:p w:rsidR="00B53FEA" w:rsidRDefault="00A85948">
      <w:pPr>
        <w:pStyle w:val="Ttulo1"/>
      </w:pPr>
      <w:r>
        <w:t>9. LGPD e confidencialidade</w:t>
      </w:r>
    </w:p>
    <w:p w:rsidR="00B53FEA" w:rsidRDefault="00A85948">
      <w:pPr>
        <w:spacing w:after="120" w:line="276" w:lineRule="auto"/>
      </w:pPr>
      <w:r>
        <w:t>9.1. Natureza do material trocado. A regra é que o intercâmbio entre MC e Dra. seja institucional/metodológico — teses, padrõ</w:t>
      </w:r>
      <w:r>
        <w:t>es, matrizes — e não dados pessoais identificáveis do cidadão.</w:t>
      </w:r>
    </w:p>
    <w:p w:rsidR="00B53FEA" w:rsidRDefault="00A85948">
      <w:pPr>
        <w:spacing w:after="120" w:line="276" w:lineRule="auto"/>
      </w:pPr>
      <w:r>
        <w:t xml:space="preserve">9.2. PII só em </w:t>
      </w:r>
      <w:proofErr w:type="spellStart"/>
      <w:r>
        <w:t>stack</w:t>
      </w:r>
      <w:proofErr w:type="spellEnd"/>
      <w:r>
        <w:t xml:space="preserve"> soberana. Dado pessoal sensível do cidadão (CPF, número de benefício, CID, CNIS, credencial gov.br) é processado exclusivamente na infraestrutura self-</w:t>
      </w:r>
      <w:proofErr w:type="spellStart"/>
      <w:r>
        <w:t>hosted</w:t>
      </w:r>
      <w:proofErr w:type="spellEnd"/>
      <w:r>
        <w:t>/soberana do MC</w:t>
      </w:r>
      <w:r>
        <w:t xml:space="preserve">. Não trafega por ferramentas de produtividade genéricas nem por bases de IA de uso geral. Caso concreto exige </w:t>
      </w:r>
      <w:proofErr w:type="spellStart"/>
      <w:r>
        <w:t>anonimização</w:t>
      </w:r>
      <w:proofErr w:type="spellEnd"/>
      <w:r>
        <w:t>/</w:t>
      </w:r>
      <w:proofErr w:type="spellStart"/>
      <w:r>
        <w:t>pseudonimização</w:t>
      </w:r>
      <w:proofErr w:type="spellEnd"/>
      <w:r>
        <w:t xml:space="preserve"> na medida do necessário.</w:t>
      </w:r>
    </w:p>
    <w:p w:rsidR="00B53FEA" w:rsidRDefault="00A85948">
      <w:pPr>
        <w:spacing w:after="120" w:line="276" w:lineRule="auto"/>
      </w:pPr>
      <w:r>
        <w:lastRenderedPageBreak/>
        <w:t>9.3. Sigilo. Vale o sigilo profissional inerente à advocacia e o dever de confidencialidade</w:t>
      </w:r>
      <w:r>
        <w:t xml:space="preserve"> da parceria, em ambas as direções.</w:t>
      </w:r>
    </w:p>
    <w:p w:rsidR="00B53FEA" w:rsidRDefault="00A85948">
      <w:pPr>
        <w:pStyle w:val="Ttulo1"/>
      </w:pPr>
      <w:r>
        <w:t>10. Espírito da parceria</w:t>
      </w:r>
    </w:p>
    <w:p w:rsidR="00B53FEA" w:rsidRDefault="00A85948">
      <w:pPr>
        <w:spacing w:after="120" w:line="276" w:lineRule="auto"/>
      </w:pPr>
      <w:r>
        <w:t>10.1. Trabalhamos para quem não tem voz — Provérbios 31:8. Eixo, não ornamento.</w:t>
      </w:r>
    </w:p>
    <w:p w:rsidR="00B53FEA" w:rsidRDefault="00A85948">
      <w:pPr>
        <w:spacing w:after="120" w:line="276" w:lineRule="auto"/>
      </w:pPr>
      <w:r>
        <w:t>10.2. “O diamante é carbono que não desistiu da pressão.” A pressão regulatória, técnica e econômica forma o que se</w:t>
      </w:r>
      <w:r>
        <w:t xml:space="preserve"> constrói.</w:t>
      </w:r>
    </w:p>
    <w:p w:rsidR="00B53FEA" w:rsidRDefault="00A85948">
      <w:pPr>
        <w:spacing w:after="120" w:line="276" w:lineRule="auto"/>
      </w:pPr>
      <w:r>
        <w:t>10.3. Lucro é combustível; causa é destino. O MC precisa ser sustentável para durar — mas a sustentabilidade serve à causa, jamais o contrário. A Dra. é convidada a cobrar essa ordem.</w:t>
      </w:r>
    </w:p>
    <w:p w:rsidR="00B53FEA" w:rsidRDefault="00A85948">
      <w:pPr>
        <w:spacing w:after="120" w:line="276" w:lineRule="auto"/>
      </w:pPr>
      <w:r>
        <w:t>10.4. Parceria entre iguais: o MC na engenharia do meio, a Dr</w:t>
      </w:r>
      <w:r>
        <w:t>a. na soberania do Direito, ambos a serviço da Dona Zilda.</w:t>
      </w:r>
    </w:p>
    <w:p w:rsidR="00B53FEA" w:rsidRDefault="00A85948">
      <w:pPr>
        <w:pStyle w:val="Ttulo1"/>
      </w:pPr>
      <w:r>
        <w:rPr>
          <w:color w:val="1F6B3B"/>
        </w:rPr>
        <w:t>11. Duplo papel e gestão de conflito de interesses (acréscimo R3)</w:t>
      </w:r>
    </w:p>
    <w:p w:rsidR="00B53FEA" w:rsidRDefault="00A85948">
      <w:pPr>
        <w:spacing w:after="120" w:line="276" w:lineRule="auto"/>
      </w:pPr>
      <w:r>
        <w:rPr>
          <w:color w:val="1F6B3B"/>
        </w:rPr>
        <w:t>11.1. Reconhecimento. A Dra. Juliana pode acumular dois papéis: (a) parecerista do MC (atividade-meio, que ela fiscaliza); e (b) ad</w:t>
      </w:r>
      <w:r>
        <w:rPr>
          <w:color w:val="1F6B3B"/>
        </w:rPr>
        <w:t>vogada-parceira à qual o cidadão é encaminhado por livre escolha (atividade-fim, de quem recebe honorários). Esta Convenção reconhece expressamente o duplo papel.</w:t>
      </w:r>
    </w:p>
    <w:p w:rsidR="00B53FEA" w:rsidRDefault="00A85948">
      <w:pPr>
        <w:spacing w:after="120" w:line="276" w:lineRule="auto"/>
      </w:pPr>
      <w:r>
        <w:rPr>
          <w:color w:val="1F6B3B"/>
        </w:rPr>
        <w:t>11.2. Isenção a despeito do interesse. A independência e a isenção do parecer são exercidas a</w:t>
      </w:r>
      <w:r>
        <w:rPr>
          <w:color w:val="1F6B3B"/>
        </w:rPr>
        <w:t xml:space="preserve"> despeito de qualquer interesse comercial da Dra. como advogada-parceira (Lei 8.906/94, art. 18; CED). Um parecer desfavorável ao MC, ou que aponte risco à arquitetura que alimenta a própria clientela, não só é admitido como esperado (§§5 e 8).</w:t>
      </w:r>
    </w:p>
    <w:p w:rsidR="00B53FEA" w:rsidRDefault="00A85948">
      <w:pPr>
        <w:spacing w:after="120" w:line="276" w:lineRule="auto"/>
      </w:pPr>
      <w:r>
        <w:rPr>
          <w:color w:val="1F6B3B"/>
        </w:rPr>
        <w:t>11.3. Salva</w:t>
      </w:r>
      <w:r>
        <w:rPr>
          <w:color w:val="1F6B3B"/>
        </w:rPr>
        <w:t>guarda estrutural. O conflito é mitigado pelo firewall já adotado: livre escolha do cidadão quanto ao advogado, ausência de comissão do MC por indicação e propriedade/portabilidade do dossiê pelo cidadão (Provimento CFOAB 205/2021; Estatuto art. 34, IV; CE</w:t>
      </w:r>
      <w:r>
        <w:rPr>
          <w:color w:val="1F6B3B"/>
        </w:rPr>
        <w:t>D art. 7º).</w:t>
      </w:r>
    </w:p>
    <w:p w:rsidR="00B53FEA" w:rsidRDefault="00A85948">
      <w:pPr>
        <w:spacing w:after="120" w:line="276" w:lineRule="auto"/>
      </w:pPr>
      <w:r>
        <w:rPr>
          <w:color w:val="1F6B3B"/>
        </w:rPr>
        <w:t>11.4. Intervenção anterior. Tendo a Dra., como parecerista, intervindo na formação de um artefato do MC, manter-se-á vigilante para não patrocinar, depois, causa contrária à validade do que ajudou a formar, declarando impedimento ou abstenção q</w:t>
      </w:r>
      <w:r>
        <w:rPr>
          <w:color w:val="1F6B3B"/>
        </w:rPr>
        <w:t xml:space="preserve">uando os papéis se oponham (CED </w:t>
      </w:r>
      <w:proofErr w:type="spellStart"/>
      <w:r>
        <w:rPr>
          <w:color w:val="1F6B3B"/>
        </w:rPr>
        <w:t>arts</w:t>
      </w:r>
      <w:proofErr w:type="spellEnd"/>
      <w:r>
        <w:rPr>
          <w:color w:val="1F6B3B"/>
        </w:rPr>
        <w:t>. 19, 20 e 22).</w:t>
      </w:r>
    </w:p>
    <w:p w:rsidR="00B53FEA" w:rsidRDefault="00A85948">
      <w:pPr>
        <w:spacing w:after="120" w:line="276" w:lineRule="auto"/>
      </w:pPr>
      <w:r>
        <w:rPr>
          <w:color w:val="1F6B3B"/>
        </w:rPr>
        <w:t>11.5. Declaração de impedimento. Surgindo matéria concreta em que o interesse da advogada-parceira possa comprometer a isenção do parecer, a Dra. declara o impedimento e o conflito é tratado com transparê</w:t>
      </w:r>
      <w:r>
        <w:rPr>
          <w:color w:val="1F6B3B"/>
        </w:rPr>
        <w:t>ncia, registrado no artefato.</w:t>
      </w:r>
    </w:p>
    <w:p w:rsidR="00B53FEA" w:rsidRDefault="00A85948">
      <w:pPr>
        <w:pStyle w:val="Ttulo1"/>
      </w:pPr>
      <w:r>
        <w:rPr>
          <w:color w:val="1F6B3B"/>
        </w:rPr>
        <w:t>12. Uso do nome e da inscrição — publicidade (acréscimo R3)</w:t>
      </w:r>
    </w:p>
    <w:p w:rsidR="00B53FEA" w:rsidRDefault="00A85948">
      <w:pPr>
        <w:spacing w:after="120" w:line="276" w:lineRule="auto"/>
      </w:pPr>
      <w:r>
        <w:rPr>
          <w:color w:val="1F6B3B"/>
        </w:rPr>
        <w:t>12.1. Observância do Provimento 205/2021. O MC não pode usar o nome, a inscrição (OAB) ou a imagem da Dra. de modo que configure captação ou mercantilização de serviç</w:t>
      </w:r>
      <w:r>
        <w:rPr>
          <w:color w:val="1F6B3B"/>
        </w:rPr>
        <w:t>os advocatícios. Referência à Dra. em materiais do MC é informativa (identificação da parceira a pedido do cidadão), nunca publicidade de serviços jurídicos ou promessa de resultado.</w:t>
      </w:r>
    </w:p>
    <w:p w:rsidR="00B53FEA" w:rsidRDefault="00A85948">
      <w:pPr>
        <w:spacing w:after="120" w:line="276" w:lineRule="auto"/>
      </w:pPr>
      <w:r>
        <w:rPr>
          <w:color w:val="1F6B3B"/>
        </w:rPr>
        <w:t xml:space="preserve">12.2. Aprovação prévia. O uso do nome/inscrição da Dra. em qualquer peça </w:t>
      </w:r>
      <w:r>
        <w:rPr>
          <w:color w:val="1F6B3B"/>
        </w:rPr>
        <w:t>pública do MC depende de aprovação prévia da Dra., revogável a qualquer tempo.</w:t>
      </w:r>
    </w:p>
    <w:p w:rsidR="00B53FEA" w:rsidRDefault="00A85948">
      <w:pPr>
        <w:pStyle w:val="Ttulo1"/>
      </w:pPr>
      <w:r>
        <w:rPr>
          <w:color w:val="1F6B3B"/>
        </w:rPr>
        <w:t>13. Remissão ao contrato B2B e honorários (acréscimo R3)</w:t>
      </w:r>
    </w:p>
    <w:p w:rsidR="00B53FEA" w:rsidRDefault="00A85948">
      <w:pPr>
        <w:spacing w:after="120" w:line="276" w:lineRule="auto"/>
      </w:pPr>
      <w:r>
        <w:rPr>
          <w:color w:val="1F6B3B"/>
        </w:rPr>
        <w:lastRenderedPageBreak/>
        <w:t>13.1. Esta Convenção é envelope, não contrato. Define valores, método e cadência; não rege honorários, escopo, prazo, ex</w:t>
      </w:r>
      <w:r>
        <w:rPr>
          <w:color w:val="1F6B3B"/>
        </w:rPr>
        <w:t>clusividade, responsabilidade civil ou rescisão.</w:t>
      </w:r>
    </w:p>
    <w:p w:rsidR="00B53FEA" w:rsidRDefault="00A85948">
      <w:pPr>
        <w:spacing w:after="120" w:line="276" w:lineRule="auto"/>
      </w:pPr>
      <w:r>
        <w:rPr>
          <w:color w:val="1F6B3B"/>
        </w:rPr>
        <w:t>13.2. Contrato B2B coexistente. A relação comercial é regida por contrato de prestação de serviços B2B próprio (Ψ₁), que deve prever, no mínimo: (a) honorários da parecerista — de natureza advocatícia (Provi</w:t>
      </w:r>
      <w:r>
        <w:rPr>
          <w:color w:val="1F6B3B"/>
        </w:rPr>
        <w:t>mento CFOAB 196/2020, §2º; Estatuto art. 22); (b) escopo da consultoria/parecer; (c) prazo e a exclusividade vigente (até dez/2026); (d) responsabilidade civil e seus limites; (e) rescisão e consequências; (f) sigilo, em reforço ao §9.</w:t>
      </w:r>
    </w:p>
    <w:p w:rsidR="00B53FEA" w:rsidRDefault="00A85948">
      <w:pPr>
        <w:spacing w:after="120" w:line="276" w:lineRule="auto"/>
      </w:pPr>
      <w:r>
        <w:rPr>
          <w:color w:val="1F6B3B"/>
        </w:rPr>
        <w:t>13.3. Prevalência. Em conflito entre esta Convenção e o contrato B2B quanto a termos comerciais, prevalece o contrato; quanto a valores e método, prevalece esta Convenção.</w:t>
      </w:r>
    </w:p>
    <w:p w:rsidR="00B53FEA" w:rsidRDefault="00A85948">
      <w:pPr>
        <w:pStyle w:val="Ttulo1"/>
      </w:pPr>
      <w:r>
        <w:t>Ratificação</w:t>
      </w:r>
    </w:p>
    <w:p w:rsidR="00B53FEA" w:rsidRDefault="00A85948">
      <w:pPr>
        <w:spacing w:after="120" w:line="276" w:lineRule="auto"/>
      </w:pPr>
      <w:r>
        <w:rPr>
          <w:b/>
          <w:bCs/>
        </w:rPr>
        <w:t>Opção escolhida pela Dra. (R3): RETIFICO — ratifico com os acréscimos §1</w:t>
      </w:r>
      <w:r>
        <w:rPr>
          <w:b/>
          <w:bCs/>
        </w:rPr>
        <w:t>.5, §7.4, §11, §12 e §13 acima. A Convenção torna-se ATIVA com a assinatura abaixo.</w:t>
      </w:r>
    </w:p>
    <w:p w:rsidR="00B53FEA" w:rsidRDefault="00A85948">
      <w:pPr>
        <w:spacing w:after="240" w:line="276" w:lineRule="auto"/>
      </w:pPr>
      <w:r>
        <w:t>☐</w:t>
      </w:r>
      <w:r>
        <w:t xml:space="preserve"> RATIFICO (sem ajustes) · ☑ RETIFICO (acréscimos R3 incorporados) · ☐ REJEITO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3F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bottom w:val="single" w:sz="6" w:space="0" w:color="000000"/>
            </w:tcBorders>
            <w:tcMar>
              <w:top w:w="480" w:type="dxa"/>
              <w:left w:w="40" w:type="dxa"/>
              <w:bottom w:w="40" w:type="dxa"/>
              <w:right w:w="40" w:type="dxa"/>
            </w:tcMar>
          </w:tcPr>
          <w:p w:rsidR="00B53FEA" w:rsidRDefault="00A85948">
            <w:r>
              <w:t xml:space="preserve"> </w:t>
            </w:r>
          </w:p>
        </w:tc>
      </w:tr>
    </w:tbl>
    <w:p w:rsidR="00B53FEA" w:rsidRDefault="00A85948">
      <w:pPr>
        <w:spacing w:line="276" w:lineRule="auto"/>
      </w:pPr>
      <w:r>
        <w:rPr>
          <w:b/>
          <w:bCs/>
        </w:rPr>
        <w:t>Dra. Juliana Pereira de Melo — OAB-GO 38.662</w:t>
      </w:r>
    </w:p>
    <w:p w:rsidR="00B53FEA" w:rsidRDefault="00A85948">
      <w:pPr>
        <w:spacing w:after="120" w:line="276" w:lineRule="auto"/>
      </w:pPr>
      <w:r>
        <w:rPr>
          <w:color w:val="555555"/>
        </w:rPr>
        <w:t>Data: ______/______/______</w:t>
      </w:r>
    </w:p>
    <w:p w:rsidR="00B53FEA" w:rsidRDefault="00B53FEA">
      <w:pPr>
        <w:spacing w:after="120" w:line="276" w:lineRule="auto"/>
      </w:pPr>
    </w:p>
    <w:p w:rsidR="00B53FEA" w:rsidRDefault="00A85948">
      <w:pPr>
        <w:spacing w:after="120" w:line="276" w:lineRule="auto"/>
      </w:pPr>
      <w:r>
        <w:rPr>
          <w:color w:val="555555"/>
          <w:sz w:val="16"/>
          <w:szCs w:val="16"/>
        </w:rPr>
        <w:t xml:space="preserve">Meu </w:t>
      </w:r>
      <w:proofErr w:type="spellStart"/>
      <w:r>
        <w:rPr>
          <w:color w:val="555555"/>
          <w:sz w:val="16"/>
          <w:szCs w:val="16"/>
        </w:rPr>
        <w:t>Cumpadre</w:t>
      </w:r>
      <w:proofErr w:type="spellEnd"/>
      <w:r>
        <w:rPr>
          <w:color w:val="555555"/>
          <w:sz w:val="16"/>
          <w:szCs w:val="16"/>
        </w:rPr>
        <w:t xml:space="preserve"> — Or</w:t>
      </w:r>
      <w:r>
        <w:rPr>
          <w:color w:val="555555"/>
          <w:sz w:val="16"/>
          <w:szCs w:val="16"/>
        </w:rPr>
        <w:t>questração Documental e Tecnologia Ltda. · atividade-meio (CNAE 6201-5/01)</w:t>
      </w:r>
    </w:p>
    <w:p w:rsidR="00B53FEA" w:rsidRDefault="00A85948">
      <w:pPr>
        <w:spacing w:after="120" w:line="276" w:lineRule="auto"/>
      </w:pPr>
      <w:r>
        <w:rPr>
          <w:color w:val="555555"/>
          <w:sz w:val="16"/>
          <w:szCs w:val="16"/>
        </w:rPr>
        <w:t xml:space="preserve">Convenção Institucional do Parecerista MC · v1.1 RETIFICADA · </w:t>
      </w:r>
      <w:proofErr w:type="spellStart"/>
      <w:r>
        <w:rPr>
          <w:color w:val="555555"/>
          <w:sz w:val="16"/>
          <w:szCs w:val="16"/>
        </w:rPr>
        <w:t>co-ratificação</w:t>
      </w:r>
      <w:proofErr w:type="spellEnd"/>
      <w:r>
        <w:rPr>
          <w:color w:val="555555"/>
          <w:sz w:val="16"/>
          <w:szCs w:val="16"/>
        </w:rPr>
        <w:t xml:space="preserve"> bilateral · D &gt; C &gt; V · Provérbios 31:8</w:t>
      </w:r>
    </w:p>
    <w:sectPr w:rsidR="00B53F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5948" w:rsidRDefault="00A85948">
      <w:r>
        <w:separator/>
      </w:r>
    </w:p>
  </w:endnote>
  <w:endnote w:type="continuationSeparator" w:id="0">
    <w:p w:rsidR="00A85948" w:rsidRDefault="00A8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3FEA" w:rsidRDefault="00A85948">
    <w:pPr>
      <w:pBdr>
        <w:top w:val="single" w:sz="6" w:space="2" w:color="2E5B8C"/>
      </w:pBdr>
      <w:jc w:val="center"/>
    </w:pPr>
    <w:r>
      <w:rPr>
        <w:color w:val="555555"/>
        <w:sz w:val="15"/>
        <w:szCs w:val="15"/>
      </w:rPr>
      <w:t xml:space="preserve">Meu </w:t>
    </w:r>
    <w:proofErr w:type="spellStart"/>
    <w:r>
      <w:rPr>
        <w:color w:val="555555"/>
        <w:sz w:val="15"/>
        <w:szCs w:val="15"/>
      </w:rPr>
      <w:t>Cumpadre</w:t>
    </w:r>
    <w:proofErr w:type="spellEnd"/>
    <w:r>
      <w:rPr>
        <w:color w:val="555555"/>
        <w:sz w:val="15"/>
        <w:szCs w:val="15"/>
      </w:rPr>
      <w:t xml:space="preserve"> · D &gt; C &gt; V · Provérbios 31:8 · Pág.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 w:rsidR="009231E0">
      <w:rPr>
        <w:color w:val="555555"/>
        <w:sz w:val="15"/>
        <w:szCs w:val="15"/>
      </w:rPr>
      <w:fldChar w:fldCharType="separate"/>
    </w:r>
    <w:r w:rsidR="009231E0"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5948" w:rsidRDefault="00A85948">
      <w:r>
        <w:separator/>
      </w:r>
    </w:p>
  </w:footnote>
  <w:footnote w:type="continuationSeparator" w:id="0">
    <w:p w:rsidR="00A85948" w:rsidRDefault="00A85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3FEA" w:rsidRDefault="00A85948">
    <w:pPr>
      <w:pBdr>
        <w:bottom w:val="single" w:sz="6" w:space="2" w:color="2E5B8C"/>
      </w:pBdr>
      <w:spacing w:after="60"/>
      <w:jc w:val="right"/>
    </w:pPr>
    <w:r>
      <w:rPr>
        <w:color w:val="555555"/>
        <w:sz w:val="15"/>
        <w:szCs w:val="15"/>
      </w:rPr>
      <w:t>CONVENÇÃO DO PARECERISTA MC — v1.1 RETIFICADA ·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112D9"/>
    <w:multiLevelType w:val="hybridMultilevel"/>
    <w:tmpl w:val="91B42CBA"/>
    <w:lvl w:ilvl="0" w:tplc="54301368">
      <w:start w:val="1"/>
      <w:numFmt w:val="bullet"/>
      <w:lvlText w:val="●"/>
      <w:lvlJc w:val="left"/>
      <w:pPr>
        <w:ind w:left="720" w:hanging="360"/>
      </w:pPr>
    </w:lvl>
    <w:lvl w:ilvl="1" w:tplc="B9EE54DE">
      <w:start w:val="1"/>
      <w:numFmt w:val="bullet"/>
      <w:lvlText w:val="○"/>
      <w:lvlJc w:val="left"/>
      <w:pPr>
        <w:ind w:left="1440" w:hanging="360"/>
      </w:pPr>
    </w:lvl>
    <w:lvl w:ilvl="2" w:tplc="2C16B5EE">
      <w:start w:val="1"/>
      <w:numFmt w:val="bullet"/>
      <w:lvlText w:val="■"/>
      <w:lvlJc w:val="left"/>
      <w:pPr>
        <w:ind w:left="2160" w:hanging="360"/>
      </w:pPr>
    </w:lvl>
    <w:lvl w:ilvl="3" w:tplc="0D6C27C4">
      <w:start w:val="1"/>
      <w:numFmt w:val="bullet"/>
      <w:lvlText w:val="●"/>
      <w:lvlJc w:val="left"/>
      <w:pPr>
        <w:ind w:left="2880" w:hanging="360"/>
      </w:pPr>
    </w:lvl>
    <w:lvl w:ilvl="4" w:tplc="119287E8">
      <w:start w:val="1"/>
      <w:numFmt w:val="bullet"/>
      <w:lvlText w:val="○"/>
      <w:lvlJc w:val="left"/>
      <w:pPr>
        <w:ind w:left="3600" w:hanging="360"/>
      </w:pPr>
    </w:lvl>
    <w:lvl w:ilvl="5" w:tplc="419C8820">
      <w:start w:val="1"/>
      <w:numFmt w:val="bullet"/>
      <w:lvlText w:val="■"/>
      <w:lvlJc w:val="left"/>
      <w:pPr>
        <w:ind w:left="4320" w:hanging="360"/>
      </w:pPr>
    </w:lvl>
    <w:lvl w:ilvl="6" w:tplc="CAF260AE">
      <w:start w:val="1"/>
      <w:numFmt w:val="bullet"/>
      <w:lvlText w:val="●"/>
      <w:lvlJc w:val="left"/>
      <w:pPr>
        <w:ind w:left="5040" w:hanging="360"/>
      </w:pPr>
    </w:lvl>
    <w:lvl w:ilvl="7" w:tplc="90520CD0">
      <w:start w:val="1"/>
      <w:numFmt w:val="bullet"/>
      <w:lvlText w:val="●"/>
      <w:lvlJc w:val="left"/>
      <w:pPr>
        <w:ind w:left="5760" w:hanging="360"/>
      </w:pPr>
    </w:lvl>
    <w:lvl w:ilvl="8" w:tplc="F6BE77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EA"/>
    <w:rsid w:val="009231E0"/>
    <w:rsid w:val="00A85948"/>
    <w:rsid w:val="00B53FEA"/>
    <w:rsid w:val="00C5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AC006B-4765-427A-A91F-9047D4C0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20"/>
      <w:outlineLvl w:val="0"/>
    </w:pPr>
    <w:rPr>
      <w:b/>
      <w:bCs/>
      <w:color w:val="2E5B8C"/>
      <w:sz w:val="25"/>
      <w:szCs w:val="25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1904</Words>
  <Characters>10286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Convenção Institucional do Parecerista MC — v1.1 RETIFICADA</vt:lpstr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Convenção Institucional do Parecerista MC — v1.1 RETIFICADA</dc:title>
  <dc:creator>Bancada Dra. Juliana — Convenção do Parecerista (retificada)</dc:creator>
  <cp:lastModifiedBy>Beto</cp:lastModifiedBy>
  <cp:revision>2</cp:revision>
  <dcterms:created xsi:type="dcterms:W3CDTF">2026-06-06T14:51:00Z</dcterms:created>
  <dcterms:modified xsi:type="dcterms:W3CDTF">2026-06-06T14:51:00Z</dcterms:modified>
</cp:coreProperties>
</file>