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B8C"/>
          <w:sz w:val="28"/>
          <w:szCs w:val="28"/>
        </w:rPr>
        <w:t xml:space="preserve">DESPACHO DE SANEAMENTO — ADR-009b</w:t>
      </w:r>
    </w:p>
    <w:p>
      <w:pPr>
        <w:spacing w:after="40"/>
        <w:jc w:val="center"/>
      </w:pPr>
      <w:r>
        <w:rPr>
          <w:b/>
          <w:bCs/>
          <w:sz w:val="21"/>
          <w:szCs w:val="21"/>
        </w:rPr>
        <w:t xml:space="preserve">Custódia em Três Estados / Hand-off de Dossiê — Opção C (Híbrido)</w:t>
      </w:r>
    </w:p>
    <w:p>
      <w:pPr>
        <w:spacing w:after="160"/>
        <w:jc w:val="center"/>
      </w:pPr>
      <w:r>
        <w:rPr>
          <w:color w:val="555555"/>
          <w:sz w:val="17"/>
          <w:szCs w:val="17"/>
        </w:rPr>
        <w:t xml:space="preserve">v1.3 · Bancada da Dra. Juliana Pereira de Melo (OAB-GO 38.662) · Goiânia-GO · 06/06/2026</w:t>
      </w:r>
    </w:p>
    <w:p>
      <w:pPr>
        <w:spacing w:after="40" w:before="40"/>
        <w:jc w:val="center"/>
      </w:pPr>
      <w:r>
        <w:rPr>
          <w:b/>
          <w:bCs/>
          <w:color w:val="2E5B8C"/>
          <w:sz w:val="22"/>
          <w:szCs w:val="22"/>
        </w:rPr>
        <w:t xml:space="preserve">RATIFICADO PELA SIGNATÁRIA — VERSÃO SELADA v1.3</w:t>
      </w:r>
    </w:p>
    <w:p>
      <w:pPr>
        <w:spacing w:after="120"/>
        <w:jc w:val="both"/>
      </w:pPr>
      <w:r>
        <w:rPr>
          <w:sz w:val="18"/>
          <w:szCs w:val="18"/>
        </w:rPr>
        <w:t xml:space="preserve">Este despacho produz efeitos a partir da data da ratificação abaixo. Qualquer reprodução ou uso deve preservar a autoria exclusiva da signatária e o contexto do Firewall de atividade-meio.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2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DESPACHO DE SANEAMENTO RATIFICADO v1.3 — SELADO PELA SIGNATÁRIA. </w:t>
            </w:r>
            <w:r>
              <w:t xml:space="preserve">A signatária RATIFICOU a Opção C em 06/06/2026, com a redação do consentimento lapidada (Teste Zilda-STF, §5) e a abertura-âncora da tese anti-captação (§3). A responsabilidade técnica e a assinatura são da signatária. Aplica-se ao ADR-009b a ser atualizado pelo Founder, após revisão da Sister Anciã.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0. Alerta de Dado Pessoal (prévio e prioritário)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Dois achados de PII no acervo — repositório público. </w:t>
            </w:r>
            <w:r>
              <w:t xml:space="preserve">Não reproduzo nomes nem CPFs neste despacho.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(a) Linha 316 do ADR-009b: </w:t>
            </w:r>
            <w:r>
              <w:t xml:space="preserve">o JSON de consentimento contém o NOME de uma cidadã (CPF mascarado “XXX”). Se for template ilustrativo, ainda assim deve ser despersonalizado; se houver qualquer consentimento real (nome + CPF reais) commitado no repositório público, configura incidente LGPD — acionar o protocolo de incidente (formulário ANPD) e remover do histórico do repositório.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(b) ADR-009a: </w:t>
            </w:r>
            <w:r>
              <w:t xml:space="preserve">o corpo do documento lista nomes reais de clientes vinculados às entradas do cofre gov.br. Pseudonimizar/remover (minimização — LGPD art. 6º, III). O cofre já usa pseudônimo; o vazamento está na camada de documentação.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1. Decisão (Opção C — Híbrido)</w:t>
      </w:r>
    </w:p>
    <w:p>
      <w:pPr>
        <w:spacing w:after="120" w:before="0" w:line="276"/>
      </w:pPr>
      <w:r>
        <w:t xml:space="preserve">Ratificada a Opção C: a vertical de hand-off opera, no presente, em exclusividade com a Dra. Juliana Pereira de Melo (até dez/2026); o marketplace de N parceiras reabre em dez/2026. O ADR-009b passa a descrever essa transição, e a defesa anti-captação é reescrita para repousar na livre escolha do cidadão — não no número de parceiras (ver §3).</w:t>
      </w:r>
    </w:p>
    <w:p>
      <w:pPr>
        <w:pStyle w:val="Heading1"/>
      </w:pPr>
      <w:r>
        <w:t xml:space="preserve">2. Camada mecânica (correção de fato — não-discricionária)</w:t>
      </w:r>
    </w:p>
    <w:p>
      <w:pPr>
        <w:spacing w:after="120" w:before="0" w:line="276"/>
      </w:pPr>
      <w:r>
        <w:t xml:space="preserve">Remover de todo artefato vivo (script, diagrama, vault, contratos e consultas B2B) o nome da parceira de ciclo encerrado (Proibição Absoluta) e o de parceira não-vigente. Não há ambiguidade; precede e independe da camada substantiva.</w:t>
      </w:r>
    </w:p>
    <w:p>
      <w:pPr>
        <w:pStyle w:val="Heading1"/>
      </w:pPr>
      <w:r>
        <w:t xml:space="preserve">3. Camada substantiva — nova tese anti-captação (texto a inserir)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  <w:color w:val="1F6B3B"/>
              </w:rPr>
              <w:t xml:space="preserve">Princípio âncora (abertura): </w:t>
            </w:r>
            <w:r>
              <w:rPr>
                <w:color w:val="1F6B3B"/>
              </w:rPr>
              <w:t xml:space="preserve">o dossiê pertence ao cidadão e a escolha do advogado é exclusivamente dele — tudo o mais decorre disso.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Tese (substitui a âncora “3 advogadas” das linhas 272/343/391):</w:t>
            </w:r>
          </w:p>
          <w:p>
            <w:pPr>
              <w:spacing w:after="60" w:line="264"/>
            </w:pPr>
            <w:r>
              <w:t xml:space="preserve">“A arquitetura afasta captação indevida (Lei 8.906/94, art. 34, IV; CED art. 7º; Provimento CFOAB 205/2021) porque, partindo do princípio âncora acima: (i) o dossiê é propriedade do cidadão e é portável a qualquer advogado de sua livre escolha; (ii) o MC não recebe comissão, percentual ou bônus por indicação; (iii) o MC não direciona — qualquer parceira só é apresentada a pedido do cidadão; (iv) a exclusividade vigente (até dez/2026) é arranjo comercial B2B entre o MC e a advogada, e NÃO restrição imposta ao cidadão. A reabertura do marketplace (dez/2026) amplia, não cria, a liberdade de escolha já assegurada.”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Risco a vigiar: se, na prática operacional, apenas a parceira exclusiva for citada, a “livre escolha” torna-se teórica e ressurge o direcionamento. Mitigação: o script (linhas 137-140) põe a livre escolha como moldura padrão; o nome da parceira é oferecido apenas a pedido. Coerente com a Cláusula 9.1 do Contrato Φ₀ (Caso 2).</w:t>
      </w:r>
    </w:p>
    <w:p>
      <w:pPr>
        <w:pStyle w:val="Heading1"/>
      </w:pPr>
      <w:r>
        <w:t xml:space="preserve">4. Saneamento linha-a-linha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41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</w:rPr>
              <w:t xml:space="preserve">Linha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</w:rPr>
              <w:t xml:space="preserve">Vigente (problema)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</w:rPr>
              <w:t xml:space="preserve">Saneado (Opção C)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129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Cita “marketplace ético (três opções independentes)”.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“O dossiê é propriedade do cidadão, que pode: (i) protocolar diretamente; (ii) levá-lo a advogado(a) de sua livre escolha; (iii) guardá-lo; ou (iv), se quiser, pedir que o MC apresente a parceira exclusiva (até dez/2026), sem obrigação. Marketplace de N parceiras reabre em dez/2026.”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131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“3 opções (Dra. Juliana Melo + [parceira de ciclo encerrado] + [parceira não-vigente])”.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Remover nomes encerrados/não-vigentes. “Durante a exclusividade (até dez/2026), o MC apresenta sua parceira exclusiva apenas a pedido do cidadão, sem direcionamento e sem comissão; o cidadão preserva a livre escolha de qualquer advogado. Reabertura do marketplace: dez/2026.”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137–140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Script de hand-off oferece três advogadas nomeadas (inclui nome encerrado).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“Aqui o(a) senhor(a) pode levar seu dossiê ao advogado de sua livre escolha. Se quiser, posso apresentar nossa parceira, a Dra. Juliana Melo (OAB-GO 38.662) — sem nenhuma obrigação sua.” (sem nomes encerrados)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160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TTA gerado “no marketplace ético”.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“TTA gerado no momento em que o cidadão escolhe levar o dossiê a um(a) advogado(a).”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222–223 · 234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Diagrama nomeia três advogadas; “vault [escritório de ciclo encerrado]”.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Diagrama: “Dra. Juliana Melo (parceira exclusiva até dez/2026) · marketplace reabre dez/2026”. Vault: “vault da advogada escolhida pelo cidadão”.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272 · 343 · 391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Tese anti-captação ancorada em “3 advogadas”.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Reescrever para ancorar em: dossiê é do cidadão (portável) + livre escolha + MC sem comissão + sem direcionamento; exclusividade é arranjo B2B, não restrição ao cidadão (ver §3). 391: “marketplace reabre em dez/2026 com parceiras credenciadas”.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316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JSON de consentimento cita “três opções” e NOME REAL de cidadã.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BLOQUEANTE: reescrever (ver §5) + RE-COLHER dos titulares cujo consentimento foi obtido sob a premissa antiga + remover o nome real do repositório (ver §0).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357 · 377 · 385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Contratos/consultas B2B com parceiras de ciclo encerrado/não-vigentes.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b w:val="false"/>
                <w:bCs w:val="false"/>
              </w:rPr>
              <w:t xml:space="preserve">Durante a exclusividade, B2B é com a Dra. Juliana; demais parceiras credenciadas só na reabertura (dez/2026). Remover consultas a nomes encerrados.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pStyle w:val="Heading1"/>
      </w:pPr>
      <w:r>
        <w:t xml:space="preserve">5. Consentimento reescrito (linha 316) — PRÉ-CONDIÇÃO BLOQUEANTE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Bloqueante de produção. </w:t>
            </w:r>
            <w:r>
              <w:t xml:space="preserve">Enquanto o consentimento não for reescrito E re-colhido, recomenda-se travar qualquer nova custódia de credencial / hand-off, em qualquer das opções. Fundamento: o consentimento que cita “três opções” inexistentes é viciado (LGPD art. 8º, §3º) e nulo por informação defeituosa (art. 9º, §1º), comprometendo a licitude da custódia (dado sensível de autenticação — art. 11, II “g” c/c art. 7º, V).</w:t>
            </w:r>
          </w:p>
        </w:tc>
      </w:tr>
    </w:tbl>
    <w:p>
      <w:pPr>
        <w:spacing w:after="6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  <w:color w:val="1F6B3B"/>
              </w:rPr>
              <w:t xml:space="preserve">Redação lapidada (Teste Zilda-STF reforçado) — sem dado pessoal do cidadão; a identificação da advogada parceira é informativa e a pedido:</w:t>
            </w:r>
          </w:p>
          <w:p>
            <w:pPr>
              <w:spacing w:after="60" w:line="264"/>
            </w:pPr>
            <w:r>
              <w:rPr>
                <w:color w:val="1F6B3B"/>
              </w:rPr>
              <w:t xml:space="preserve">“Eu autorizo o Meu Cumpadre a organizar meus documentos. Com minha autorização e só enquanto durar o serviço, o Meu Cumpadre pode custodiar com segurança meu acesso ao gov.br. Isso é só para dar entrada ou atualizar meu pedido no CRAS. Eu entendo que: (a) O dossiê é meu. Posso levar ele para qualquer advogado(a) de minha livre escolha. (b) O Meu Cumpadre não é advogado. Não decide meu benefício. Não recebe comissão por indicar alguém. (c) Se eu pedir, o Meu Cumpadre pode me apresentar a parceira Dra. Juliana Melo (OAB-GO 38.662). Eu não sou obrigado a aceitar. (d) Posso cancelar esta autorização a qualquer momento, de graça, e pedir para apagar meus dados. Esta autorização vale só para o que está escrito aqui.”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rPr>
          <w:i/>
          <w:iCs/>
        </w:rPr>
        <w:t xml:space="preserve">Âncora STF (rigor por trás da clareza): a redação acima satisfaz finalidade específica (LGPD art. 8º, §4º), informação clara/adequada (art. 9º) e os direitos de revogação e eliminação (art. 18, VI e IX), sem trazer número de artigo ao texto que a cidadã lê — o eixo Zilda comanda dentro do consentimento; o eixo STF é sustentado nesta análise.</w:t>
      </w:r>
    </w:p>
    <w:p>
      <w:pPr>
        <w:spacing w:after="120" w:before="0" w:line="276"/>
      </w:pPr>
      <w:r>
        <w:rPr>
          <w:i/>
          <w:iCs/>
        </w:rPr>
        <w:t xml:space="preserve">Validade temporal do item (c). A indicação nominal da advogada parceira é compatível com a exclusividade vigente (Opção C, até 31/12/2026). Reaberto o marketplace (jan/2027), o item (c) deve voltar a ser genérico (“advogada(s) parceira(s)”) ou rotativo, sob pena de tender a direcionamento (Estatuto art. 34, IV; Prov. CFOAB 205/2021).</w:t>
      </w:r>
    </w:p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Re-coleta: todo titular cujo consentimento foi obtido sob a premissa de “três opções” deve manifestar novo consentimento sob a redação saneada antes da continuidade da custódia.</w:t>
      </w:r>
    </w:p>
    <w:p>
      <w:pPr>
        <w:pStyle w:val="Heading1"/>
      </w:pPr>
      <w:r>
        <w:t xml:space="preserve">6. RIPD e minimização</w:t>
      </w:r>
    </w:p>
    <w:p>
      <w:pPr>
        <w:spacing w:after="120" w:before="0" w:line="276"/>
      </w:pPr>
      <w:r>
        <w:t xml:space="preserve">6.1. Recomenda-se elaborar Relatório de Impacto à Proteção de Dados (RIPD — LGPD art. 38) para a custódia de credencial gov.br, por ser tratamento de alto risco (dado sensível de autenticação).</w:t>
      </w:r>
    </w:p>
    <w:p>
      <w:pPr>
        <w:spacing w:after="120" w:before="0" w:line="276"/>
      </w:pPr>
      <w:r>
        <w:t xml:space="preserve">6.2. Executar a minimização do item 0 (pseudonimização de nomes de clientes no ADR-009a e despersonalização da linha 316).</w:t>
      </w:r>
    </w:p>
    <w:p>
      <w:pPr>
        <w:spacing w:after="120" w:before="0" w:line="276"/>
      </w:pPr>
      <w:r>
        <w:t xml:space="preserve">6.3. Manter as travas já conformes do ADR-009a: senha gov.br nunca no ClickUp; vedada a retenção de credencial como cobrança; e-mail do cidadão inalterado; eliminação ao término com orientação de troca de senha.</w:t>
      </w:r>
    </w:p>
    <w:p>
      <w:pPr>
        <w:pStyle w:val="Heading1"/>
      </w:pPr>
      <w:r>
        <w:t xml:space="preserve">7. Veredito da signatária</w:t>
      </w:r>
    </w:p>
    <w:p>
      <w:pPr>
        <w:spacing w:after="120" w:before="60"/>
      </w:pPr>
      <w:r>
        <w:rPr>
          <w:b/>
          <w:bCs/>
          <w:color w:val="1F6B3B"/>
          <w:sz w:val="24"/>
          <w:szCs w:val="24"/>
        </w:rPr>
        <w:t xml:space="preserve">☑ RATIFICO A OPÇÃO C — saneamento do ADR-009b.</w:t>
      </w:r>
    </w:p>
    <w:p>
      <w:pPr>
        <w:spacing w:after="200" w:before="0" w:line="276"/>
      </w:pPr>
      <w:r>
        <w:t xml:space="preserve">Ratifica-se: a transição para exclusividade com a Dra. Juliana Pereira de Melo até dez/2026 com reabertura do marketplace; a tese anti-captação ancorada na livre escolha do cidadão (§3); a redação lapidada do consentimento (§5). Como condição selada de produção: re-coleta do consentimento (linha 316) e RIPD antes de nova custódia, e a minimização da PII (§6).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500"/>
              <w:left w:type="dxa" w:w="4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</w:tr>
    </w:tbl>
    <w:p>
      <w:pPr>
        <w:spacing w:after="0" w:before="0" w:line="276"/>
      </w:pPr>
      <w:r>
        <w:rPr>
          <w:b/>
          <w:bCs/>
        </w:rPr>
        <w:t xml:space="preserve">Dra. Juliana Pereira de Melo — OAB-GO 38.662</w:t>
      </w:r>
    </w:p>
    <w:p>
      <w:pPr>
        <w:spacing w:after="120" w:before="0" w:line="276"/>
      </w:pPr>
      <w:r>
        <w:rPr>
          <w:color w:val="555555"/>
        </w:rPr>
        <w:t xml:space="preserve">Ratificado em 06/06/2026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6" w:space="2"/>
      </w:pBdr>
      <w:jc w:val="center"/>
    </w:pPr>
    <w:r>
      <w:rPr>
        <w:color w:val="555555"/>
        <w:sz w:val="15"/>
        <w:szCs w:val="15"/>
      </w:rPr>
      <w:t xml:space="preserve">Meu Cumpadre · Despacho ADR-009b v1.3 RATIFICADO · D &gt; C &gt; V · Provérbios 31:8 · Independência do parecerista preservada (Lei 8.906/94, art. 18) ·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C" w:sz="6" w:space="2"/>
      </w:pBdr>
      <w:spacing w:after="60"/>
      <w:jc w:val="right"/>
    </w:pPr>
    <w:r>
      <w:rPr>
        <w:color w:val="555555"/>
        <w:sz w:val="15"/>
        <w:szCs w:val="15"/>
      </w:rPr>
      <w:t xml:space="preserve">DESPACHO DE SANEAMENTO ADR-009b v1.3 RATIFICADO — CONFIDENCIAL /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Despacho de Saneamento — ADR-009b (Opção C)</dc:title>
  <dc:creator>Assessoria Jurídica — Bancada Dra. Juliana</dc:creator>
  <cp:lastModifiedBy>Un-named</cp:lastModifiedBy>
  <cp:revision>1</cp:revision>
  <dcterms:created xsi:type="dcterms:W3CDTF">2026-06-07T06:42:24.529Z</dcterms:created>
  <dcterms:modified xsi:type="dcterms:W3CDTF">2026-06-07T06:42:24.529Z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