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65CB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F2D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65CBC" w:rsidRDefault="0016700F">
            <w:pPr>
              <w:spacing w:after="40"/>
            </w:pPr>
            <w:bookmarkStart w:id="0" w:name="_GoBack"/>
            <w:bookmarkEnd w:id="0"/>
            <w:r>
              <w:rPr>
                <w:b/>
                <w:bCs/>
                <w:sz w:val="18"/>
                <w:szCs w:val="18"/>
              </w:rPr>
              <w:t xml:space="preserve">PARECER JURÍDICO RATIFICADO v1.1 — SELADO PELA SIGNATÁRIA. </w:t>
            </w:r>
            <w:r>
              <w:rPr>
                <w:sz w:val="18"/>
                <w:szCs w:val="18"/>
              </w:rPr>
              <w:t>Ratificada a Opção A (não restringir o art. 49) pela signatária em 06/06/2026. A conclusão, a responsabilidade técnica e a assinatura são exclusivas da advogada signatária.</w:t>
            </w:r>
          </w:p>
        </w:tc>
      </w:tr>
    </w:tbl>
    <w:p w:rsidR="00965CBC" w:rsidRDefault="0016700F">
      <w:pPr>
        <w:spacing w:before="160" w:after="40"/>
        <w:jc w:val="center"/>
      </w:pPr>
      <w:r>
        <w:rPr>
          <w:b/>
          <w:bCs/>
          <w:sz w:val="36"/>
          <w:szCs w:val="36"/>
        </w:rPr>
        <w:t>PARECER JURÍDICO RATIFICADO</w:t>
      </w:r>
    </w:p>
    <w:p w:rsidR="00965CBC" w:rsidRDefault="0016700F">
      <w:pPr>
        <w:spacing w:after="160"/>
        <w:jc w:val="center"/>
      </w:pPr>
      <w:r>
        <w:rPr>
          <w:i/>
          <w:iCs/>
          <w:color w:val="1F3864"/>
          <w:sz w:val="23"/>
          <w:szCs w:val="23"/>
        </w:rPr>
        <w:t>Caso 7 — Direito de arrependimento (art. 49 CDC) × produto/serviço “personalizado” (Φ₀ e Φ₁)</w:t>
      </w:r>
    </w:p>
    <w:p w:rsidR="00965CBC" w:rsidRDefault="0016700F">
      <w:pPr>
        <w:spacing w:before="40" w:after="40"/>
        <w:jc w:val="center"/>
      </w:pPr>
      <w:r>
        <w:rPr>
          <w:b/>
          <w:bCs/>
          <w:color w:val="1F3864"/>
          <w:sz w:val="22"/>
          <w:szCs w:val="22"/>
        </w:rPr>
        <w:t>RATIFICADO PELA SIGNATÁRIA — VERSÃO SELADA v1.1</w:t>
      </w:r>
    </w:p>
    <w:p w:rsidR="00965CBC" w:rsidRDefault="0016700F">
      <w:pPr>
        <w:spacing w:after="160"/>
        <w:jc w:val="both"/>
      </w:pPr>
      <w:r>
        <w:rPr>
          <w:sz w:val="18"/>
          <w:szCs w:val="18"/>
        </w:rPr>
        <w:t>Este parecer produz efeitos a partir da data da ratificação abaixo. Qualquer reprodução</w:t>
      </w:r>
      <w:r>
        <w:rPr>
          <w:sz w:val="18"/>
          <w:szCs w:val="18"/>
        </w:rPr>
        <w:t xml:space="preserve"> ou uso deve preservar a autoria exclusiva da signatária e o contexto do Firewall de atividade-meio.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65C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Consulente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 xml:space="preserve">Meu </w:t>
            </w:r>
            <w:proofErr w:type="spellStart"/>
            <w:r>
              <w:rPr>
                <w:sz w:val="18"/>
                <w:szCs w:val="18"/>
              </w:rPr>
              <w:t>Cumpadre</w:t>
            </w:r>
            <w:proofErr w:type="spellEnd"/>
            <w:r>
              <w:rPr>
                <w:sz w:val="18"/>
                <w:szCs w:val="18"/>
              </w:rPr>
              <w:t xml:space="preserve"> — Orquestração Documental e Tecnologia Ltda. (CNAE 6201-5/01)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Signatária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Dra. Juliana Pereira de Melo — OAB-GO 38.662 (atividade-fim · parecerista externa independente)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Artefatos em revisão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Cláusulas 8.1 e 8.2 do Φ₀ (</w:t>
            </w:r>
            <w:proofErr w:type="spellStart"/>
            <w:r>
              <w:rPr>
                <w:sz w:val="18"/>
                <w:szCs w:val="18"/>
              </w:rPr>
              <w:t>CadÚnico</w:t>
            </w:r>
            <w:proofErr w:type="spellEnd"/>
            <w:r>
              <w:rPr>
                <w:sz w:val="18"/>
                <w:szCs w:val="18"/>
              </w:rPr>
              <w:t>) e do Φ₁ (previdenciário); nota N1 do Φ₁. Insumo: Pesquisa Art. 49 v2.0 (</w:t>
            </w:r>
            <w:proofErr w:type="spellStart"/>
            <w:r>
              <w:rPr>
                <w:sz w:val="18"/>
                <w:szCs w:val="18"/>
              </w:rPr>
              <w:t>deep-research</w:t>
            </w:r>
            <w:proofErr w:type="spellEnd"/>
            <w:r>
              <w:rPr>
                <w:sz w:val="18"/>
                <w:szCs w:val="18"/>
              </w:rPr>
              <w:t>, dois lados).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Local e data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Goiânia-GO, 6 de junho de 2026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Hierarquia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 xml:space="preserve">Dignidade &gt; </w:t>
            </w:r>
            <w:proofErr w:type="spellStart"/>
            <w:r>
              <w:rPr>
                <w:sz w:val="18"/>
                <w:szCs w:val="18"/>
              </w:rPr>
              <w:t>Compliance</w:t>
            </w:r>
            <w:proofErr w:type="spellEnd"/>
            <w:r>
              <w:rPr>
                <w:sz w:val="18"/>
                <w:szCs w:val="18"/>
              </w:rPr>
              <w:t xml:space="preserve"> &gt; Viabilidade (D &gt; C &gt; V)</w:t>
            </w:r>
          </w:p>
        </w:tc>
      </w:tr>
    </w:tbl>
    <w:p w:rsidR="00965CBC" w:rsidRDefault="0016700F">
      <w:pPr>
        <w:spacing w:before="260" w:after="120"/>
      </w:pPr>
      <w:r>
        <w:rPr>
          <w:b/>
          <w:bCs/>
          <w:color w:val="1F3864"/>
          <w:sz w:val="26"/>
          <w:szCs w:val="26"/>
        </w:rPr>
        <w:t>1. Matéria e pergunta jurídica</w:t>
      </w:r>
    </w:p>
    <w:p w:rsidR="00965CBC" w:rsidRDefault="0016700F">
      <w:pPr>
        <w:spacing w:after="120" w:line="276" w:lineRule="auto"/>
        <w:jc w:val="both"/>
      </w:pPr>
      <w:r>
        <w:t>Matéria: Direito do Consumidor — direito de arrependimento do art. 49 do CDC em contratação à distância, diante da aleg</w:t>
      </w:r>
      <w:r>
        <w:t>ação de produto/serviço “personalizado/sob medida”. Pergunta dupla, conforme o insumo:</w:t>
      </w:r>
    </w:p>
    <w:p w:rsidR="00965CBC" w:rsidRDefault="0016700F">
      <w:pPr>
        <w:spacing w:after="120" w:line="276" w:lineRule="auto"/>
        <w:jc w:val="both"/>
      </w:pPr>
      <w:r>
        <w:rPr>
          <w:b/>
          <w:bCs/>
        </w:rPr>
        <w:t>(i) PODE</w:t>
      </w:r>
      <w:r>
        <w:t xml:space="preserve"> o MC afastar ou restringir o art. 49 (Φ₀/Φ₁) sob o argumento de “personalizado”, e sob que condições isso seria lícito? </w:t>
      </w:r>
      <w:r>
        <w:rPr>
          <w:b/>
          <w:bCs/>
        </w:rPr>
        <w:t>(</w:t>
      </w:r>
      <w:proofErr w:type="spellStart"/>
      <w:r>
        <w:rPr>
          <w:b/>
          <w:bCs/>
        </w:rPr>
        <w:t>ii</w:t>
      </w:r>
      <w:proofErr w:type="spellEnd"/>
      <w:r>
        <w:rPr>
          <w:b/>
          <w:bCs/>
        </w:rPr>
        <w:t>) DEVE</w:t>
      </w:r>
      <w:r>
        <w:t xml:space="preserve">, diante de D &gt; C &gt; V e da </w:t>
      </w:r>
      <w:proofErr w:type="spellStart"/>
      <w:r>
        <w:t>hipervulnerabilidade</w:t>
      </w:r>
      <w:proofErr w:type="spellEnd"/>
      <w:r>
        <w:t xml:space="preserve"> do cliente, exercer essa restrição — ou manter o arrependimento de 7 dias?</w:t>
      </w:r>
    </w:p>
    <w:p w:rsidR="00965CBC" w:rsidRDefault="0016700F">
      <w:pPr>
        <w:spacing w:after="120" w:line="276" w:lineRule="auto"/>
        <w:jc w:val="both"/>
      </w:pPr>
      <w:r>
        <w:rPr>
          <w:i/>
          <w:iCs/>
          <w:sz w:val="19"/>
          <w:szCs w:val="19"/>
        </w:rPr>
        <w:t xml:space="preserve">Firewall: o eixo é consumerista (relação </w:t>
      </w:r>
      <w:proofErr w:type="spellStart"/>
      <w:r>
        <w:rPr>
          <w:i/>
          <w:iCs/>
          <w:sz w:val="19"/>
          <w:szCs w:val="19"/>
        </w:rPr>
        <w:t>MC↔cliente</w:t>
      </w:r>
      <w:proofErr w:type="spellEnd"/>
      <w:r>
        <w:rPr>
          <w:i/>
          <w:iCs/>
          <w:sz w:val="19"/>
          <w:szCs w:val="19"/>
        </w:rPr>
        <w:t>, o MC como fornecedor de serviço de orquestração). Não toca a reserva da advocaci</w:t>
      </w:r>
      <w:r>
        <w:rPr>
          <w:i/>
          <w:iCs/>
          <w:sz w:val="19"/>
          <w:szCs w:val="19"/>
        </w:rPr>
        <w:t>a — está dentro da atividade-meio. A pesquisa é insumo; a tese e a conclusão são da signatária.</w:t>
      </w:r>
    </w:p>
    <w:p w:rsidR="00965CBC" w:rsidRDefault="0016700F">
      <w:pPr>
        <w:spacing w:before="260" w:after="120"/>
      </w:pPr>
      <w:r>
        <w:rPr>
          <w:b/>
          <w:bCs/>
          <w:color w:val="1F3864"/>
          <w:sz w:val="26"/>
          <w:szCs w:val="26"/>
        </w:rPr>
        <w:t xml:space="preserve">2. Base normativa (com selo </w:t>
      </w:r>
      <w:proofErr w:type="spellStart"/>
      <w:r>
        <w:rPr>
          <w:b/>
          <w:bCs/>
          <w:color w:val="1F3864"/>
          <w:sz w:val="26"/>
          <w:szCs w:val="26"/>
        </w:rPr>
        <w:t>Proof-First</w:t>
      </w:r>
      <w:proofErr w:type="spellEnd"/>
      <w:r>
        <w:rPr>
          <w:b/>
          <w:bCs/>
          <w:color w:val="1F3864"/>
          <w:sz w:val="26"/>
          <w:szCs w:val="26"/>
        </w:rPr>
        <w:t>)</w:t>
      </w:r>
    </w:p>
    <w:p w:rsidR="00965CBC" w:rsidRDefault="0016700F">
      <w:pPr>
        <w:spacing w:after="120" w:line="276" w:lineRule="auto"/>
        <w:jc w:val="both"/>
      </w:pPr>
      <w:r>
        <w:rPr>
          <w:sz w:val="18"/>
          <w:szCs w:val="18"/>
        </w:rPr>
        <w:t xml:space="preserve">Selos da pesquisa carregados fielmente: </w:t>
      </w:r>
      <w:r>
        <w:rPr>
          <w:b/>
          <w:bCs/>
          <w:color w:val="666666"/>
          <w:sz w:val="15"/>
          <w:szCs w:val="15"/>
        </w:rPr>
        <w:t>[VERIFICADO]</w:t>
      </w:r>
      <w:r>
        <w:rPr>
          <w:sz w:val="18"/>
          <w:szCs w:val="18"/>
        </w:rPr>
        <w:t xml:space="preserve"> norma de texto público (conferida no Project) · </w:t>
      </w:r>
      <w:r>
        <w:rPr>
          <w:b/>
          <w:bCs/>
          <w:color w:val="666666"/>
          <w:sz w:val="15"/>
          <w:szCs w:val="15"/>
        </w:rPr>
        <w:t>[VIA-ÍNDICE]</w:t>
      </w:r>
      <w:r>
        <w:rPr>
          <w:sz w:val="18"/>
          <w:szCs w:val="18"/>
        </w:rPr>
        <w:t xml:space="preserve"> URL v</w:t>
      </w:r>
      <w:r>
        <w:rPr>
          <w:sz w:val="18"/>
          <w:szCs w:val="18"/>
        </w:rPr>
        <w:t xml:space="preserve">iva + trecho do buscador, página não </w:t>
      </w:r>
      <w:proofErr w:type="spellStart"/>
      <w:r>
        <w:rPr>
          <w:sz w:val="18"/>
          <w:szCs w:val="18"/>
        </w:rPr>
        <w:t>renderizada</w:t>
      </w:r>
      <w:proofErr w:type="spellEnd"/>
      <w:r>
        <w:rPr>
          <w:sz w:val="18"/>
          <w:szCs w:val="18"/>
        </w:rPr>
        <w:t xml:space="preserve"> (403) · </w:t>
      </w:r>
      <w:r>
        <w:rPr>
          <w:b/>
          <w:bCs/>
          <w:color w:val="666666"/>
          <w:sz w:val="15"/>
          <w:szCs w:val="15"/>
        </w:rPr>
        <w:t>[VIA-SNIPPET]</w:t>
      </w:r>
      <w:r>
        <w:rPr>
          <w:sz w:val="18"/>
          <w:szCs w:val="18"/>
        </w:rPr>
        <w:t xml:space="preserve"> teor de </w:t>
      </w:r>
      <w:proofErr w:type="spellStart"/>
      <w:r>
        <w:rPr>
          <w:sz w:val="18"/>
          <w:szCs w:val="18"/>
        </w:rPr>
        <w:t>snippet</w:t>
      </w:r>
      <w:proofErr w:type="spellEnd"/>
      <w:r>
        <w:rPr>
          <w:sz w:val="18"/>
          <w:szCs w:val="18"/>
        </w:rPr>
        <w:t xml:space="preserve">, conferir antes de citar · </w:t>
      </w:r>
      <w:r>
        <w:rPr>
          <w:b/>
          <w:bCs/>
          <w:color w:val="666666"/>
          <w:sz w:val="15"/>
          <w:szCs w:val="15"/>
        </w:rPr>
        <w:t>[NÃO LOCALIZADA]</w:t>
      </w:r>
      <w:r>
        <w:rPr>
          <w:sz w:val="18"/>
          <w:szCs w:val="18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3"/>
        <w:gridCol w:w="4522"/>
        <w:gridCol w:w="1381"/>
      </w:tblGrid>
      <w:tr w:rsidR="00965C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b/>
                <w:bCs/>
                <w:color w:val="FFFFFF"/>
                <w:sz w:val="18"/>
                <w:szCs w:val="18"/>
              </w:rPr>
              <w:t>Norma / fonte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b/>
                <w:bCs/>
                <w:color w:val="FFFFFF"/>
                <w:sz w:val="18"/>
                <w:szCs w:val="18"/>
              </w:rPr>
              <w:t>Conteúdo pertinente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b/>
                <w:bCs/>
                <w:color w:val="FFFFFF"/>
                <w:sz w:val="18"/>
                <w:szCs w:val="18"/>
              </w:rPr>
              <w:t>Selo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CDC art. 49 + § único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Arrependimento em 7 dias fora do estabelecimento; devolução imediata e atualizada dos valores.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[VERIFICADO]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CDC art. 1º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Normas de ordem pública e interesse social → direito tido por irrenunciável.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[VERIFICADO]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CDC art. 51, I, IV, §1º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Nulas as cláusulas que impliquem renúncia de direitos (I) ou desvantagem exagerada/contra a boa-fé (IV); presunção de exagero (§1º).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[VERIFICADO]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 xml:space="preserve">CDC </w:t>
            </w:r>
            <w:proofErr w:type="spellStart"/>
            <w:r>
              <w:rPr>
                <w:sz w:val="18"/>
                <w:szCs w:val="18"/>
              </w:rPr>
              <w:t>arts</w:t>
            </w:r>
            <w:proofErr w:type="spellEnd"/>
            <w:r>
              <w:rPr>
                <w:sz w:val="18"/>
                <w:szCs w:val="18"/>
              </w:rPr>
              <w:t>. 46/47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Conhecimento prévio e linguagem clara; interpretação mais favorável ao consumidor (</w:t>
            </w:r>
            <w:proofErr w:type="spellStart"/>
            <w:r>
              <w:rPr>
                <w:sz w:val="18"/>
                <w:szCs w:val="18"/>
              </w:rPr>
              <w:t>anti</w:t>
            </w:r>
            <w:proofErr w:type="spellEnd"/>
            <w:r>
              <w:rPr>
                <w:sz w:val="18"/>
                <w:szCs w:val="18"/>
              </w:rPr>
              <w:t>-cláus</w:t>
            </w:r>
            <w:r>
              <w:rPr>
                <w:sz w:val="18"/>
                <w:szCs w:val="18"/>
              </w:rPr>
              <w:t>ula-surpresa).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[VERIFICADO]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CDC art. 18+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Vício/defeito — direito básico que não se suprime (distinto do art. 49).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[VERIFICADO]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lastRenderedPageBreak/>
              <w:t>Decreto 7.962/2013 art. 5º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Informar clara e ostensivamente o exercício; mesma ferramenta; rescisão de acessórios sem ônus; estorno imediato. Sem exceção de “personalizado”.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[VERIFICADO]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 xml:space="preserve">CC </w:t>
            </w:r>
            <w:proofErr w:type="spellStart"/>
            <w:r>
              <w:rPr>
                <w:sz w:val="18"/>
                <w:szCs w:val="18"/>
              </w:rPr>
              <w:t>arts</w:t>
            </w:r>
            <w:proofErr w:type="spellEnd"/>
            <w:r>
              <w:rPr>
                <w:sz w:val="18"/>
                <w:szCs w:val="18"/>
              </w:rPr>
              <w:t>. 421/422, 187, 884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Função social/boa-fé objetiva; abuso de direito; enriquecimento sem c</w:t>
            </w:r>
            <w:r>
              <w:rPr>
                <w:sz w:val="18"/>
                <w:szCs w:val="18"/>
              </w:rPr>
              <w:t>ausa (ancoram a interpretação).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[VERIFICADO]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TJDFT Ac. 1.200.412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Lado A — serviço fotográfico “personalíssimo” afastado do art. 49. Inteiro teor NÃO conferido (403).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6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[VIA-SNIPPET]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 xml:space="preserve">STJ </w:t>
            </w:r>
            <w:proofErr w:type="spellStart"/>
            <w:r>
              <w:rPr>
                <w:sz w:val="18"/>
                <w:szCs w:val="18"/>
              </w:rPr>
              <w:t>REsp</w:t>
            </w:r>
            <w:proofErr w:type="spellEnd"/>
            <w:r>
              <w:rPr>
                <w:sz w:val="18"/>
                <w:szCs w:val="18"/>
              </w:rPr>
              <w:t xml:space="preserve"> 1.340.604/RJ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Lado B por transposição — “não criar limitação ao art. 49 sem previsão legal”. ATENÇÃO: trata de frete de devolução, NÃO de personalizado.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6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[VIA-SNIPPET]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PLS 281/2012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 xml:space="preserve">Propôs limitar o art. 49 para produto conforme especificação do consumidor; NÃO acolhido </w:t>
            </w:r>
            <w:r>
              <w:rPr>
                <w:sz w:val="18"/>
                <w:szCs w:val="18"/>
              </w:rPr>
              <w:t>→ o legislador declinou da exceção.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6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[VIA-SNIPPET]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proofErr w:type="spellStart"/>
            <w:r>
              <w:rPr>
                <w:sz w:val="18"/>
                <w:szCs w:val="18"/>
              </w:rPr>
              <w:t>Hipervulnerável</w:t>
            </w:r>
            <w:proofErr w:type="spellEnd"/>
            <w:r>
              <w:rPr>
                <w:sz w:val="18"/>
                <w:szCs w:val="18"/>
              </w:rPr>
              <w:t xml:space="preserve"> (STJ/Benjamin; Estatuto do Idoso)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 xml:space="preserve">Idoso/analfabeto/enfermo = escrutínio reforçado. </w:t>
            </w:r>
            <w:proofErr w:type="spellStart"/>
            <w:r>
              <w:rPr>
                <w:sz w:val="18"/>
                <w:szCs w:val="18"/>
              </w:rPr>
              <w:t>REsp</w:t>
            </w:r>
            <w:proofErr w:type="spellEnd"/>
            <w:r>
              <w:rPr>
                <w:sz w:val="18"/>
                <w:szCs w:val="18"/>
              </w:rPr>
              <w:t xml:space="preserve"> 1.358.057/PR e 1.568.244/RJ citados.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6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[VIA-SNIPPET]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proofErr w:type="spellStart"/>
            <w:r>
              <w:rPr>
                <w:sz w:val="18"/>
                <w:szCs w:val="18"/>
              </w:rPr>
              <w:t>Procon-SC</w:t>
            </w:r>
            <w:proofErr w:type="spellEnd"/>
            <w:r>
              <w:rPr>
                <w:sz w:val="18"/>
                <w:szCs w:val="18"/>
              </w:rPr>
              <w:t xml:space="preserve">/RS + </w:t>
            </w:r>
            <w:proofErr w:type="spellStart"/>
            <w:r>
              <w:rPr>
                <w:sz w:val="18"/>
                <w:szCs w:val="18"/>
              </w:rPr>
              <w:t>Senacon</w:t>
            </w:r>
            <w:proofErr w:type="spellEnd"/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 xml:space="preserve">Lado A — orientação administrativa (não cria lei). SC e </w:t>
            </w:r>
            <w:proofErr w:type="spellStart"/>
            <w:r>
              <w:rPr>
                <w:sz w:val="18"/>
                <w:szCs w:val="18"/>
              </w:rPr>
              <w:t>Senacon</w:t>
            </w:r>
            <w:proofErr w:type="spellEnd"/>
            <w:r>
              <w:rPr>
                <w:sz w:val="18"/>
                <w:szCs w:val="18"/>
              </w:rPr>
              <w:t xml:space="preserve"> = mesmo texto-cartilha MJ (uma fonte replicada). Procon-SP/MG: enunciado não localizado em página própria.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6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[VIA-</w:t>
            </w:r>
            <w:proofErr w:type="gramStart"/>
            <w:r>
              <w:rPr>
                <w:sz w:val="18"/>
                <w:szCs w:val="18"/>
              </w:rPr>
              <w:t>ÍNDICE]/</w:t>
            </w:r>
            <w:proofErr w:type="gramEnd"/>
            <w:r>
              <w:rPr>
                <w:sz w:val="18"/>
                <w:szCs w:val="18"/>
              </w:rPr>
              <w:t>[NÃO LOC.]</w:t>
            </w:r>
          </w:p>
        </w:tc>
      </w:tr>
    </w:tbl>
    <w:p w:rsidR="00965CBC" w:rsidRDefault="0016700F">
      <w:pPr>
        <w:spacing w:after="120" w:line="276" w:lineRule="auto"/>
        <w:jc w:val="both"/>
      </w:pPr>
      <w:proofErr w:type="spellStart"/>
      <w:r>
        <w:rPr>
          <w:b/>
          <w:bCs/>
        </w:rPr>
        <w:t>Ponto-chave</w:t>
      </w:r>
      <w:proofErr w:type="spellEnd"/>
      <w:r>
        <w:rPr>
          <w:b/>
          <w:bCs/>
        </w:rPr>
        <w:t xml:space="preserve">: </w:t>
      </w:r>
      <w:r>
        <w:t>nem o art. 49 nem o Decreto 7.962 trazem exceçã</w:t>
      </w:r>
      <w:r>
        <w:t xml:space="preserve">o literal para “personalizado”. A exclusão, se cabível, é construção interpretativa — não texto expresso. As duas âncoras de jurisprudência (lados A e B) estão </w:t>
      </w:r>
      <w:r>
        <w:rPr>
          <w:b/>
          <w:bCs/>
        </w:rPr>
        <w:t>[VIA-SNIPPET], não lidas no inteiro teor</w:t>
      </w:r>
      <w:r>
        <w:t xml:space="preserve"> — não fundamentam, sozinhas, conclusão de segurança.</w:t>
      </w:r>
    </w:p>
    <w:p w:rsidR="00965CBC" w:rsidRDefault="0016700F">
      <w:pPr>
        <w:spacing w:before="260" w:after="120"/>
      </w:pPr>
      <w:r>
        <w:rPr>
          <w:b/>
          <w:bCs/>
          <w:color w:val="1F3864"/>
          <w:sz w:val="26"/>
          <w:szCs w:val="26"/>
        </w:rPr>
        <w:t>3.</w:t>
      </w:r>
      <w:r>
        <w:rPr>
          <w:b/>
          <w:bCs/>
          <w:color w:val="1F3864"/>
          <w:sz w:val="26"/>
          <w:szCs w:val="26"/>
        </w:rPr>
        <w:t xml:space="preserve"> Análise — (i) PODE restringir?</w:t>
      </w:r>
    </w:p>
    <w:p w:rsidR="00965CBC" w:rsidRDefault="0016700F">
      <w:pPr>
        <w:spacing w:after="120" w:line="276" w:lineRule="auto"/>
        <w:jc w:val="both"/>
      </w:pPr>
      <w:r>
        <w:rPr>
          <w:b/>
          <w:bCs/>
        </w:rPr>
        <w:t xml:space="preserve">Lado A (favorável à exclusão): </w:t>
      </w:r>
      <w:r>
        <w:t xml:space="preserve">orientação administrativa de </w:t>
      </w:r>
      <w:proofErr w:type="spellStart"/>
      <w:r>
        <w:t>Procons</w:t>
      </w:r>
      <w:proofErr w:type="spellEnd"/>
      <w:r>
        <w:t xml:space="preserve"> (em parte o mesmo texto replicado pelo </w:t>
      </w:r>
      <w:proofErr w:type="spellStart"/>
      <w:r>
        <w:t>Senacon</w:t>
      </w:r>
      <w:proofErr w:type="spellEnd"/>
      <w:r>
        <w:t>/MJ) e um precedente mais localizável (TJDFT, serviço fotográfico personalíssimo) — este não conferido na íntegra. É a corrente que afasta o art. 49 quando o serviço foi int</w:t>
      </w:r>
      <w:r>
        <w:t>egralmente executado ou a personalização inviabiliza o reaproveitamento econômico.</w:t>
      </w:r>
    </w:p>
    <w:p w:rsidR="00965CBC" w:rsidRDefault="0016700F">
      <w:pPr>
        <w:spacing w:after="120" w:line="276" w:lineRule="auto"/>
        <w:jc w:val="both"/>
      </w:pPr>
      <w:r>
        <w:rPr>
          <w:b/>
          <w:bCs/>
        </w:rPr>
        <w:t xml:space="preserve">Lado B (contra a exclusão — mais forte no texto): </w:t>
      </w:r>
      <w:r>
        <w:t>(a) o direito é de ordem pública e irrenunciável (art. 1º + 51, I) — cláusula que o afaste tende à nulidade de pleno direit</w:t>
      </w:r>
      <w:r>
        <w:t>o; (b) o Decreto 7.962 desenha o arrependimento para ser facilitado, sem exceção de personalizado; (c) o PLS 281/2012 quis abrir essa exceção e NÃO foi acolhido — sinal de que o legislador declinou; (d) o risco do negócio é do fornecedor, ainda que a desis</w:t>
      </w:r>
      <w:r>
        <w:t xml:space="preserve">tência torne o bem imprestável; (e) o MPSP registra as duas correntes — prova documental de que NÃO há consenso; (f) o cliente é </w:t>
      </w:r>
      <w:proofErr w:type="spellStart"/>
      <w:r>
        <w:t>hipervulnerável</w:t>
      </w:r>
      <w:proofErr w:type="spellEnd"/>
      <w:r>
        <w:t>, o que agrava o escrutínio de abusividade (art. 51, IV) e o dever de informação.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65CB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65CBC" w:rsidRDefault="0016700F">
            <w:pPr>
              <w:spacing w:after="40"/>
            </w:pPr>
            <w:r>
              <w:rPr>
                <w:b/>
                <w:bCs/>
              </w:rPr>
              <w:t xml:space="preserve">Conclusão da análise (pode?): </w:t>
            </w:r>
            <w:r>
              <w:t xml:space="preserve">a tese de exclusão é ARGUÍVEL, mas NÃO é segura. Uma cláusula de afastamento/renúncia do art. 49 corre alto risco de nulidade (art. 51, I), agravado pelo perfil </w:t>
            </w:r>
            <w:proofErr w:type="spellStart"/>
            <w:r>
              <w:t>hipervulnerável</w:t>
            </w:r>
            <w:proofErr w:type="spellEnd"/>
            <w:r>
              <w:t xml:space="preserve"> do cliente do MC. O mesmo exemplo (álbum fotográfico) é invocado pelos dois lad</w:t>
            </w:r>
            <w:r>
              <w:t>os; a matéria é genuinamente disputada e resolvida caso a caso. Não há base para afirmar que a exclusão é segura.</w:t>
            </w:r>
          </w:p>
        </w:tc>
      </w:tr>
    </w:tbl>
    <w:p w:rsidR="00965CBC" w:rsidRDefault="0016700F">
      <w:pPr>
        <w:spacing w:before="260" w:after="120"/>
      </w:pPr>
      <w:r>
        <w:rPr>
          <w:b/>
          <w:bCs/>
          <w:color w:val="1F3864"/>
          <w:sz w:val="26"/>
          <w:szCs w:val="26"/>
        </w:rPr>
        <w:t>Análise — (</w:t>
      </w:r>
      <w:proofErr w:type="spellStart"/>
      <w:r>
        <w:rPr>
          <w:b/>
          <w:bCs/>
          <w:color w:val="1F3864"/>
          <w:sz w:val="26"/>
          <w:szCs w:val="26"/>
        </w:rPr>
        <w:t>ii</w:t>
      </w:r>
      <w:proofErr w:type="spellEnd"/>
      <w:r>
        <w:rPr>
          <w:b/>
          <w:bCs/>
          <w:color w:val="1F3864"/>
          <w:sz w:val="26"/>
          <w:szCs w:val="26"/>
        </w:rPr>
        <w:t>) DEVE restringir? (D &gt; C &gt; V)</w:t>
      </w:r>
    </w:p>
    <w:p w:rsidR="00965CBC" w:rsidRDefault="0016700F">
      <w:pPr>
        <w:spacing w:after="120" w:line="276" w:lineRule="auto"/>
        <w:jc w:val="both"/>
      </w:pPr>
      <w:r>
        <w:t>Ainda que se admita a licitude arguível, a Dignidade está no topo da hierarquia. Retirar de uma pessoa pobre, idosa e de baixa escolaridade a “válvula de escape” de 7 dias colide com o próprio DNA do MC (infraestrutura de dignidade) e com a percepção públi</w:t>
      </w:r>
      <w:r>
        <w:t xml:space="preserve">ca. As minutas vigentes </w:t>
      </w:r>
      <w:r>
        <w:rPr>
          <w:b/>
          <w:bCs/>
        </w:rPr>
        <w:t>já concedem</w:t>
      </w:r>
      <w:r>
        <w:t xml:space="preserve"> o arrependimento (Cláusula 8.1 de Φ₀ e Φ₁); o que está em discussão é mantê-lo ou </w:t>
      </w:r>
      <w:r>
        <w:lastRenderedPageBreak/>
        <w:t xml:space="preserve">restringi-lo. Sob D &gt; C &gt; V, a recomendação de enquadramento é </w:t>
      </w:r>
      <w:r>
        <w:rPr>
          <w:b/>
          <w:bCs/>
        </w:rPr>
        <w:t>manter o arrependimento de 7 dias como diferencial de confiança</w:t>
      </w:r>
      <w:r>
        <w:t xml:space="preserve"> com o </w:t>
      </w:r>
      <w:proofErr w:type="spellStart"/>
      <w:r>
        <w:t>hiper</w:t>
      </w:r>
      <w:r>
        <w:t>vulnerável</w:t>
      </w:r>
      <w:proofErr w:type="spellEnd"/>
      <w:r>
        <w:t xml:space="preserve"> — não restringir.</w:t>
      </w:r>
    </w:p>
    <w:p w:rsidR="00965CBC" w:rsidRDefault="0016700F">
      <w:pPr>
        <w:spacing w:after="120" w:line="276" w:lineRule="auto"/>
        <w:jc w:val="both"/>
      </w:pPr>
      <w:r>
        <w:rPr>
          <w:b/>
          <w:bCs/>
        </w:rPr>
        <w:t xml:space="preserve">Conexão com o Caso 2: </w:t>
      </w:r>
      <w:r>
        <w:t>a Cláusula 8.2 do Φ₀ já foi refundada (decisão A3) na decadência do art. 49 após o 7º dia + serviço efetivamente prestado, removendo a tese controversa de “produto personalizado”. Este parecer confirma e g</w:t>
      </w:r>
      <w:r>
        <w:t>eneraliza esse eixo, estendendo-o ao Φ₁ (nota N1).</w:t>
      </w:r>
    </w:p>
    <w:p w:rsidR="00965CBC" w:rsidRDefault="0016700F">
      <w:pPr>
        <w:spacing w:before="260" w:after="120"/>
      </w:pPr>
      <w:r>
        <w:rPr>
          <w:b/>
          <w:bCs/>
          <w:color w:val="1F3864"/>
          <w:sz w:val="26"/>
          <w:szCs w:val="26"/>
        </w:rPr>
        <w:t>4. Matriz de risco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26"/>
        <w:gridCol w:w="1200"/>
        <w:gridCol w:w="2000"/>
      </w:tblGrid>
      <w:tr w:rsidR="00965C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b/>
                <w:bCs/>
                <w:color w:val="FFFFFF"/>
                <w:sz w:val="18"/>
                <w:szCs w:val="18"/>
              </w:rPr>
              <w:t>Foco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b/>
                <w:bCs/>
                <w:color w:val="FFFFFF"/>
                <w:sz w:val="18"/>
                <w:szCs w:val="18"/>
              </w:rPr>
              <w:t>Mitigação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Consumerista / nulidade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 xml:space="preserve">Cláusula de exclusão do art. 49 → nulidade (art. 51, I), agravada pelo </w:t>
            </w:r>
            <w:proofErr w:type="spellStart"/>
            <w:r>
              <w:rPr>
                <w:sz w:val="18"/>
                <w:szCs w:val="18"/>
              </w:rPr>
              <w:t>hipervulnerável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DEDE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Não restringir; honrar o art. 49 (cl. 8.1)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Regulatório (</w:t>
            </w:r>
            <w:proofErr w:type="spellStart"/>
            <w:r>
              <w:rPr>
                <w:sz w:val="18"/>
                <w:szCs w:val="18"/>
              </w:rPr>
              <w:t>Senacon</w:t>
            </w:r>
            <w:proofErr w:type="spellEnd"/>
            <w:r>
              <w:rPr>
                <w:sz w:val="18"/>
                <w:szCs w:val="18"/>
              </w:rPr>
              <w:t>/Procon)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Fiscalização de cláusula abusiva/surpresa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D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Informação prévia clara e ostensiva (Decreto 7.962 art. 5º)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proofErr w:type="spellStart"/>
            <w:r>
              <w:rPr>
                <w:sz w:val="18"/>
                <w:szCs w:val="18"/>
              </w:rPr>
              <w:t>Reputacional</w:t>
            </w:r>
            <w:proofErr w:type="spellEnd"/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“Infra de dignidade” tirando direito do vulnerável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DEDE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Manter o direito como diferencial de confiança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Dignidade (D &gt; C &gt; V)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Restrição contraria a hierarquia inviolável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DEDE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Prevalência da dignidade: manter os 7 dias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proofErr w:type="spellStart"/>
            <w:r>
              <w:rPr>
                <w:sz w:val="18"/>
                <w:szCs w:val="18"/>
              </w:rPr>
              <w:t>Proof-First</w:t>
            </w:r>
            <w:proofErr w:type="spellEnd"/>
            <w:r>
              <w:rPr>
                <w:sz w:val="18"/>
                <w:szCs w:val="18"/>
              </w:rPr>
              <w:t xml:space="preserve"> (fontes)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Fundamentar exclusão em precedente não lido na íntegra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D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Não citar TJDFT/</w:t>
            </w:r>
            <w:proofErr w:type="spellStart"/>
            <w:r>
              <w:rPr>
                <w:sz w:val="18"/>
                <w:szCs w:val="18"/>
              </w:rPr>
              <w:t>REsp</w:t>
            </w:r>
            <w:proofErr w:type="spellEnd"/>
            <w:r>
              <w:rPr>
                <w:sz w:val="18"/>
                <w:szCs w:val="18"/>
              </w:rPr>
              <w:t xml:space="preserve"> como verificados; conferir inteiro te</w:t>
            </w:r>
            <w:r>
              <w:rPr>
                <w:sz w:val="18"/>
                <w:szCs w:val="18"/>
              </w:rPr>
              <w:t>or</w:t>
            </w:r>
          </w:p>
        </w:tc>
      </w:tr>
    </w:tbl>
    <w:p w:rsidR="00965CBC" w:rsidRDefault="0016700F">
      <w:pPr>
        <w:spacing w:before="260" w:after="120"/>
      </w:pPr>
      <w:r>
        <w:rPr>
          <w:b/>
          <w:bCs/>
          <w:color w:val="1F3864"/>
          <w:sz w:val="26"/>
          <w:szCs w:val="26"/>
        </w:rPr>
        <w:t>5. Opções e recomendação técnica</w:t>
      </w:r>
    </w:p>
    <w:p w:rsidR="00965CBC" w:rsidRDefault="0016700F">
      <w:pPr>
        <w:spacing w:after="120" w:line="276" w:lineRule="auto"/>
        <w:jc w:val="both"/>
      </w:pPr>
      <w:r>
        <w:rPr>
          <w:i/>
          <w:iCs/>
          <w:sz w:val="18"/>
          <w:szCs w:val="18"/>
        </w:rPr>
        <w:t>As opções são para a deliberação da signatária; não constituem decisão.</w:t>
      </w:r>
    </w:p>
    <w:p w:rsidR="00965CBC" w:rsidRDefault="0016700F">
      <w:pPr>
        <w:spacing w:after="120" w:line="276" w:lineRule="auto"/>
        <w:jc w:val="both"/>
      </w:pPr>
      <w:r>
        <w:rPr>
          <w:b/>
          <w:bCs/>
        </w:rPr>
        <w:t xml:space="preserve">Opção A — NÃO restringir (RECOMENDADA). </w:t>
      </w:r>
      <w:r>
        <w:t>Manter a Cláusula 8.1 (arrependimento de 7 dias). Refundar a Cláusula 8.2 / nota N1 NÃO no argumento “personalizado”, mas na decadência após o 7º dia + serviço efetivamente prestado (devolução proporcional pelo já executado dentro dos 7 dias, CC art. 884),</w:t>
      </w:r>
      <w:r>
        <w:t xml:space="preserve"> com informação prévia clara e ostensiva (Decreto 7.962 art. 5º) — sem jamais negar o direito de 7 dias. Pró-</w:t>
      </w:r>
      <w:proofErr w:type="spellStart"/>
      <w:r>
        <w:t>hipervulnerável</w:t>
      </w:r>
      <w:proofErr w:type="spellEnd"/>
      <w:r>
        <w:t>, alinhada a D &gt; C &gt; V, baixo risco. Espelha e generaliza a correção já feita no Caso 2.</w:t>
      </w:r>
    </w:p>
    <w:p w:rsidR="00965CBC" w:rsidRDefault="0016700F">
      <w:pPr>
        <w:spacing w:after="120" w:line="276" w:lineRule="auto"/>
        <w:jc w:val="both"/>
      </w:pPr>
      <w:r>
        <w:rPr>
          <w:b/>
          <w:bCs/>
        </w:rPr>
        <w:t xml:space="preserve">Opção B — restringir via “personalizado”. </w:t>
      </w:r>
      <w:r>
        <w:t>Q</w:t>
      </w:r>
      <w:r>
        <w:t xml:space="preserve">ualificar o produto como sob medida no contrato/UX e informar de forma ostensiva (caminhos do §8 da pesquisa). NÃO RECOMENDADA: tese não pacífica; alto risco de nulidade (art. 51, I) agravado pelo perfil </w:t>
      </w:r>
      <w:proofErr w:type="spellStart"/>
      <w:r>
        <w:t>hipervulnerável</w:t>
      </w:r>
      <w:proofErr w:type="spellEnd"/>
      <w:r>
        <w:t xml:space="preserve">; exposição </w:t>
      </w:r>
      <w:proofErr w:type="spellStart"/>
      <w:r>
        <w:t>reputacional</w:t>
      </w:r>
      <w:proofErr w:type="spellEnd"/>
      <w:r>
        <w:t xml:space="preserve"> e a D &gt; C &gt; </w:t>
      </w:r>
      <w:r>
        <w:t>V.</w:t>
      </w:r>
    </w:p>
    <w:p w:rsidR="00965CBC" w:rsidRDefault="0016700F">
      <w:pPr>
        <w:spacing w:after="120" w:line="276" w:lineRule="auto"/>
        <w:jc w:val="both"/>
      </w:pPr>
      <w:r>
        <w:rPr>
          <w:b/>
          <w:bCs/>
        </w:rPr>
        <w:t xml:space="preserve">Opção C — meio-termo. </w:t>
      </w:r>
      <w:r>
        <w:t xml:space="preserve">Manter os 7 dias, mas reter proporcionalmente, dentro do prazo, o custo do serviço já prestado. Risco intermediário: colide com a devolução integral do art. 49, § único e com a </w:t>
      </w:r>
      <w:proofErr w:type="spellStart"/>
      <w:r>
        <w:t>ratio</w:t>
      </w:r>
      <w:proofErr w:type="spellEnd"/>
      <w:r>
        <w:t xml:space="preserve"> do </w:t>
      </w:r>
      <w:proofErr w:type="spellStart"/>
      <w:r>
        <w:t>REsp</w:t>
      </w:r>
      <w:proofErr w:type="spellEnd"/>
      <w:r>
        <w:t xml:space="preserve"> 1.340.604 (“não criar limitação não prev</w:t>
      </w:r>
      <w:r>
        <w:t>ista”). Menos segura que a Opção A.</w:t>
      </w:r>
    </w:p>
    <w:p w:rsidR="00965CBC" w:rsidRDefault="0016700F">
      <w:pPr>
        <w:spacing w:after="120" w:line="276" w:lineRule="auto"/>
        <w:jc w:val="both"/>
      </w:pPr>
      <w:r>
        <w:rPr>
          <w:b/>
          <w:bCs/>
          <w:color w:val="1F6B3B"/>
        </w:rPr>
        <w:t>Recomendação técnica: Opção A</w:t>
      </w:r>
      <w:r>
        <w:t xml:space="preserve">. A licitude da restrição é, no melhor cenário, arguível e insegura; sob D &gt; C &gt; V e a </w:t>
      </w:r>
      <w:proofErr w:type="spellStart"/>
      <w:r>
        <w:t>hipervulnerabilidade</w:t>
      </w:r>
      <w:proofErr w:type="spellEnd"/>
      <w:r>
        <w:t xml:space="preserve"> do cliente, a dignidade prevalece. A decisão é da signatária.</w:t>
      </w:r>
    </w:p>
    <w:p w:rsidR="00965CBC" w:rsidRDefault="0016700F">
      <w:pPr>
        <w:spacing w:before="260" w:after="120"/>
      </w:pPr>
      <w:r>
        <w:rPr>
          <w:b/>
          <w:bCs/>
          <w:color w:val="1F3864"/>
          <w:sz w:val="26"/>
          <w:szCs w:val="26"/>
        </w:rPr>
        <w:t>6. Conclusão (ratificada)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65CB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F2D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65CBC" w:rsidRDefault="0016700F">
            <w:pPr>
              <w:spacing w:after="40"/>
            </w:pPr>
            <w:r>
              <w:rPr>
                <w:b/>
                <w:bCs/>
                <w:color w:val="1F6B3B"/>
              </w:rPr>
              <w:t xml:space="preserve">Conclusão ratificada: </w:t>
            </w:r>
            <w:r>
              <w:rPr>
                <w:color w:val="1F6B3B"/>
              </w:rPr>
              <w:t>“RATIFICO A OPÇÃO A. Examinada a controvérsia sobre a aplicação do art. 49 do CDC a produto/serviço personalizado, à luz do CDC (</w:t>
            </w:r>
            <w:proofErr w:type="spellStart"/>
            <w:r>
              <w:rPr>
                <w:color w:val="1F6B3B"/>
              </w:rPr>
              <w:t>arts</w:t>
            </w:r>
            <w:proofErr w:type="spellEnd"/>
            <w:r>
              <w:rPr>
                <w:color w:val="1F6B3B"/>
              </w:rPr>
              <w:t>. 1º, 49, 51, I e IV), do Decreto 7.962/2013, do histórico legislativo (PLS</w:t>
            </w:r>
            <w:r>
              <w:rPr>
                <w:color w:val="1F6B3B"/>
              </w:rPr>
              <w:t xml:space="preserve"> 281/2012 não acolhido) e da </w:t>
            </w:r>
            <w:proofErr w:type="spellStart"/>
            <w:r>
              <w:rPr>
                <w:color w:val="1F6B3B"/>
              </w:rPr>
              <w:t>hipervulnerabilidade</w:t>
            </w:r>
            <w:proofErr w:type="spellEnd"/>
            <w:r>
              <w:rPr>
                <w:color w:val="1F6B3B"/>
              </w:rPr>
              <w:t xml:space="preserve"> do consumidor do MC, conclui-se que: (i) a restrição/afastamento do </w:t>
            </w:r>
            <w:r>
              <w:rPr>
                <w:color w:val="1F6B3B"/>
              </w:rPr>
              <w:lastRenderedPageBreak/>
              <w:t>direito de arrependimento por cláusula contratual é juridicamente ARGUÍVEL, porém NÃO SEGURA, sujeita a alto risco de nulidade (art. 51, I</w:t>
            </w:r>
            <w:r>
              <w:rPr>
                <w:color w:val="1F6B3B"/>
              </w:rPr>
              <w:t xml:space="preserve">), agravado pelo perfil </w:t>
            </w:r>
            <w:proofErr w:type="spellStart"/>
            <w:r>
              <w:rPr>
                <w:color w:val="1F6B3B"/>
              </w:rPr>
              <w:t>hipervulnerável</w:t>
            </w:r>
            <w:proofErr w:type="spellEnd"/>
            <w:r>
              <w:rPr>
                <w:color w:val="1F6B3B"/>
              </w:rPr>
              <w:t>; (</w:t>
            </w:r>
            <w:proofErr w:type="spellStart"/>
            <w:r>
              <w:rPr>
                <w:color w:val="1F6B3B"/>
              </w:rPr>
              <w:t>ii</w:t>
            </w:r>
            <w:proofErr w:type="spellEnd"/>
            <w:r>
              <w:rPr>
                <w:color w:val="1F6B3B"/>
              </w:rPr>
              <w:t xml:space="preserve">) sob a hierarquia Dignidade &gt; </w:t>
            </w:r>
            <w:proofErr w:type="spellStart"/>
            <w:r>
              <w:rPr>
                <w:color w:val="1F6B3B"/>
              </w:rPr>
              <w:t>Compliance</w:t>
            </w:r>
            <w:proofErr w:type="spellEnd"/>
            <w:r>
              <w:rPr>
                <w:color w:val="1F6B3B"/>
              </w:rPr>
              <w:t xml:space="preserve"> &gt; Viabilidade, o MC NÃO DEVE restringir o arrependimento, devendo mantê-lo integralmente (7 dias). Em consequência, determino: manter a Cláusula 8.1; refundar a Cláusula </w:t>
            </w:r>
            <w:r>
              <w:rPr>
                <w:color w:val="1F6B3B"/>
              </w:rPr>
              <w:t>8.2/nota N1 na decadência do prazo e no serviço efetivamente prestado (com devolução proporcional e informação prévia ostensiva, Decreto 7.962, art. 5º), sem cláusula de exclusão fundada em “personalizado”.”</w:t>
            </w:r>
          </w:p>
        </w:tc>
      </w:tr>
    </w:tbl>
    <w:p w:rsidR="00965CBC" w:rsidRDefault="0016700F">
      <w:pPr>
        <w:spacing w:before="260" w:after="120"/>
      </w:pPr>
      <w:r>
        <w:rPr>
          <w:b/>
          <w:bCs/>
          <w:color w:val="1F3864"/>
          <w:sz w:val="26"/>
          <w:szCs w:val="26"/>
        </w:rPr>
        <w:lastRenderedPageBreak/>
        <w:t>7. Fontes citadas (com selo)</w:t>
      </w:r>
    </w:p>
    <w:p w:rsidR="00965CBC" w:rsidRDefault="0016700F">
      <w:pPr>
        <w:spacing w:after="120" w:line="276" w:lineRule="auto"/>
        <w:jc w:val="both"/>
      </w:pPr>
      <w:r>
        <w:rPr>
          <w:sz w:val="19"/>
          <w:szCs w:val="19"/>
        </w:rPr>
        <w:t xml:space="preserve">CDC </w:t>
      </w:r>
      <w:proofErr w:type="spellStart"/>
      <w:r>
        <w:rPr>
          <w:sz w:val="19"/>
          <w:szCs w:val="19"/>
        </w:rPr>
        <w:t>arts</w:t>
      </w:r>
      <w:proofErr w:type="spellEnd"/>
      <w:r>
        <w:rPr>
          <w:sz w:val="19"/>
          <w:szCs w:val="19"/>
        </w:rPr>
        <w:t xml:space="preserve">. 1º, 18, 46, 47, 49 e § único, 51, I/IV/§1º — [VERIFICADO no Project]. Decreto 7.962/2013, art. 5º — [VERIFICADO no Project]. Código Civil </w:t>
      </w:r>
      <w:proofErr w:type="spellStart"/>
      <w:r>
        <w:rPr>
          <w:sz w:val="19"/>
          <w:szCs w:val="19"/>
        </w:rPr>
        <w:t>arts</w:t>
      </w:r>
      <w:proofErr w:type="spellEnd"/>
      <w:r>
        <w:rPr>
          <w:sz w:val="19"/>
          <w:szCs w:val="19"/>
        </w:rPr>
        <w:t xml:space="preserve">. 421, 422, 187, 884 — [VERIFICADO]. TJDFT Ac. 1.200.412; STJ </w:t>
      </w:r>
      <w:proofErr w:type="spellStart"/>
      <w:r>
        <w:rPr>
          <w:sz w:val="19"/>
          <w:szCs w:val="19"/>
        </w:rPr>
        <w:t>REsp</w:t>
      </w:r>
      <w:proofErr w:type="spellEnd"/>
      <w:r>
        <w:rPr>
          <w:sz w:val="19"/>
          <w:szCs w:val="19"/>
        </w:rPr>
        <w:t xml:space="preserve"> 1.340.604/RJ (frete, por transposição</w:t>
      </w:r>
      <w:r>
        <w:rPr>
          <w:sz w:val="19"/>
          <w:szCs w:val="19"/>
        </w:rPr>
        <w:t xml:space="preserve">); </w:t>
      </w:r>
      <w:proofErr w:type="spellStart"/>
      <w:r>
        <w:rPr>
          <w:sz w:val="19"/>
          <w:szCs w:val="19"/>
        </w:rPr>
        <w:t>REsp</w:t>
      </w:r>
      <w:proofErr w:type="spellEnd"/>
      <w:r>
        <w:rPr>
          <w:sz w:val="19"/>
          <w:szCs w:val="19"/>
        </w:rPr>
        <w:t xml:space="preserve"> 1.358.057/PR e 1.568.244/RJ (</w:t>
      </w:r>
      <w:proofErr w:type="spellStart"/>
      <w:r>
        <w:rPr>
          <w:sz w:val="19"/>
          <w:szCs w:val="19"/>
        </w:rPr>
        <w:t>hipervulnerável</w:t>
      </w:r>
      <w:proofErr w:type="spellEnd"/>
      <w:r>
        <w:rPr>
          <w:sz w:val="19"/>
          <w:szCs w:val="19"/>
        </w:rPr>
        <w:t xml:space="preserve">); PLS 281/2012 — todos [VIA-SNIPPET — conferir inteiro teor/tramitação antes de citar em peça]. Orientações </w:t>
      </w:r>
      <w:proofErr w:type="spellStart"/>
      <w:r>
        <w:rPr>
          <w:sz w:val="19"/>
          <w:szCs w:val="19"/>
        </w:rPr>
        <w:t>Procon-SC</w:t>
      </w:r>
      <w:proofErr w:type="spellEnd"/>
      <w:r>
        <w:rPr>
          <w:sz w:val="19"/>
          <w:szCs w:val="19"/>
        </w:rPr>
        <w:t xml:space="preserve">/RS e </w:t>
      </w:r>
      <w:proofErr w:type="spellStart"/>
      <w:r>
        <w:rPr>
          <w:sz w:val="19"/>
          <w:szCs w:val="19"/>
        </w:rPr>
        <w:t>Senacon</w:t>
      </w:r>
      <w:proofErr w:type="spellEnd"/>
      <w:r>
        <w:rPr>
          <w:sz w:val="19"/>
          <w:szCs w:val="19"/>
        </w:rPr>
        <w:t xml:space="preserve"> — [VIA-ÍNDICE]; Procon-SP/MG — [NÃO LOCALIZADA]. MPSP Caderno de Direito</w:t>
      </w:r>
      <w:r>
        <w:rPr>
          <w:sz w:val="19"/>
          <w:szCs w:val="19"/>
        </w:rPr>
        <w:t xml:space="preserve"> nº 32 (registra as duas correntes) — [VIA-SNIPPET]. Conceito de </w:t>
      </w:r>
      <w:proofErr w:type="spellStart"/>
      <w:r>
        <w:rPr>
          <w:sz w:val="19"/>
          <w:szCs w:val="19"/>
        </w:rPr>
        <w:t>hipervulnerável</w:t>
      </w:r>
      <w:proofErr w:type="spellEnd"/>
      <w:r>
        <w:rPr>
          <w:sz w:val="19"/>
          <w:szCs w:val="19"/>
        </w:rPr>
        <w:t xml:space="preserve"> (Min. Antônio Herman Benjamin) + Estatuto do Idoso (Lei 10.741/2003) — base doutrinária consolidada.</w:t>
      </w:r>
    </w:p>
    <w:p w:rsidR="00965CBC" w:rsidRDefault="0016700F">
      <w:pPr>
        <w:spacing w:before="260" w:after="120"/>
      </w:pPr>
      <w:r>
        <w:rPr>
          <w:b/>
          <w:bCs/>
          <w:color w:val="1F3864"/>
          <w:sz w:val="26"/>
          <w:szCs w:val="26"/>
        </w:rPr>
        <w:t>8. Veredito da signatária</w:t>
      </w:r>
    </w:p>
    <w:p w:rsidR="00965CBC" w:rsidRDefault="0016700F">
      <w:pPr>
        <w:spacing w:after="120" w:line="276" w:lineRule="auto"/>
        <w:jc w:val="both"/>
      </w:pPr>
      <w:r>
        <w:rPr>
          <w:b/>
          <w:bCs/>
        </w:rPr>
        <w:t>Respostas às perguntas objetivas, conforme a rat</w:t>
      </w:r>
      <w:r>
        <w:rPr>
          <w:b/>
          <w:bCs/>
        </w:rPr>
        <w:t>ificação da Opção 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965C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b/>
                <w:bCs/>
                <w:color w:val="FFFFFF"/>
                <w:sz w:val="18"/>
                <w:szCs w:val="18"/>
              </w:rPr>
              <w:t>Pergunta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b/>
                <w:bCs/>
                <w:color w:val="FFFFFF"/>
                <w:sz w:val="18"/>
                <w:szCs w:val="18"/>
              </w:rPr>
              <w:t>Decisão da signatária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1. A restrição do art. 49 para “personalizado” é lícita no caso MC? Sob que condições?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☑</w:t>
            </w:r>
            <w:r>
              <w:rPr>
                <w:sz w:val="18"/>
                <w:szCs w:val="18"/>
              </w:rPr>
              <w:t xml:space="preserve"> Ilícita/insegura — cláusula de exclusão tende à nulidade (art. 51, I)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 xml:space="preserve">2. Como pesar a âncora do lado A (TJDFT) e a transposição do </w:t>
            </w:r>
            <w:proofErr w:type="spellStart"/>
            <w:r>
              <w:rPr>
                <w:sz w:val="18"/>
                <w:szCs w:val="18"/>
              </w:rPr>
              <w:t>REsp</w:t>
            </w:r>
            <w:proofErr w:type="spellEnd"/>
            <w:r>
              <w:rPr>
                <w:sz w:val="18"/>
                <w:szCs w:val="18"/>
              </w:rPr>
              <w:t xml:space="preserve"> 1.340.604?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Ambas [VIA-SNIPPET], não conferidas no inteiro teor; não fundamentam a exclusão; matéria disputada (caso a caso).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 xml:space="preserve">3. Sob D &gt; C &gt; V e a </w:t>
            </w:r>
            <w:proofErr w:type="spellStart"/>
            <w:r>
              <w:rPr>
                <w:sz w:val="18"/>
                <w:szCs w:val="18"/>
              </w:rPr>
              <w:t>hipervulnerabilidade</w:t>
            </w:r>
            <w:proofErr w:type="spellEnd"/>
            <w:r>
              <w:rPr>
                <w:sz w:val="18"/>
                <w:szCs w:val="18"/>
              </w:rPr>
              <w:t>, o MC DEVE restringir ou manter os 7 dias?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☑</w:t>
            </w:r>
            <w:r>
              <w:rPr>
                <w:sz w:val="18"/>
                <w:szCs w:val="18"/>
              </w:rPr>
              <w:t xml:space="preserve"> Manter os 7 dias (D &gt; C &gt; V)</w:t>
            </w:r>
          </w:p>
        </w:tc>
      </w:tr>
      <w:tr w:rsidR="00965CBC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4. Se restringir: redação de cláusula + fluxo de informação prévia agravada (</w:t>
            </w:r>
            <w:proofErr w:type="spellStart"/>
            <w:r>
              <w:rPr>
                <w:sz w:val="18"/>
                <w:szCs w:val="18"/>
              </w:rPr>
              <w:t>anti-surpresa</w:t>
            </w:r>
            <w:proofErr w:type="spellEnd"/>
            <w:r>
              <w:rPr>
                <w:sz w:val="18"/>
                <w:szCs w:val="18"/>
              </w:rPr>
              <w:t>)?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65CBC" w:rsidRDefault="0016700F">
            <w:r>
              <w:rPr>
                <w:sz w:val="18"/>
                <w:szCs w:val="18"/>
              </w:rPr>
              <w:t>Prejudicada — não se restringe (Opção A).</w:t>
            </w:r>
          </w:p>
        </w:tc>
      </w:tr>
    </w:tbl>
    <w:p w:rsidR="00965CBC" w:rsidRDefault="0016700F">
      <w:pPr>
        <w:spacing w:before="160" w:after="120"/>
      </w:pPr>
      <w:r>
        <w:rPr>
          <w:b/>
          <w:bCs/>
        </w:rPr>
        <w:t xml:space="preserve">Veredito geral: </w:t>
      </w:r>
      <w:r>
        <w:rPr>
          <w:b/>
          <w:bCs/>
          <w:color w:val="1F6B3B"/>
        </w:rPr>
        <w:t>☑</w:t>
      </w:r>
      <w:r>
        <w:rPr>
          <w:b/>
          <w:bCs/>
          <w:color w:val="1F6B3B"/>
        </w:rPr>
        <w:t xml:space="preserve"> Ratifico a Opção A — não restringir o art. 49.</w:t>
      </w:r>
    </w:p>
    <w:p w:rsidR="00965CBC" w:rsidRDefault="0016700F">
      <w:pPr>
        <w:spacing w:before="160" w:after="120"/>
      </w:pPr>
      <w:r>
        <w:rPr>
          <w:b/>
          <w:bCs/>
        </w:rPr>
        <w:t xml:space="preserve">Observações da signatária: </w:t>
      </w:r>
      <w:r>
        <w:t>manter a Cláusula 8.1 (arrependimento de 7 dias) em Φ₀ e Φ₁; refundar a Cláusula 8.2 e a nota N1 na decadência após o 7º dia + serviço efetivamente prestado (devolu</w:t>
      </w:r>
      <w:r>
        <w:t>ção proporcional, CC art. 884) com informação prévia ostensiva (Decreto 7.962/2013, art. 5º), sem cláusula de exclusão por “personalizado”. Confirma e generaliza a correção já feita na Cláusula 8.2 do Φ₀ (Caso 2), estendendo-a ao Φ₁.</w:t>
      </w:r>
    </w:p>
    <w:p w:rsidR="00965CBC" w:rsidRDefault="0016700F">
      <w:pPr>
        <w:spacing w:before="80" w:after="160"/>
      </w:pPr>
      <w:r>
        <w:rPr>
          <w:b/>
          <w:bCs/>
        </w:rPr>
        <w:t xml:space="preserve">Data: </w:t>
      </w:r>
      <w:r>
        <w:t>06 de junho de 2</w:t>
      </w:r>
      <w:r>
        <w:t>026</w:t>
      </w:r>
    </w:p>
    <w:p w:rsidR="00965CBC" w:rsidRDefault="00965CBC">
      <w:pPr>
        <w:pBdr>
          <w:top w:val="single" w:sz="6" w:space="6" w:color="000000"/>
        </w:pBdr>
        <w:spacing w:before="360"/>
        <w:jc w:val="center"/>
      </w:pPr>
    </w:p>
    <w:p w:rsidR="00965CBC" w:rsidRDefault="0016700F">
      <w:pPr>
        <w:spacing w:before="80"/>
        <w:jc w:val="center"/>
      </w:pPr>
      <w:r>
        <w:rPr>
          <w:b/>
          <w:bCs/>
        </w:rPr>
        <w:t>Dra. Juliana Pereira de Melo</w:t>
      </w:r>
    </w:p>
    <w:p w:rsidR="00965CBC" w:rsidRDefault="0016700F">
      <w:pPr>
        <w:jc w:val="center"/>
      </w:pPr>
      <w:r>
        <w:t>OAB-GO 38.662</w:t>
      </w:r>
    </w:p>
    <w:p w:rsidR="00965CBC" w:rsidRDefault="0016700F">
      <w:pPr>
        <w:spacing w:after="120"/>
        <w:jc w:val="center"/>
      </w:pPr>
      <w:r>
        <w:rPr>
          <w:color w:val="666666"/>
          <w:sz w:val="20"/>
          <w:szCs w:val="20"/>
        </w:rPr>
        <w:t>Ratificado em 06/06/2026</w:t>
      </w:r>
    </w:p>
    <w:sectPr w:rsidR="00965CB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700F" w:rsidRDefault="0016700F">
      <w:r>
        <w:separator/>
      </w:r>
    </w:p>
  </w:endnote>
  <w:endnote w:type="continuationSeparator" w:id="0">
    <w:p w:rsidR="0016700F" w:rsidRDefault="00167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5CBC" w:rsidRDefault="0016700F">
    <w:pPr>
      <w:pBdr>
        <w:top w:val="single" w:sz="4" w:space="4" w:color="1F3864"/>
      </w:pBdr>
      <w:jc w:val="center"/>
    </w:pPr>
    <w:r>
      <w:rPr>
        <w:color w:val="666666"/>
        <w:sz w:val="14"/>
        <w:szCs w:val="14"/>
      </w:rPr>
      <w:t xml:space="preserve">Meu </w:t>
    </w:r>
    <w:proofErr w:type="spellStart"/>
    <w:r>
      <w:rPr>
        <w:color w:val="666666"/>
        <w:sz w:val="14"/>
        <w:szCs w:val="14"/>
      </w:rPr>
      <w:t>Cumpadre</w:t>
    </w:r>
    <w:proofErr w:type="spellEnd"/>
    <w:r>
      <w:rPr>
        <w:color w:val="666666"/>
        <w:sz w:val="14"/>
        <w:szCs w:val="14"/>
      </w:rPr>
      <w:t xml:space="preserve"> · Parecer Caso 7 (art. 49 CDC) v1.1 RATIFICADO · D &gt; C &gt; V · Provérbios 31:8 · Independência do parecerista preservada (Lei 8.906/94, art. 18) · Pág.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 w:rsidR="0022351D">
      <w:rPr>
        <w:color w:val="666666"/>
        <w:sz w:val="14"/>
        <w:szCs w:val="14"/>
      </w:rPr>
      <w:fldChar w:fldCharType="separate"/>
    </w:r>
    <w:r w:rsidR="0022351D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700F" w:rsidRDefault="0016700F">
      <w:r>
        <w:separator/>
      </w:r>
    </w:p>
  </w:footnote>
  <w:footnote w:type="continuationSeparator" w:id="0">
    <w:p w:rsidR="0016700F" w:rsidRDefault="001670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5CBC" w:rsidRDefault="0016700F">
    <w:pPr>
      <w:pBdr>
        <w:bottom w:val="single" w:sz="4" w:space="4" w:color="1F3864"/>
      </w:pBdr>
      <w:jc w:val="right"/>
    </w:pPr>
    <w:r>
      <w:rPr>
        <w:color w:val="666666"/>
        <w:sz w:val="15"/>
        <w:szCs w:val="15"/>
      </w:rPr>
      <w:t>PARECER — CASO 7 · ART. 49 CDC × PERSONALIZADO — v1.1 RATIFICADO ·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147F2"/>
    <w:multiLevelType w:val="hybridMultilevel"/>
    <w:tmpl w:val="A7D8B5E4"/>
    <w:lvl w:ilvl="0" w:tplc="A14EC70A">
      <w:start w:val="1"/>
      <w:numFmt w:val="bullet"/>
      <w:lvlText w:val="●"/>
      <w:lvlJc w:val="left"/>
      <w:pPr>
        <w:ind w:left="720" w:hanging="360"/>
      </w:pPr>
    </w:lvl>
    <w:lvl w:ilvl="1" w:tplc="56A09200">
      <w:start w:val="1"/>
      <w:numFmt w:val="bullet"/>
      <w:lvlText w:val="○"/>
      <w:lvlJc w:val="left"/>
      <w:pPr>
        <w:ind w:left="1440" w:hanging="360"/>
      </w:pPr>
    </w:lvl>
    <w:lvl w:ilvl="2" w:tplc="A6F0D8A4">
      <w:start w:val="1"/>
      <w:numFmt w:val="bullet"/>
      <w:lvlText w:val="■"/>
      <w:lvlJc w:val="left"/>
      <w:pPr>
        <w:ind w:left="2160" w:hanging="360"/>
      </w:pPr>
    </w:lvl>
    <w:lvl w:ilvl="3" w:tplc="96F2339A">
      <w:start w:val="1"/>
      <w:numFmt w:val="bullet"/>
      <w:lvlText w:val="●"/>
      <w:lvlJc w:val="left"/>
      <w:pPr>
        <w:ind w:left="2880" w:hanging="360"/>
      </w:pPr>
    </w:lvl>
    <w:lvl w:ilvl="4" w:tplc="EE9688F2">
      <w:start w:val="1"/>
      <w:numFmt w:val="bullet"/>
      <w:lvlText w:val="○"/>
      <w:lvlJc w:val="left"/>
      <w:pPr>
        <w:ind w:left="3600" w:hanging="360"/>
      </w:pPr>
    </w:lvl>
    <w:lvl w:ilvl="5" w:tplc="0B38B6B0">
      <w:start w:val="1"/>
      <w:numFmt w:val="bullet"/>
      <w:lvlText w:val="■"/>
      <w:lvlJc w:val="left"/>
      <w:pPr>
        <w:ind w:left="4320" w:hanging="360"/>
      </w:pPr>
    </w:lvl>
    <w:lvl w:ilvl="6" w:tplc="F1D87D66">
      <w:start w:val="1"/>
      <w:numFmt w:val="bullet"/>
      <w:lvlText w:val="●"/>
      <w:lvlJc w:val="left"/>
      <w:pPr>
        <w:ind w:left="5040" w:hanging="360"/>
      </w:pPr>
    </w:lvl>
    <w:lvl w:ilvl="7" w:tplc="1DB8601A">
      <w:start w:val="1"/>
      <w:numFmt w:val="bullet"/>
      <w:lvlText w:val="●"/>
      <w:lvlJc w:val="left"/>
      <w:pPr>
        <w:ind w:left="5760" w:hanging="360"/>
      </w:pPr>
    </w:lvl>
    <w:lvl w:ilvl="8" w:tplc="3E5264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CBC"/>
    <w:rsid w:val="0016700F"/>
    <w:rsid w:val="0022351D"/>
    <w:rsid w:val="0096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AC006B-4765-427A-A91F-9047D4C0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1830</Words>
  <Characters>9886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Beto</cp:lastModifiedBy>
  <cp:revision>2</cp:revision>
  <dcterms:created xsi:type="dcterms:W3CDTF">2026-06-07T04:03:00Z</dcterms:created>
  <dcterms:modified xsi:type="dcterms:W3CDTF">2026-06-07T04:03:00Z</dcterms:modified>
</cp:coreProperties>
</file>