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sz w:val="18"/>
                <w:szCs w:val="18"/>
              </w:rPr>
              <w:t xml:space="preserve">PARECER JURÍDICO RATIFICADO v1.2 — SELADO PELA SIGNATÁRIA. </w:t>
            </w:r>
            <w:r>
              <w:rPr>
                <w:sz w:val="18"/>
                <w:szCs w:val="18"/>
              </w:rPr>
              <w:t xml:space="preserve">A signatária RATIFICOU a Opção A em 07/06/2026 (condicionante de fonte satisfeita — Ementa verificada no DEOAB de 04/06/2024). Sela-se o Estudo Epicentro v2.0 como doutrina defensiva: PROVISIONAL → ATIVO, condicionado à execução dos encargos 2-4 (reescrita do §7; blindagem de léxico/firewall; CADE como decisão do Founder).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4"/>
          <w:szCs w:val="34"/>
        </w:rPr>
        <w:t xml:space="preserve">PARECER JURÍDICO RATIFICADO — v1.2</w:t>
      </w:r>
    </w:p>
    <w:p>
      <w:pPr>
        <w:spacing w:after="150"/>
        <w:jc w:val="center"/>
      </w:pPr>
      <w:r>
        <w:rPr>
          <w:i/>
          <w:iCs/>
          <w:color w:val="1F3864"/>
          <w:sz w:val="22"/>
          <w:szCs w:val="22"/>
        </w:rPr>
        <w:t xml:space="preserve">Ementa 069/2024/OEP (CFOAB) — firewall ato-meio × ato privativo da advocacia · selagem do Estudo Epicentro v2.0</w:t>
      </w:r>
    </w:p>
    <w:p>
      <w:pPr>
        <w:spacing w:after="40" w:before="40"/>
        <w:jc w:val="center"/>
      </w:pPr>
      <w:r>
        <w:rPr>
          <w:b/>
          <w:bCs/>
          <w:color w:val="1F3864"/>
          <w:sz w:val="22"/>
          <w:szCs w:val="22"/>
        </w:rPr>
        <w:t xml:space="preserve">RATIFICADO PELA SIGNATÁRIA — VERSÃO SELADA v1.2</w:t>
      </w:r>
    </w:p>
    <w:p>
      <w:pPr>
        <w:spacing w:after="150"/>
        <w:jc w:val="both"/>
      </w:pPr>
      <w:r>
        <w:rPr>
          <w:sz w:val="18"/>
          <w:szCs w:val="18"/>
        </w:rPr>
        <w:t xml:space="preserve">Este parecer produz efeitos a partir da data da ratificação abaixo. A selagem ATIVA do Estudo Epicentro fica condicionada à execução dos encargos 2-4. Qualquer reprodução ou uso deve preservar a autoria exclusiva da signatária e o contexto do Firewall de atividade-meio.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Consulente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Meu Cumpadre — Orquestração Documental e Tecnologia Ltda. (CNAE 6201-5/01)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Juliana Pereira de Melo — OAB-GO 38.662 (atividade-fim · titular do ato privativo na arquitetura MC)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Artefato em revisão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Estudo Epicentro v2.0 (selagem pendente: parecer da Dra.) — doutrina da separação ato-material × ato-privativo; respostas institucionais §7.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e 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Goiânia-GO, 7 de junho de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Hierarquia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&gt; Compliance &gt; Viabilidade (D &gt; C &gt; V)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10" w:line="276" w:lineRule="auto"/>
        <w:jc w:val="both"/>
      </w:pPr>
      <w:r>
        <w:t xml:space="preserve">Matéria: reserva de atividade privativa da advocacia (Lei 8.906/94, art. 1º, II) diante da Ementa 069/2024/OEP do CFOAB, cuja frase-epicentro afirma que “todos os pedidos administrativos de solicitação de benefício previdenciário são privativos da advocacia”. Pergunta: (i) é defensável o posicionamento do MC de que opera no ato material do cidadão (atividade-meio), fora do alcance privativo do art. 1º, II, lido conforme à Constituição? (ii) o Estudo Epicentro v2.0 está apto a fundamentar a defesa e a ser selado?</w:t>
      </w:r>
    </w:p>
    <w:p>
      <w:pPr>
        <w:spacing w:after="110" w:line="276" w:lineRule="auto"/>
        <w:jc w:val="both"/>
      </w:pPr>
      <w:r>
        <w:t xml:space="preserve">Firewall: este eixo é o núcleo do firewall — onde a atividade-meio do MC encontra o ato privativo. A signatária figura como </w:t>
      </w:r>
      <w:r>
        <w:rPr>
          <w:b/>
          <w:bCs/>
        </w:rPr>
        <w:t xml:space="preserve">titular do ato privativo</w:t>
      </w:r>
      <w:r>
        <w:t xml:space="preserve"> na arquitetura; o parecer é dela.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1F6B3B"/>
              </w:rPr>
              <w:t xml:space="preserve">Atualização de fonte (v1.1). </w:t>
            </w:r>
            <w:r>
              <w:t xml:space="preserve">A Ementa 069/2024/OEP foi LOCALIZADA E VERIFICADA em fonte oficial primária: Diário Eletrônico da OAB (DEOAB), Ano VI, n.º 1366, de 04/06/2024, p. 1-2 — Consulta n. 49.0000.2024.003516-2/OEP (consulente: OAB/Goiás), relatora Cons. Federal Daniela Campos Liborio (SP), Órgão Especial do Conselho Pleno, decisão unânime de 28/05/2024. A frase-epicentro é autêntica e literal; a redação oficial NÃO tem vírgula após “extrajudicial”. Natureza: resposta a consulta em tese — orienta o Sistema OAB, NÃO é precedente judicial vinculante para o Judiciário ou para o INSS.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26"/>
        <w:gridCol w:w="120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EOA (Lei 8.906/94) art. 1º, II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Privativas são “as atividades de consultoria, assessoria e direção jurídicas” (e a postulação judicial, I). Não inclui o ato material de requerer.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Ementa 069/2024/OEP (CFOAB) — DEOAB 04/06/2024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Frase-epicentro: “Na esfera extrajudicial todos os pedidos administrativos de solicitação de benefício previdenciário são privativos da advocacia.” Fundamento: art. 1º, II, EOA. Resposta a consulta da OAB/GO.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CF art. 5º, XIII e XXXIV “a”; 194, I; 1º, III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Reserva legal qualificada (só lei amplia privativa); direito de petição independe de intermediação/taxa; universalidade e dignidade.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OAB-SP, Parecer E-5.142/2018 (e E-5.056/2018, reconhecido pelo TJSP)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DIVERGÊNCIA INTERNA DA OAB: “a postulação perante a Administração Pública não se encontra entre as atividades privativas de advogado, salvo quando a lei expressamente o apontar”; requerer benefício no INSS não exige advogado. Consultoria previdenciária administrativa não é privativa.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via web]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STJ / TRF1 / TRF3 (representação administrativa no INSS)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Linha jurisprudencial: representação administrativa perante o INSS não é assessoria jurídica privativa. (REsp específico citado em debate da OAB-PR não confirmado — conferir antes de citar.)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E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[VIA-WEB]/[A CONFERIR]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LBI (Lei 13.146/2015) · Prov. CFOAB 205/2021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Acessibilidade (apoio instrumental); indicação/marketplace sem comissão e sem direcionamento.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 INSS 128/2022 (procurador não advogado); LC 11/71; Lei 8.742/93; Lei 9.784/99; Lei 13.460/2017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Sustentam que o ato material/representação é exercido por não-advogados. Corroboradas, no plano administrativo, pelo Parecer OAB-SP E-5.142/2018. Artigos não conferidos um a um nesta sessão.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E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[VIA-ESTUDO]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3. Análise — (i) o posicionamento é defensável?</w:t>
      </w:r>
    </w:p>
    <w:p>
      <w:pPr>
        <w:spacing w:after="110" w:line="276" w:lineRule="auto"/>
        <w:jc w:val="both"/>
      </w:pPr>
      <w:r>
        <w:t xml:space="preserve">Sim, e a verificação da fonte REFORÇOU a defesa. A tese encontra apoio direto no art. 1º, II, do EOA: privativas são consultoria, assessoria e direção jurídicas — atos intelectuais —, não o ato material de requerer. A leitura literal da frase-epicentro (tornar privativo “todo” pedido) é insustentável: implicaria ilegalidade no requerimento do próprio segurado pelo Meu INSS, no balcão do INSS, no sindicato rural, no CRAS e no procurador não advogado admitido pela IN 128/2022. Impõe-se a interpretação conforme: privativa é a juridicização do pedido, não o ato material.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1F6B3B"/>
              </w:rPr>
              <w:t xml:space="preserve">Achado central da pesquisa (reforça a Opção A): </w:t>
            </w:r>
            <w:r>
              <w:t xml:space="preserve">a própria OAB não é unânime. O Parecer E-5.142/2018 da OAB-SP afirma que a postulação administrativa — inclusive o requerimento de benefício no INSS — NÃO é privativa de advogado, salvo quando a lei expressamente o disser; e o E-5.056/2018 (reconhecido pelo TJSP) diz o mesmo da consultoria previdenciária administrativa. STJ e TRFs seguem nessa linha. Ou seja: a interpretação conforme defendida pelo MC encontra respaldo em parecer da própria OAB e na jurisprudência federal — a Ementa 069 é entendimento administrativo do CFOAB, não consenso jurídico.</w:t>
            </w:r>
          </w:p>
        </w:tc>
      </w:tr>
    </w:tbl>
    <w:p>
      <w:pPr>
        <w:spacing w:after="110" w:line="276" w:lineRule="auto"/>
        <w:jc w:val="both"/>
      </w:pPr>
      <w:r>
        <w:t xml:space="preserve">Reforço por três flancos: (a) reserva legal — ato privativo só por lei federal, não por ementa de órgão de classe, que vincula inscritos e não terceiros (CF 5º, XIII); (b) direito de petição — exigir advogado para o pedido equivaleria a taxa, vedado (CF 5º, XXXIV, “a”); (c) universalidade e dignidade (CF 194, I; 1º, III). A natureza da Ementa (resposta a consulta em tese) confirma que ela orienta o Sistema OAB, sem vincular o Judiciário ou o INSS.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9DD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9C2A2A"/>
              </w:rPr>
              <w:t xml:space="preserve">Contrapeso sóbrio — o risco é real e está ATIVO. </w:t>
            </w:r>
            <w:r>
              <w:t xml:space="preserve">A Ementa integra uma ofensiva institucional em curso: a OAB-SP move dezenas de ações civis públicas (noticiadas 35 a 56 ACPs, com mais de 20 liminares) contra empresas/plataformas de “consultoria previdenciária” sem advogados; a OAB-RJ obteve liminar para que plataforma se abstenha de intermediar serviços jurídicos; OAB-CE e OAB-BA oficiaram Juntas Comerciais. A tese do MC é sólida, mas a eficácia prática depende de o MC NÃO ofertar consultoria/assessoria jurídica — nem na comunicação, nem em feature. O alvo dessas ações é exatamente quem promete “consultoria/aposentadoria” ao cidadão.</w:t>
            </w:r>
          </w:p>
        </w:tc>
      </w:tr>
    </w:tbl>
    <w:p>
      <w:pPr>
        <w:spacing w:after="70" w:before="170"/>
      </w:pPr>
      <w:r>
        <w:rPr>
          <w:b/>
          <w:bCs/>
          <w:color w:val="1F3864"/>
          <w:sz w:val="21"/>
          <w:szCs w:val="21"/>
        </w:rPr>
        <w:t xml:space="preserve">Pontos de registro (ii — aptidão para selagem)</w:t>
      </w:r>
    </w:p>
    <w:p>
      <w:pPr>
        <w:spacing w:after="110" w:line="276" w:lineRule="auto"/>
        <w:jc w:val="both"/>
      </w:pPr>
      <w:r>
        <w:rPr>
          <w:b/>
          <w:bCs/>
          <w:color w:val="1F6B3B"/>
        </w:rPr>
        <w:t xml:space="preserve">1) Fonte da Ementa — RESOLVIDA. </w:t>
      </w:r>
      <w:r>
        <w:t xml:space="preserve">Texto oficial verificado (DEOAB 04/06/2024). A condicionante nº 1 do parecer v1.0 está satisfeita. Citar sempre o número da consulta e a fonte primária, e a redação oficial (sem vírgula após “extrajudicial”).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2) Drift com a Opção C (Caso 3) — permanece. </w:t>
      </w:r>
      <w:r>
        <w:t xml:space="preserve">As respostas do §7 do Estudo ainda falam em “três advogadas no marketplace”, em conflito com a exclusividade ratificada (até dez/2026; reabertura jan/2027). Reescrever conforme o ADR-009b saneado (v1.3).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3) Disciplina operacional — condição de eficácia. </w:t>
      </w:r>
      <w:r>
        <w:t xml:space="preserve">Dado o cenário de ACPs, a comunicação do MC não pode usar “consultoria/assessoria previdenciária”; o termo seguro é “orquestração documental”. A tese só protege o que de fato é ato-meio (firewall Hornes / gates da Pedra-Fecho).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4) Frente IV (CADE) — decisão estratégica. </w:t>
      </w:r>
      <w:r>
        <w:t xml:space="preserve">Movimento de negócio do Founder; o parecer registra a plausibilidade antitruste, sem recomendar acionamento; precedentes a conferir.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4. Matriz de risco (atualizada)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2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OAB / fiscalização ATIVA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ACP por exercício ilegal / oferta de consultoria sem advogado (ofensiva OAB-SP/RJ em curso)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Nunca ofertar “consultoria/assessoria”; firewall material; Dra. como titular do ato privativo; CNAE; ADRs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Proof-First (fonte)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Defesa sobre frase não conferida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Resolvida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Ementa verificada no DEOAB (04/06/2024)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Consistência interna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§7 em drift com a Opção C (“três advogadas”)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Reescrever §7 conforme ADR-009b v1.3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Operacional (firewall)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Feature/comunicação que resvale para consultoria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Disciplina Hornes (gates); léxico “orquestração documental”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Estratégico (CADE)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Acionamento ofensivo prematuro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Decisão do Founder; parecer não recomenda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5. Opções e recomendação técnica</w:t>
      </w:r>
    </w:p>
    <w:p>
      <w:pPr>
        <w:spacing w:after="110" w:line="276" w:lineRule="auto"/>
        <w:jc w:val="both"/>
      </w:pPr>
      <w:r>
        <w:rPr>
          <w:i/>
          <w:iCs/>
          <w:sz w:val="18"/>
          <w:szCs w:val="18"/>
        </w:rPr>
        <w:t xml:space="preserve">As opções são para a deliberação da signatária; não constituem decisão.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A — selar com condicionantes (RECOMENDADA, agora mais madura). </w:t>
      </w:r>
      <w:r>
        <w:t xml:space="preserve">Com a fonte verificada, a condicionante nº 1 cai. Ratificar o Estudo Epicentro como doutrina defensiva, condicionando a selagem ATIVA a: (2) reescrever o §7 conforme a Opção C; (3) blindar o léxico e a disciplina operacional (sem “consultoria/assessoria”; firewall Hornes); (4) tratar a Frente IV (CADE) como decisão do Founder. Incorporar à defesa o Parecer OAB-SP E-5.142/2018 e a linha STJ/TRF como reforço da interpretação conforme.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B — selar como está. </w:t>
      </w:r>
      <w:r>
        <w:t xml:space="preserve">NÃO RECOMENDADA: mantém o §7 em drift e ignora o cenário de fiscalização ativa.</w:t>
      </w:r>
    </w:p>
    <w:p>
      <w:pPr>
        <w:spacing w:after="110" w:line="276" w:lineRule="auto"/>
        <w:jc w:val="both"/>
      </w:pPr>
      <w:r>
        <w:rPr>
          <w:b/>
          <w:bCs/>
        </w:rPr>
        <w:t xml:space="preserve">Opção C — não selar; aguardar a reescrita do §7 e a blindagem do léxico antes de qualquer uso externo. </w:t>
      </w:r>
      <w:r>
        <w:t xml:space="preserve">Mais conservadora; adia a doutrina formalizada.</w:t>
      </w:r>
    </w:p>
    <w:p>
      <w:pPr>
        <w:spacing w:after="110" w:line="276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A fonte está verificada, a tese é defensável e agora amparada por parecer da própria OAB-SP e pela jurisprudência federal; as condicionantes restantes são de coerência e de disciplina operacional. A decisão é da signatária.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6.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5"/>
              <w:left w:type="dxa" w:w="135"/>
              <w:bottom w:type="dxa" w:w="95"/>
              <w:right w:type="dxa" w:w="135"/>
            </w:tcMar>
          </w:tcPr>
          <w:p>
            <w:pPr>
              <w:spacing w:after="35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Verificado o texto oficial da Ementa 069/2024/OEP (DEOAB, 04/06/2024 — Consulta 49.0000.2024.003516-2/OEP) e examinada à luz do art. 1º, II, do EOA e da Constituição, e concluo que: (i) o posicionamento do Meu Cumpadre — operar no ato material do cidadão (atividade-meio), reservando à advocacia a consultoria, a assessoria e a peça jurídica — é juridicamente DEFENSÁVEL, e tal defesa é reforçada pela natureza meramente orientadora da Ementa, pelo Parecer OAB-SP E-5.142/2018 e pela jurisprudência do STJ/TRFs, que afastam a privatividade do ato material/administrativo; (ii) o Estudo Epicentro v2.0 é apto a fundamentar a defesa e pode ser SELADO sob as condicionantes: reescrita do §7 conforme a exclusividade vigente (ADR-009b saneado); blindagem do léxico e da disciplina operacional (vedado ofertar “consultoria/assessoria previdenciária”), diante da fiscalização ativa da OAB; e tratamento da frente concorrencial como decisão estratégica do Founder. A eficácia da tese depende de o Meu Cumpadre permanecer, de fato e na comunicação, na atividade-meio.”</w:t>
            </w:r>
          </w:p>
        </w:tc>
      </w:tr>
    </w:tbl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7. Fontes citadas (com selo)</w:t>
      </w:r>
    </w:p>
    <w:p>
      <w:pPr>
        <w:spacing w:after="110" w:line="276" w:lineRule="auto"/>
        <w:jc w:val="both"/>
      </w:pPr>
      <w:r>
        <w:rPr>
          <w:sz w:val="19"/>
          <w:szCs w:val="19"/>
        </w:rPr>
        <w:t xml:space="preserve">Ementa 069/2024/OEP — DEOAB, Ano VI n.º 1366, 04/06/2024, p. 1-2; Consulta 49.0000.2024.003516-2/OEP; rel. Daniela Campos Liborio; Órgão Especial; unânime 28/05/2024 — [VERIFICADO via web]. EOA (Lei 8.906/94) art. 1º, I e II — [VERIFICADO no Project]. CF arts. 5º XIII/XXXIV “a”; 194 I; 1º III — [VERIFICADO]. OAB-SP Parecer E-5.142/2018 e E-5.056/2018 (postulação/consultoria administrativa não privativa) — [VERIFICADO via web]. STJ/TRF1/TRF3 (representação administrativa no INSS não privativa) — [VIA-WEB]; REsp específico citado em debate OAB-PR — [A CONFERIR]. LBI (Lei 13.146/2015), Prov. CFOAB 205/2021 — [VERIFICADO no Project]. IN INSS 128/2022, LC 11/71, Lei 8.742/93, Lei 9.784/99, Lei 13.460/2017 — [VIA-ESTUDO — conferir]. Contexto de fiscalização: ACPs OAB-SP (35–56, +20 liminares), OAB-RJ (proc. 5076094-26.2023.4.02.5101), OAB-CE (proc. 04048/2024), OAB-BA — [VERIFICADO via web]. REsp 2.079.440/RO (advocacia predatória; CFOAB recorreu ao STF) — [VERIFICADO].</w:t>
      </w:r>
    </w:p>
    <w:p>
      <w:pPr>
        <w:spacing w:after="110" w:before="250"/>
      </w:pPr>
      <w:r>
        <w:rPr>
          <w:b/>
          <w:bCs/>
          <w:color w:val="1F3864"/>
          <w:sz w:val="25"/>
          <w:szCs w:val="25"/>
        </w:rPr>
        <w:t xml:space="preserve">8. Veredito da signatária</w:t>
      </w:r>
    </w:p>
    <w:p>
      <w:pPr>
        <w:spacing w:after="110" w:before="60"/>
      </w:pPr>
      <w:r>
        <w:rPr>
          <w:b/>
          <w:bCs/>
          <w:color w:val="1F6B3B"/>
          <w:sz w:val="24"/>
          <w:szCs w:val="24"/>
        </w:rPr>
        <w:t xml:space="preserve">☑ RATIFICO A OPÇÃO A</w:t>
      </w:r>
      <w:r>
        <w:t xml:space="preserve"> — selar com os encargos 2-4 (condicionante 1 já satisfeita).</w:t>
      </w:r>
    </w:p>
    <w:p>
      <w:pPr>
        <w:spacing w:after="120"/>
      </w:pPr>
      <w:r>
        <w:rPr>
          <w:b/>
          <w:bCs/>
        </w:rPr>
        <w:t xml:space="preserve">Selagem do Estudo Epicentro v2.0: </w:t>
      </w:r>
      <w:r>
        <w:rPr>
          <w:b/>
          <w:bCs/>
          <w:color w:val="1F6B3B"/>
        </w:rPr>
        <w:t xml:space="preserve">☑ PROVISIONAL → ATIVO, condicionado à execução dos encargos 2-4.</w:t>
      </w:r>
    </w:p>
    <w:p>
      <w:pPr>
        <w:spacing w:after="120" w:before="60"/>
      </w:pPr>
      <w:r>
        <w:rPr>
          <w:b/>
          <w:bCs/>
        </w:rPr>
        <w:t xml:space="preserve">Observações da signatária: </w:t>
      </w:r>
      <w:r>
        <w:t xml:space="preserve">a fonte da Ementa está verificada (DEOAB 04/06/2024). A eficácia ativa depende de: (2) reescrever o §7 do Estudo conforme a exclusividade vigente (ADR-009b saneado v1.3); (3) blindar o léxico institucional — vedado ofertar “consultoria/assessoria previdenciária”; usar “orquestração documental” — e a disciplina operacional (firewall Hornes), diante da fiscalização ativa da OAB; (4) tratar a frente concorrencial (CADE) como decisão estratégica do Founder. Incorporar à defesa o Parecer OAB-SP E-5.142/2018 e a linha STJ/TRF.</w:t>
      </w:r>
    </w:p>
    <w:p>
      <w:pPr>
        <w:pBdr>
          <w:top w:val="single" w:color="000000" w:sz="6" w:space="6"/>
        </w:pBdr>
        <w:spacing w:before="34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em 07/06/2026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emissão do parecer como ato concluído, sua ratificação, retificação ou 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3"/>
        <w:szCs w:val="13"/>
      </w:rPr>
      <w:t xml:space="preserve">Meu Cumpadre · Parecer Ementa 069 / Epicentro v1.2 RATIFICADO · D &gt; C &gt; V · Provérbios 31:8 · Independência do parecerista preservada (Lei 8.906/94, art. 18) · Pág.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4"/>
        <w:szCs w:val="14"/>
      </w:rPr>
      <w:t xml:space="preserve">PARECER — EMENTA 069/2024/OEP · FIREWALL ATO-MEIO × ATO PRIVATIVO — v1.2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2026-06-07T18:50:39.042Z</dcterms:created>
  <dcterms:modified xsi:type="dcterms:W3CDTF">2026-06-07T18:50:39.043Z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