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9F2DC" w:color="auto" w:val="clear"/>
            <w:tcMar>
              <w:top w:type="dxa" w:w="92"/>
              <w:left w:type="dxa" w:w="132"/>
              <w:bottom w:type="dxa" w:w="92"/>
              <w:right w:type="dxa" w:w="132"/>
            </w:tcMar>
          </w:tcPr>
          <w:p>
            <w:pPr>
              <w:spacing w:after="32"/>
            </w:pPr>
            <w:r>
              <w:rPr>
                <w:b/>
                <w:bCs/>
                <w:sz w:val="18"/>
                <w:szCs w:val="18"/>
              </w:rPr>
              <w:t xml:space="preserve">PARECER R3 RATIFICADO v1.1 — SELADO PELA SIGNATÁRIA. </w:t>
            </w:r>
            <w:r>
              <w:rPr>
                <w:sz w:val="18"/>
                <w:szCs w:val="18"/>
              </w:rPr>
              <w:t xml:space="preserve">A signatária ADMITIU COM CONDICIONANTES (Opção A) em 08/06/2026: dois RIPDs (telemetria; export) e Encarregado nomeado por ato formal antes de qualquer dado real (saneamento em paralelo). O piloto em fixture sintético segue livre. A responsabilidade técnica e a assinatura são exclusivas da advogada signatária.</w:t>
            </w:r>
          </w:p>
        </w:tc>
      </w:tr>
    </w:tbl>
    <w:p>
      <w:pPr>
        <w:spacing w:after="40" w:before="160"/>
        <w:jc w:val="center"/>
      </w:pPr>
      <w:r>
        <w:rPr>
          <w:b/>
          <w:bCs/>
          <w:sz w:val="32"/>
          <w:szCs w:val="32"/>
        </w:rPr>
        <w:t xml:space="preserve">PARECER R3 RATIFICADO — GATE R3</w:t>
      </w:r>
    </w:p>
    <w:p>
      <w:pPr>
        <w:spacing w:after="150"/>
        <w:jc w:val="center"/>
      </w:pPr>
      <w:r>
        <w:rPr>
          <w:i/>
          <w:iCs/>
          <w:color w:val="1F3864"/>
          <w:sz w:val="21"/>
          <w:szCs w:val="21"/>
        </w:rPr>
        <w:t xml:space="preserve">Bancada de Governança — Rec #1 (telemetria sobre jornada real) e Rec #3 (export de dossiê para ANPD/B2B) · LGPD/ANPD</w:t>
      </w:r>
    </w:p>
    <w:p>
      <w:pPr>
        <w:spacing w:after="40" w:before="40"/>
        <w:jc w:val="center"/>
      </w:pPr>
      <w:r>
        <w:rPr>
          <w:b/>
          <w:bCs/>
          <w:color w:val="1F3864"/>
          <w:sz w:val="22"/>
          <w:szCs w:val="22"/>
        </w:rPr>
        <w:t xml:space="preserve">RATIFICADO PELA SIGNATÁRIA — VERSÃO SELADA v1.1</w:t>
      </w:r>
    </w:p>
    <w:p>
      <w:pPr>
        <w:spacing w:after="150"/>
        <w:jc w:val="both"/>
      </w:pPr>
      <w:r>
        <w:rPr>
          <w:sz w:val="18"/>
          <w:szCs w:val="18"/>
        </w:rPr>
        <w:t xml:space="preserve">Este parecer produz efeitos a partir da data da ratificação abaixo. As condicionantes (DPO + dois RIPDs) são pré-requisitos de qualquer captura/export sobre dado real. Qualquer reprodução deve preservar a autoria exclusiva da signatária e o contexto da atividade-meio.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Conteúdo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9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Consulente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Meu Cumpadre — Orquestração Documental e Tecnologia Ltda. (autorregulação: o MC é o próprio cliente)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9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Signatária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Dra. Juliana Pereira de Melo — OAB-GO 38.662 (parecerista externa independente · atividade-fim)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9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Artefato em revisão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Proposta Bancada de Governança v0.7 — Rec #1 e Rec #3 (escalada_R3=TRUE). Lastro: RIPD Custódia v0.1, RIPD Fase 1 v0.2, código mc-audit.py / ler-audit.py.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9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Local e data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Goiânia-GO, 8 de junho de 2026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9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Hierarquia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Dignidade &gt; Compliance &gt; Viabilidade (D &gt; C &gt; V)</w:t>
            </w:r>
          </w:p>
        </w:tc>
      </w:tr>
    </w:tbl>
    <w:p>
      <w:pPr>
        <w:spacing w:after="100" w:before="240"/>
      </w:pPr>
      <w:r>
        <w:rPr>
          <w:b/>
          <w:bCs/>
          <w:color w:val="1F3864"/>
          <w:sz w:val="25"/>
          <w:szCs w:val="25"/>
        </w:rPr>
        <w:t xml:space="preserve">1. Matéria e pergunta jurídica</w:t>
      </w:r>
    </w:p>
    <w:p>
      <w:pPr>
        <w:spacing w:after="108" w:line="274" w:lineRule="auto"/>
        <w:jc w:val="both"/>
      </w:pPr>
      <w:r>
        <w:t xml:space="preserve">Matéria: proteção de dados (LGPD/ANPD) em autorregulação. Duas recomendações da proposta de governança escalam para R3 porque tocam dado pessoal real, inclusive sensível (art. 5º, II — CID/laudos) de titulares hipervulneráveis: </w:t>
      </w:r>
      <w:r>
        <w:rPr>
          <w:b/>
          <w:bCs/>
        </w:rPr>
        <w:t xml:space="preserve">Rec #1</w:t>
      </w:r>
      <w:r>
        <w:t xml:space="preserve"> — ligar a telemetria de auditoria (RUA L5) sobre a jornada real; </w:t>
      </w:r>
      <w:r>
        <w:rPr>
          <w:b/>
          <w:bCs/>
        </w:rPr>
        <w:t xml:space="preserve">Rec #3</w:t>
      </w:r>
      <w:r>
        <w:t xml:space="preserve"> — criar export automatizado de dossiê (JSONL + SHA-256) para ANPD/B2B. Pergunta: sob que condições LGPD/ANPD as Rec #1 e #3 são admissíveis para execução sobre dado real? (6 perguntas de selagem no §6.)</w:t>
      </w:r>
    </w:p>
    <w:p>
      <w:pPr>
        <w:spacing w:after="108" w:line="274" w:lineRule="auto"/>
        <w:jc w:val="both"/>
      </w:pPr>
      <w:r>
        <w:rPr>
          <w:i/>
          <w:iCs/>
          <w:sz w:val="19"/>
          <w:szCs w:val="19"/>
        </w:rPr>
        <w:t xml:space="preserve">Firewall: autorregulação não é caso de cidadão. O MC é o próprio agente de tratamento; a análise e a admissibilidade são da signatária. A telemetria e o export são atividade-meio; nada aqui pratica advocacia.</w:t>
      </w:r>
    </w:p>
    <w:p>
      <w:pPr>
        <w:spacing w:after="100" w:before="240"/>
      </w:pPr>
      <w:r>
        <w:rPr>
          <w:b/>
          <w:bCs/>
          <w:color w:val="1F3864"/>
          <w:sz w:val="25"/>
          <w:szCs w:val="25"/>
        </w:rPr>
        <w:t xml:space="preserve">2. Base normativa (com selo Proof-First)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826"/>
        <w:gridCol w:w="120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Norma / fonte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Conteúdo pertinente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Selo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LGPD art. 5º, I e II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Dado pessoal × dado sensível (saúde — CID/laudos). O dossiê toca ambos.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[VERIFICADO]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LGPD art. 6º (esp. I finalidade, III necessidade/minimização, X responsabilização)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Finalidade específica; coleta ao mínimo necessário; prestação de contas (accountability).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[VERIFICADO]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LGPD art. 7º (II obrigação legal; V/VI; IX legítimo interesse)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Bases para dado pessoal comum (telemetria/operacional; trilha p/ ANPD).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[VERIFICADO]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LGPD art. 11, II, “d” e “f”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Sensível sem consentimento: “d” exercício regular de direitos (processo administrativo) — melhor enquadramento do dossiê; “f” tutela da saúde só por profissionais de saúde.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[VERIFICADO]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LGPD art. 12 (anonimização)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Dado anonimizado deixa de ser dado pessoal (salvo reversível) — chave para o B2B da Rec #3.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[VERIFICADO]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LGPD art. 38 (RIPD)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ANPD pode determinar RIPD, inclusive de sensível; conteúdo mínimo (tipos, metodologia, salvaguardas, mitigação). Boa prática para tratamento de alto risco.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[VERIFICADO]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LGPD art. 41 + Resolução CD/ANPD 18/2024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Encarregado (DPO) deve ser indicado por ATO FORMAL (escrito, datado, assinado), apresentável à ANPD; “não basta ter alguém de fato”. Dispensa de pequeno porte exige canal ao titular.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[VERIFICADO no Project]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LGPD art. 46/47 (segurança) · CDC art. 39, V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Medidas de segurança; vedação de retenção como cobrança (já vedada por design).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[VERIFICADO]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Código mc-audit.py (firewall técnico)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Verificado em sessão: lê só 1 chave (id da UA); conjunto fechado de chaves sem PII; session_id hasheado; fail-safe; default off. “Zero-PII por construção” confere para a telemetria de qual-UA-rodou.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[VERIFICADO — código lido]</w:t>
            </w:r>
          </w:p>
        </w:tc>
      </w:tr>
    </w:tbl>
    <w:p>
      <w:pPr>
        <w:spacing w:after="100" w:before="240"/>
      </w:pPr>
      <w:r>
        <w:rPr>
          <w:b/>
          <w:bCs/>
          <w:color w:val="1F3864"/>
          <w:sz w:val="25"/>
          <w:szCs w:val="25"/>
        </w:rPr>
        <w:t xml:space="preserve">3. Análise — admissibilidade das Rec #1 e #3</w:t>
      </w:r>
    </w:p>
    <w:p>
      <w:pPr>
        <w:spacing w:after="55" w:before="150"/>
      </w:pPr>
      <w:r>
        <w:rPr>
          <w:b/>
          <w:bCs/>
          <w:color w:val="1F3864"/>
          <w:sz w:val="20"/>
          <w:szCs w:val="20"/>
        </w:rPr>
        <w:t xml:space="preserve">Rec #1 — telemetria sobre a jornada real</w:t>
      </w:r>
    </w:p>
    <w:p>
      <w:pPr>
        <w:spacing w:after="108" w:line="274" w:lineRule="auto"/>
        <w:jc w:val="both"/>
      </w:pPr>
      <w:r>
        <w:t xml:space="preserve">Li o </w:t>
      </w:r>
      <w:r>
        <w:rPr>
          <w:b/>
          <w:bCs/>
        </w:rPr>
        <w:t xml:space="preserve">mc-audit.py</w:t>
      </w:r>
      <w:r>
        <w:t xml:space="preserve"> diretamente. A alegação de “zero-PII por construção” é verdadeira para a telemetria de qual-UA-rodou: o emissor lê apenas o id da Unidade Agêntica, descarta todo o resto do payload, grava um conjunto fechado de chaves de governança (sem PII), hasheia o session_id e é fail-safe / default-off. </w:t>
      </w:r>
      <w:r>
        <w:rPr>
          <w:b/>
          <w:bCs/>
        </w:rPr>
        <w:t xml:space="preserve">A linha divisória é o escopo: </w:t>
      </w:r>
      <w:r>
        <w:t xml:space="preserve">se a Rec #1 permanecer estritamente nesse metadado de governança (qual UA rodou, quando, gate, zona), o firewall técnico cobre e não há tratamento de dado pessoal de caso — ligar sobre jornada real é admissível. Se a Rec #1 expandir para observar o CONTEÚDO da jornada (dados do benefício, CID), passa a tratar dado sensível (art. 5º, II) e exige base legal própria (art. 11) e RIPD específico (art. 38).</w:t>
      </w:r>
    </w:p>
    <w:p>
      <w:pPr>
        <w:spacing w:after="55" w:before="150"/>
      </w:pPr>
      <w:r>
        <w:rPr>
          <w:b/>
          <w:bCs/>
          <w:color w:val="1F3864"/>
          <w:sz w:val="20"/>
          <w:szCs w:val="20"/>
        </w:rPr>
        <w:t xml:space="preserve">Rec #3 — export de dossiê para ANPD/B2B</w:t>
      </w:r>
    </w:p>
    <w:p>
      <w:pPr>
        <w:spacing w:after="108" w:line="274" w:lineRule="auto"/>
        <w:jc w:val="both"/>
      </w:pPr>
      <w:r>
        <w:rPr>
          <w:b/>
          <w:bCs/>
        </w:rPr>
        <w:t xml:space="preserve">São duas finalidades distintas e precisam de tratamento distinto. </w:t>
      </w:r>
      <w:r>
        <w:t xml:space="preserve">(a) Para a ANPD / prestação de contas: </w:t>
      </w:r>
      <w:r>
        <w:t xml:space="preserve">legítima — base no art. 7º, II (obrigação regulatória) e no dever de responsabilização (art. 6º, X); o SHA-256 + JSONL é trilha auditável defensável. </w:t>
      </w:r>
      <w:r>
        <w:t xml:space="preserve">(b) Para B2B: </w:t>
      </w:r>
      <w:r>
        <w:t xml:space="preserve">o dado sensível (CID, art. 5º, II) não pode ser compartilhado em B2B genérico. Exige de-identificação/anonimização prévia (art. 12 — anonimizado deixa de ser dado pessoal) e minimização de campos ao estritamente necessário (art. 6º, III). Compartilhamento não-anonimizado só se enquadrável no art. 11, II, “d” (exercício regular de direitos) — o que pressupõe que o destinatário B2B seja a advogada parceira atuando para aquele cidadão, jamais um terceiro comercial genérico.</w:t>
      </w:r>
    </w:p>
    <w:p>
      <w:pPr>
        <w:spacing w:after="55" w:before="150"/>
      </w:pPr>
      <w:r>
        <w:rPr>
          <w:b/>
          <w:bCs/>
          <w:color w:val="9C2A2A"/>
          <w:sz w:val="20"/>
          <w:szCs w:val="20"/>
        </w:rPr>
        <w:t xml:space="preserve">Lacunas e não-conformidade herdadas</w:t>
      </w:r>
    </w:p>
    <w:p>
      <w:pPr>
        <w:spacing w:after="108" w:line="274" w:lineRule="auto"/>
        <w:jc w:val="both"/>
      </w:pPr>
      <w:r>
        <w:t xml:space="preserve">Três pontos duros já mapeados: </w:t>
      </w:r>
      <w:r>
        <w:rPr>
          <w:b/>
          <w:bCs/>
        </w:rPr>
        <w:t xml:space="preserve">(i) Encarregado (DPO) não nomeado</w:t>
      </w:r>
      <w:r>
        <w:t xml:space="preserve"> — não-conformidade aberta (art. 41); </w:t>
      </w:r>
      <w:r>
        <w:rPr>
          <w:b/>
          <w:bCs/>
        </w:rPr>
        <w:t xml:space="preserve">(ii) duas lacunas de RIPD</w:t>
      </w:r>
      <w:r>
        <w:t xml:space="preserve"> — não há RIPD cobrindo a telemetria (Rec #1) nem o export (Rec #3); </w:t>
      </w:r>
      <w:r>
        <w:rPr>
          <w:b/>
          <w:bCs/>
        </w:rPr>
        <w:t xml:space="preserve">(iii) figura “operador fiduciário”</w:t>
      </w:r>
      <w:r>
        <w:t xml:space="preserve"> — atípica perante a ANPD, a mapear na dicotomia controlador/operador.</w:t>
      </w:r>
    </w:p>
    <w:p>
      <w:pPr>
        <w:spacing w:after="100" w:before="240"/>
      </w:pPr>
      <w:r>
        <w:rPr>
          <w:b/>
          <w:bCs/>
          <w:color w:val="1F3864"/>
          <w:sz w:val="25"/>
          <w:szCs w:val="25"/>
        </w:rPr>
        <w:t xml:space="preserve">4. Matriz de risco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26"/>
        <w:gridCol w:w="1200"/>
        <w:gridCol w:w="200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Eixo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Foco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Sever.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Mitigação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LGPD — sensível + hipervulnerável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Rec #1 tocar conteúdo da jornada; Rec #3 exportar sensível a B2B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DEDE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Alta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Rec #1 só metadado; Rec #3 anonimizar antes de B2B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ANPD — Encarregado (art. 41)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DPO não nomeado por ato formal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DEDE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Média-Alta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Nomear por ato formal antes da captura real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ANPD — RIPD (art. 38)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Duas lacunas de RIPD (telemetria; export)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DEDE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Média-Alta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RIPD(s) antes de dado real (ver Q5)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Definição de papel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“Operador fiduciário” atípico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1D6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Média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Classificar controlador/operador por tratamento no RIPD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Dignidade (D &gt; C &gt; V)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Vigilância/perfilamento do hipervulnerável; Inversão Cósmica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DEDE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Alta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Telemetria só metadado; soberania do titular sobre o dossiê (S3 não persiste)</w:t>
            </w:r>
          </w:p>
        </w:tc>
      </w:tr>
    </w:tbl>
    <w:p>
      <w:pPr>
        <w:spacing w:after="100" w:before="240"/>
      </w:pPr>
      <w:r>
        <w:rPr>
          <w:b/>
          <w:bCs/>
          <w:color w:val="1F3864"/>
          <w:sz w:val="25"/>
          <w:szCs w:val="25"/>
        </w:rPr>
        <w:t xml:space="preserve">5. Respostas técnicas às 6 perguntas de selagem</w:t>
      </w:r>
    </w:p>
    <w:p>
      <w:pPr>
        <w:spacing w:after="108" w:line="274" w:lineRule="auto"/>
        <w:jc w:val="both"/>
      </w:pPr>
      <w:r>
        <w:rPr>
          <w:i/>
          <w:iCs/>
          <w:sz w:val="18"/>
          <w:szCs w:val="18"/>
        </w:rPr>
        <w:t xml:space="preserve">Recomendações técnicas para a deliberação da signatária; não constituem decisão.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Q</w:t>
            </w:r>
          </w:p>
        </w:tc>
        <w:tc>
          <w:tcPr>
            <w:tcW w:type="dxa" w:w="8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Recomendação técnica (a Dra. decide)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9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Q1</w:t>
            </w:r>
          </w:p>
        </w:tc>
        <w:tc>
          <w:tcPr>
            <w:tcW w:type="dxa" w:w="8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Rec #1 pode ser ligada sobre jornada real SE permanecer estritamente no metadado de governança (o que o mc-audit.py já garante). Recomenda-se RIPD-confirmatório leve atestando o escopo metadado-apenas (accountability, art. 6º X). Qualquer expansão para conteúdo da jornada → RIPD específico + base do art. 11 antes de capturar.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9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Q2</w:t>
            </w:r>
          </w:p>
        </w:tc>
        <w:tc>
          <w:tcPr>
            <w:tcW w:type="dxa" w:w="8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Separar finalidades: export p/ ANPD = art. 7º II + accountability (SHA-256/JSONL = trilha defensável). Export p/ B2B = anonimizar/de-identificar (art. 12) e minimizar campos (art. 6º III) ANTES de sair; sensível (CID) não vai a B2B genérico. Não-anonimizado só p/ advogada parceira do próprio cidadão (art. 11 II “d”).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9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Q3</w:t>
            </w:r>
          </w:p>
        </w:tc>
        <w:tc>
          <w:tcPr>
            <w:tcW w:type="dxa" w:w="8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DPO: a indicação é ato formal (art. 41 + Res. 18/2024). Dado o tratamento de sensível de hipervulneráveis (alto risco), a dispensa de pequeno porte não deve ser presumida. NÃO bloqueia o piloto em fixture sintético, mas é bloqueio prévio à captura/export sobre dado real. Caminho mínimo: nomear por ato formal + canal público ao titular, em paralelo ao RIPD.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9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Q4</w:t>
            </w:r>
          </w:p>
        </w:tc>
        <w:tc>
          <w:tcPr>
            <w:tcW w:type="dxa" w:w="8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“Operador fiduciário” não é categoria da LGPD. Classificar por tratamento: telemetria de governança = MC controlador do próprio metadado; dossiê do cidadão = MC operador (executa para o cidadão/advogada). Ajuste definicional no RIPD antes da telemetria real; não é bloqueio em si, mas precisa ficar claro.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9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Q5</w:t>
            </w:r>
          </w:p>
        </w:tc>
        <w:tc>
          <w:tcPr>
            <w:tcW w:type="dxa" w:w="8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Recomendo DOIS RIPDs (telemetria; export) — tratamentos, riscos e bases distintos; um aditivo único conflaria baixo risco (metadado) com alto risco (sensível). Se preferir documento único, seções separadas com bases e risco próprios.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9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Q6</w:t>
            </w:r>
          </w:p>
        </w:tc>
        <w:tc>
          <w:tcPr>
            <w:tcW w:type="dxa" w:w="8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Linha de dignidade: (a) a telemetria nunca pode virar vigilância do conteúdo da jornada do cidadão — travar no metadado; (b) o export nunca pode permitir perfilamento ou criar dependência/lock-in do hipervulnerável. A governança serve a melhoria do MC, jamais extrai valor do dado do vulnerável contra a sua soberania (Inversão Cósmica). DPO e RIPD são salvaguardas de dignidade, não só compliance.</w:t>
            </w:r>
          </w:p>
        </w:tc>
      </w:tr>
    </w:tbl>
    <w:p>
      <w:pPr>
        <w:spacing w:after="100" w:before="240"/>
      </w:pPr>
      <w:r>
        <w:rPr>
          <w:b/>
          <w:bCs/>
          <w:color w:val="1F3864"/>
          <w:sz w:val="25"/>
          <w:szCs w:val="25"/>
        </w:rPr>
        <w:t xml:space="preserve">6. Opções e recomendação técnica</w:t>
      </w:r>
    </w:p>
    <w:p>
      <w:pPr>
        <w:spacing w:after="108" w:line="274" w:lineRule="auto"/>
        <w:jc w:val="both"/>
      </w:pPr>
      <w:r>
        <w:rPr>
          <w:b/>
          <w:bCs/>
        </w:rPr>
        <w:t xml:space="preserve">Opção A — ADMITIR COM CONDICIONANTES (RECOMENDADA). </w:t>
      </w:r>
      <w:r>
        <w:t xml:space="preserve">Liberar Rec #1 e #3 sobre dado real condicionadas a: (1) Rec #1 travada no metadado (firewall mc-audit.py) — expansão a conteúdo exige novo gate; (2) Rec #3 com camada de anonimização/minimização antes de B2B; (3) nomeação formal do Encarregado antes da captura real; (4) RIPD(s) — dois — concluídos antes do dado real; (5) classificação controlador/operador por tratamento. Piloto em fixture sintético segue livre.</w:t>
      </w:r>
    </w:p>
    <w:p>
      <w:pPr>
        <w:spacing w:after="108" w:line="274" w:lineRule="auto"/>
        <w:jc w:val="both"/>
      </w:pPr>
      <w:r>
        <w:rPr>
          <w:b/>
          <w:bCs/>
        </w:rPr>
        <w:t xml:space="preserve">Opção B — admitir sem condicionantes. </w:t>
      </w:r>
      <w:r>
        <w:t xml:space="preserve">NÃO RECOMENDADA: deixa o DPO e as lacunas de RIPD em aberto sobre dado sensível de hipervulnerável.</w:t>
      </w:r>
    </w:p>
    <w:p>
      <w:pPr>
        <w:spacing w:after="108" w:line="274" w:lineRule="auto"/>
        <w:jc w:val="both"/>
      </w:pPr>
      <w:r>
        <w:rPr>
          <w:b/>
          <w:bCs/>
        </w:rPr>
        <w:t xml:space="preserve">Opção C — não admitir agora; manter tudo em fixture sintético até DPO + RIPDs prontos. </w:t>
      </w:r>
      <w:r>
        <w:t xml:space="preserve">Mais conservadora; adia o piloto com dado real.</w:t>
      </w:r>
    </w:p>
    <w:p>
      <w:pPr>
        <w:spacing w:after="108" w:line="274" w:lineRule="auto"/>
        <w:jc w:val="both"/>
      </w:pPr>
      <w:r>
        <w:rPr>
          <w:b/>
          <w:bCs/>
          <w:color w:val="1F6B3B"/>
        </w:rPr>
        <w:t xml:space="preserve">Recomendação técnica: Opção A</w:t>
      </w:r>
      <w:r>
        <w:t xml:space="preserve">. O firewall técnico é real e o desenho já se autoconteve (default-off, fixture); as condicionantes fecham as lacunas (DPO, RIPDs) antes de qualquer dado real. A decisão é da signatária.</w:t>
      </w:r>
    </w:p>
    <w:p>
      <w:pPr>
        <w:spacing w:after="100" w:before="240"/>
      </w:pPr>
      <w:r>
        <w:rPr>
          <w:b/>
          <w:bCs/>
          <w:color w:val="1F3864"/>
          <w:sz w:val="25"/>
          <w:szCs w:val="25"/>
        </w:rPr>
        <w:t xml:space="preserve">7. Minuta da conclusão (texto para ratificar/retificar/assinar)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9F2DC" w:color="auto" w:val="clear"/>
            <w:tcMar>
              <w:top w:type="dxa" w:w="92"/>
              <w:left w:type="dxa" w:w="132"/>
              <w:bottom w:type="dxa" w:w="92"/>
              <w:right w:type="dxa" w:w="132"/>
            </w:tcMar>
          </w:tcPr>
          <w:p>
            <w:pPr>
              <w:spacing w:after="32"/>
            </w:pPr>
            <w:r>
              <w:rPr>
                <w:b/>
                <w:bCs/>
                <w:color w:val="1F6B3B"/>
              </w:rPr>
              <w:t xml:space="preserve">Conclusão ratificada: </w:t>
            </w:r>
            <w:r>
              <w:rPr>
                <w:color w:val="1F6B3B"/>
              </w:rPr>
              <w:t xml:space="preserve">“RATIFICO A OPÇÃO A. Examinadas as Rec #1 e #3 da proposta de Bancada de Governança à luz da LGPD (arts. 5º, 6º, 7º, 11, 12, 38, 41) e da Resolução CD/ANPD 18/2024, são ADMISSÍVEIS para execução sobre dado real sob as seguintes condicionantes: (1) a telemetria (Rec #1) permanece estritamente no metadado de governança verificado no firewall técnico, vedada a observação de conteúdo da jornada sem novo gate; (2) o export (Rec #3) para B2B exige anonimização/de-identificação e minimização prévias, sendo o sensível vedado a destinatário B2B genérico; (3) o Encarregado (DPO) é nomeado por ato formal antes de qualquer captura/export sobre dado real; (4) elaboram-se dois RIPDs (telemetria; export) antes do dado real; (5) o papel do MC (controlador/operador) é classificado por tratamento. O piloto em fixture sintético é livre. Sob D &gt; C &gt; V, a governança jamais pode converter-se em vigilância ou perfilamento do titular hipervulnerável.”</w:t>
            </w:r>
          </w:p>
        </w:tc>
      </w:tr>
    </w:tbl>
    <w:p>
      <w:pPr>
        <w:spacing w:after="100" w:before="240"/>
      </w:pPr>
      <w:r>
        <w:rPr>
          <w:b/>
          <w:bCs/>
          <w:color w:val="1F3864"/>
          <w:sz w:val="25"/>
          <w:szCs w:val="25"/>
        </w:rPr>
        <w:t xml:space="preserve">8. Fontes citadas (com selo)</w:t>
      </w:r>
    </w:p>
    <w:p>
      <w:pPr>
        <w:spacing w:after="108" w:line="274" w:lineRule="auto"/>
        <w:jc w:val="both"/>
      </w:pPr>
      <w:r>
        <w:rPr>
          <w:sz w:val="19"/>
          <w:szCs w:val="19"/>
        </w:rPr>
        <w:t xml:space="preserve">LGPD (Lei 13.709/2018) arts. 5º I/II, 6º I/III/X, 7º II/V/VI/IX, 11 II “d”/“f”, 12, 38, 41, 46/47 — [VERIFICADO no Project]. Resolução CD/ANPD nº 18/2024 (Encarregado — ato formal) — [VERIFICADO no Project]. CDC art. 39, V — [VERIFICADO]. Código mc-audit.py (firewall zero-PII) e ler-audit.py (analisador) — [VERIFICADO — código lido em sessão]. RIPD Custódia v0.1 e RIPD Fase 1 v0.2 — lastro do MC (categorias e bases mapeadas; arquivo:linha conferível). Resolução CD/ANPD nº 2/2022 (pequeno porte/canal) — [VIA-RES. 18/2024].</w:t>
      </w:r>
    </w:p>
    <w:p>
      <w:pPr>
        <w:spacing w:after="100" w:before="240"/>
      </w:pPr>
      <w:r>
        <w:rPr>
          <w:b/>
          <w:bCs/>
          <w:color w:val="1F3864"/>
          <w:sz w:val="25"/>
          <w:szCs w:val="25"/>
        </w:rPr>
        <w:t xml:space="preserve">9. Veredito da signatária</w:t>
      </w:r>
    </w:p>
    <w:p>
      <w:pPr>
        <w:spacing w:after="80" w:before="60"/>
      </w:pPr>
      <w:r>
        <w:rPr>
          <w:b/>
          <w:bCs/>
        </w:rPr>
        <w:t xml:space="preserve">Admissibilidade das Rec #1 e #3 sobre dado real:</w:t>
      </w:r>
    </w:p>
    <w:p>
      <w:pPr>
        <w:spacing w:after="80"/>
      </w:pPr>
      <w:r>
        <w:rPr>
          <w:b/>
          <w:bCs/>
          <w:color w:val="1F6B3B"/>
          <w:sz w:val="23"/>
          <w:szCs w:val="23"/>
        </w:rPr>
        <w:t xml:space="preserve">☑ ADMITO COM CONDICIONANTES (Opção A).</w:t>
      </w:r>
    </w:p>
    <w:p>
      <w:pPr>
        <w:spacing w:after="120"/>
      </w:pPr>
      <w:r>
        <w:rPr>
          <w:b/>
          <w:bCs/>
        </w:rPr>
        <w:t xml:space="preserve">RIPD: </w:t>
      </w:r>
      <w:r>
        <w:rPr>
          <w:color w:val="1F6B3B"/>
        </w:rPr>
        <w:t xml:space="preserve">☑ dois (telemetria; export)</w:t>
      </w:r>
      <w:r>
        <w:rPr>
          <w:b/>
          <w:bCs/>
        </w:rPr>
        <w:t xml:space="preserve">   ·   DPO: </w:t>
      </w:r>
      <w:r>
        <w:rPr>
          <w:color w:val="1F6B3B"/>
        </w:rPr>
        <w:t xml:space="preserve">☑ sanar em paralelo — nomeação por ato formal antes de qualquer dado real.</w:t>
      </w:r>
    </w:p>
    <w:p>
      <w:pPr>
        <w:spacing w:after="120" w:before="60"/>
      </w:pPr>
      <w:r>
        <w:rPr>
          <w:b/>
          <w:bCs/>
        </w:rPr>
        <w:t xml:space="preserve">Observações da signatária: </w:t>
      </w:r>
      <w:r>
        <w:t xml:space="preserve">condicionantes seladas — (1) Rec #1 travada no metadado de governança (firewall mc-audit.py); expansão a conteúdo da jornada exige novo gate; (2) Rec #3 com anonimização/minimização antes de B2B, sensível vedado a B2B genérico (não-anonimizado só à advogada parceira do próprio cidadão, art. 11 II “d”); (3) Encarregado nomeado por ato formal (art. 41 + Res. 18/2024) antes de captura/export sobre dado real; (4) dois RIPDs concluídos antes do dado real; (5) papel controlador/operador classificado por tratamento. Sob D &gt; C &gt; V, a governança não pode virar vigilância nem perfilamento do titular hipervulnerável. O piloto em fixture sintético segue livre.</w:t>
      </w:r>
    </w:p>
    <w:p>
      <w:pPr>
        <w:pBdr>
          <w:top w:val="single" w:color="000000" w:sz="6" w:space="6"/>
        </w:pBdr>
        <w:spacing w:before="320"/>
        <w:jc w:val="center"/>
      </w:pPr>
    </w:p>
    <w:p>
      <w:pPr>
        <w:spacing w:before="70"/>
        <w:jc w:val="center"/>
      </w:pPr>
      <w:r>
        <w:rPr>
          <w:b/>
          <w:bCs/>
        </w:rPr>
        <w:t xml:space="preserve">Dra. Juliana Pereira de Melo</w:t>
      </w:r>
    </w:p>
    <w:p>
      <w:pPr>
        <w:jc w:val="center"/>
      </w:pPr>
      <w:r>
        <w:t xml:space="preserve">OAB-GO 38.662</w:t>
      </w:r>
    </w:p>
    <w:p>
      <w:pPr>
        <w:spacing w:after="80"/>
        <w:jc w:val="center"/>
      </w:pPr>
      <w:r>
        <w:rPr>
          <w:color w:val="666666"/>
          <w:sz w:val="18"/>
          <w:szCs w:val="18"/>
        </w:rPr>
        <w:t xml:space="preserve">Ratificado em 08/06/2026</w:t>
      </w:r>
    </w:p>
    <w:p>
      <w:pPr>
        <w:spacing w:after="120"/>
        <w:jc w:val="center"/>
      </w:pPr>
      <w:r>
        <w:rPr>
          <w:i/>
          <w:iCs/>
          <w:color w:val="666666"/>
          <w:sz w:val="16"/>
          <w:szCs w:val="16"/>
        </w:rPr>
        <w:t xml:space="preserve">Documento de assessoria. A decisão de admissibilidade, sua ratificação/retificação/rejeição e a responsabilidade técnica são exclusivas da advogada signatária.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 w:space="4"/>
      </w:pBdr>
      <w:jc w:val="center"/>
    </w:pPr>
    <w:r>
      <w:rPr>
        <w:color w:val="666666"/>
        <w:sz w:val="12"/>
        <w:szCs w:val="12"/>
      </w:rPr>
      <w:t xml:space="preserve">Meu Cumpadre · Parecer R3 Bancada de Governança v1.1 RATIFICADO · D &gt; C &gt; V · Provérbios 31:8 · Independência do parecerista preservada (Lei 8.906/94, art. 18) · Pág. </w:t>
    </w:r>
    <w:r>
      <w:rPr>
        <w:color w:val="666666"/>
        <w:sz w:val="12"/>
        <w:szCs w:val="1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4"/>
      </w:pBdr>
      <w:jc w:val="right"/>
    </w:pPr>
    <w:r>
      <w:rPr>
        <w:color w:val="666666"/>
        <w:sz w:val="13"/>
        <w:szCs w:val="13"/>
      </w:rPr>
      <w:t xml:space="preserve">PARECER R3 — BANCADA DE GOVERNANÇA · LGPD/ANPD — v1.1 RATIFICADO —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2026-06-08T03:14:53.983Z</dcterms:created>
  <dcterms:modified xsi:type="dcterms:W3CDTF">2026-06-08T03:14:53.984Z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