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0D7E" w:rsidRDefault="00C57DD8">
      <w:pPr>
        <w:pBdr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</w:pBdr>
        <w:shd w:val="clear" w:color="auto" w:fill="FCE4D6"/>
        <w:spacing w:after="80"/>
      </w:pPr>
      <w:bookmarkStart w:id="0" w:name="_GoBack"/>
      <w:bookmarkEnd w:id="0"/>
      <w:r>
        <w:rPr>
          <w:b/>
          <w:bCs/>
          <w:color w:val="843C0C"/>
          <w:sz w:val="18"/>
          <w:szCs w:val="18"/>
        </w:rPr>
        <w:t>PARECER JURÍDICO RATIFICADO v1.1 — SELADO PELA SIGNATÁRIA. Documento convertido em parecer ratificado, com responsabilidade técnica e assinatura exclusivas da advogada signatária.</w:t>
      </w:r>
    </w:p>
    <w:p w:rsidR="00940D7E" w:rsidRDefault="00C57DD8">
      <w:pPr>
        <w:spacing w:after="60"/>
        <w:jc w:val="center"/>
      </w:pPr>
      <w:r>
        <w:rPr>
          <w:b/>
          <w:bCs/>
          <w:sz w:val="36"/>
          <w:szCs w:val="36"/>
        </w:rPr>
        <w:t>PARECER JURÍDICO</w:t>
      </w:r>
    </w:p>
    <w:p w:rsidR="00940D7E" w:rsidRDefault="00C57DD8">
      <w:pPr>
        <w:spacing w:after="200"/>
        <w:jc w:val="center"/>
      </w:pPr>
      <w:r>
        <w:rPr>
          <w:i/>
          <w:iCs/>
          <w:color w:val="1F3864"/>
          <w:sz w:val="24"/>
          <w:szCs w:val="24"/>
        </w:rPr>
        <w:t>Engenharia Hornes — os 7 Hooks de integração do Router-Ethics 11 (Meu Cumpadre)</w:t>
      </w:r>
    </w:p>
    <w:p w:rsidR="00E56CD9" w:rsidRDefault="0005000A">
      <w:pPr>
        <w:spacing w:before="120" w:after="40"/>
        <w:jc w:val="center"/>
      </w:pPr>
      <w:r>
        <w:rPr>
          <w:b/>
          <w:bCs/>
          <w:color w:val="1F3864"/>
        </w:rPr>
        <w:t>RATIFICADO PELA SIGNATÁRIA — VERSÃO SELADA v1.1</w:t>
      </w:r>
    </w:p>
    <w:p w:rsidR="00E56CD9" w:rsidRDefault="0005000A">
      <w:pPr>
        <w:spacing w:after="160"/>
        <w:jc w:val="both"/>
      </w:pPr>
      <w:r>
        <w:rPr>
          <w:sz w:val="20"/>
          <w:szCs w:val="20"/>
        </w:rPr>
        <w:t>Este parecer produz efeitos a partir da data da ratificação abaixo. Qualquer reprodução ou uso deve preservar a autoria exclusiva da signatária e o contexto do Firewall de ativ</w:t>
      </w:r>
      <w:r>
        <w:rPr>
          <w:sz w:val="20"/>
          <w:szCs w:val="20"/>
        </w:rPr>
        <w:t>idade-meio.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940D7E"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r>
              <w:rPr>
                <w:b/>
                <w:bCs/>
                <w:color w:val="FFFFFF"/>
                <w:sz w:val="20"/>
                <w:szCs w:val="20"/>
              </w:rPr>
              <w:t>Conteúdo</w:t>
            </w:r>
          </w:p>
        </w:tc>
      </w:tr>
      <w:tr w:rsidR="00940D7E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Consulente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Meu Cumpadre — Orquestração Documental e Tecnologia Ltda. (CNAE 6201-5/01)</w:t>
            </w:r>
          </w:p>
        </w:tc>
      </w:tr>
      <w:tr w:rsidR="00940D7E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Signatária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Dra. Juliana Pereira de Melo — OAB-GO 38.662</w:t>
            </w:r>
          </w:p>
        </w:tc>
      </w:tr>
      <w:tr w:rsidR="00940D7E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Objeto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Aprovação dos 7 Hooks de integração (captura/composição de dados) do Router-Ethics 11</w:t>
            </w:r>
          </w:p>
        </w:tc>
      </w:tr>
      <w:tr w:rsidR="00940D7E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Demanda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R3 — Pacote Hornes</w:t>
            </w:r>
          </w:p>
        </w:tc>
      </w:tr>
      <w:tr w:rsidR="00940D7E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Local e data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Goiânia-GO, 6 de junho de 2026</w:t>
            </w:r>
          </w:p>
        </w:tc>
      </w:tr>
      <w:tr w:rsidR="00940D7E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Hierarquia aplicável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Dignidade &gt; Compliance &gt; Viabilidade (D &gt; C &gt; V)</w:t>
            </w:r>
          </w:p>
        </w:tc>
      </w:tr>
    </w:tbl>
    <w:p w:rsidR="00940D7E" w:rsidRDefault="00940D7E">
      <w:pPr>
        <w:spacing w:after="120" w:line="276" w:lineRule="auto"/>
      </w:pPr>
    </w:p>
    <w:p w:rsidR="00940D7E" w:rsidRDefault="00C57DD8">
      <w:pPr>
        <w:pStyle w:val="Ttulo1"/>
      </w:pPr>
      <w:r>
        <w:t>Ementa</w:t>
      </w:r>
    </w:p>
    <w:p w:rsidR="00940D7E" w:rsidRDefault="00C57DD8">
      <w:pPr>
        <w:spacing w:after="120" w:line="276" w:lineRule="auto"/>
      </w:pPr>
      <w:r>
        <w:rPr>
          <w:i/>
          <w:iCs/>
        </w:rPr>
        <w:t xml:space="preserve">LGPD. Engenharia de captura de dados. Sete hooks de integração do Router-Ethics 11. </w:t>
      </w:r>
      <w:r>
        <w:rPr>
          <w:b/>
          <w:bCs/>
          <w:i/>
          <w:iCs/>
        </w:rPr>
        <w:t xml:space="preserve">Aprovação com ajustes seletivos. </w:t>
      </w:r>
      <w:r>
        <w:rPr>
          <w:i/>
          <w:iCs/>
        </w:rPr>
        <w:t>Hooks 2, 4 e 5 ratificáveis como estão (execução de contrato, dado mínimo, transparência). Hooks 1, 3, 6 e 7 ratificáveis sob condicionantes: base legal expressa, RIPD e consentimento granular onde há dado sensível (saúde/PcD) ou enriquecimento via NIS. Firewall de atividade-meio preservado. Vedado o uso de dado de vulnerabilidade em prejuízo do titular (LGPD art. 21; D &gt; C &gt; V). Aprovação com ajustes seletivos — RATIFICADA pela signatária em 06/06/2026. A palavra final, a responsabilidade técnica e a assinatura são exclusivamente da advogada signatária.</w:t>
      </w:r>
    </w:p>
    <w:p w:rsidR="00940D7E" w:rsidRDefault="00C57DD8">
      <w:pPr>
        <w:pStyle w:val="Ttulo1"/>
      </w:pPr>
      <w:r>
        <w:t>1. Matéria e pergunta jurídica</w:t>
      </w:r>
    </w:p>
    <w:p w:rsidR="00940D7E" w:rsidRDefault="00C57DD8">
      <w:pPr>
        <w:spacing w:after="120" w:line="276" w:lineRule="auto"/>
      </w:pPr>
      <w:r>
        <w:t>Submete-se a exame a Engenharia Hornes — a camada operacional do Router-Ethics 11 que captura, compõe e roteia dados do cidadão, alimentando o índice IPH-MC e demais indicadores. A pergunta jurídica é única e desdobrável por hook:</w:t>
      </w:r>
    </w:p>
    <w:p w:rsidR="00940D7E" w:rsidRDefault="00C57DD8">
      <w:pPr>
        <w:spacing w:after="120" w:line="276" w:lineRule="auto"/>
      </w:pPr>
      <w:r>
        <w:rPr>
          <w:b/>
          <w:bCs/>
        </w:rPr>
        <w:t>cada um dos 7 hooks é ratificável como está, ou exige ajuste, sob a LGPD (Lei 13.709/2018), o Estatuto da Advocacia (Lei 8.906/94) e os atos da OAB, e a hierarquia D &gt; C &gt; V?</w:t>
      </w:r>
    </w:p>
    <w:p w:rsidR="00940D7E" w:rsidRDefault="00C57DD8">
      <w:pPr>
        <w:spacing w:after="120" w:line="276" w:lineRule="auto"/>
      </w:pPr>
      <w:r>
        <w:t>Artefatos confrontados: Seção 5 / IX do Router-Ethics 11 (os 7 hooks), os nós C51–C52 (dado sensível e consentimento granular) e as marcações PROVISIONAL que o próprio documento remete a parecer (Hook 1b — base legal LGPD; Hook 6 — consentimento granular; Hook 7 — parcerias).</w:t>
      </w:r>
    </w:p>
    <w:p w:rsidR="00940D7E" w:rsidRDefault="00C57DD8">
      <w:pPr>
        <w:spacing w:after="120" w:line="276" w:lineRule="auto"/>
      </w:pPr>
      <w:r>
        <w:rPr>
          <w:b/>
          <w:bCs/>
        </w:rPr>
        <w:t xml:space="preserve">Ressalva de método (Proof-First). </w:t>
      </w:r>
      <w:r>
        <w:t xml:space="preserve">O pacote R3-Hornes (arquivo .md em repositório privado e em pasta do Drive não legível por este meio) </w:t>
      </w:r>
      <w:r>
        <w:rPr>
          <w:b/>
          <w:bCs/>
        </w:rPr>
        <w:t>não pôde ser acessado</w:t>
      </w:r>
      <w:r>
        <w:t xml:space="preserve"> — permanece [NÃO LOCALIZADO]. A fundamentação a seguir apoia-se na fonte primária verificável (Router-Ethics 11 + texto das normas). Eventuais propostas de redação por hook contidas no pacote devem ser reconciliadas antes da ratificação final; isso não afeta a base normativa, que está integralmente verificada.</w:t>
      </w:r>
    </w:p>
    <w:p w:rsidR="00940D7E" w:rsidRDefault="00C57DD8">
      <w:pPr>
        <w:pStyle w:val="Ttulo1"/>
      </w:pPr>
      <w:r>
        <w:t>2. Base normativa (verificada — selo Proof-First)</w:t>
      </w:r>
    </w:p>
    <w:p w:rsidR="00940D7E" w:rsidRDefault="00C57DD8">
      <w:pPr>
        <w:spacing w:after="120" w:line="276" w:lineRule="auto"/>
      </w:pPr>
      <w:r>
        <w:rPr>
          <w:i/>
          <w:iCs/>
          <w:sz w:val="18"/>
          <w:szCs w:val="18"/>
        </w:rPr>
        <w:t>Legenda dos selos: [VERIFICADO] = conferido em fonte primária nesta análise · [FONTE PENDENTE] = não confirmado, não fundamenta · [NÃO LOCALIZADA] = descartada.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31"/>
        <w:gridCol w:w="5041"/>
        <w:gridCol w:w="1454"/>
      </w:tblGrid>
      <w:tr w:rsidR="00940D7E">
        <w:trPr>
          <w:tblHeader/>
        </w:trPr>
        <w:tc>
          <w:tcPr>
            <w:tcW w:w="2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r>
              <w:rPr>
                <w:b/>
                <w:bCs/>
                <w:color w:val="FFFFFF"/>
                <w:sz w:val="20"/>
                <w:szCs w:val="20"/>
              </w:rPr>
              <w:t>Norma · dispositivo</w:t>
            </w:r>
          </w:p>
        </w:tc>
        <w:tc>
          <w:tcPr>
            <w:tcW w:w="50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r>
              <w:rPr>
                <w:b/>
                <w:bCs/>
                <w:color w:val="FFFFFF"/>
                <w:sz w:val="20"/>
                <w:szCs w:val="20"/>
              </w:rPr>
              <w:t>Conteúdo pertinente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r>
              <w:rPr>
                <w:b/>
                <w:bCs/>
                <w:color w:val="FFFFFF"/>
                <w:sz w:val="20"/>
                <w:szCs w:val="20"/>
              </w:rPr>
              <w:t>Selo</w:t>
            </w:r>
          </w:p>
        </w:tc>
      </w:tr>
      <w:tr w:rsidR="00940D7E">
        <w:tc>
          <w:tcPr>
            <w:tcW w:w="2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LGPD art. 5º, XVII</w:t>
            </w:r>
          </w:p>
        </w:tc>
        <w:tc>
          <w:tcPr>
            <w:tcW w:w="50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Define o Relatório de Impacto à Proteção de Dados (RIPD)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VERIFICADO</w:t>
            </w:r>
          </w:p>
        </w:tc>
      </w:tr>
      <w:tr w:rsidR="00940D7E">
        <w:tc>
          <w:tcPr>
            <w:tcW w:w="2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LGPD art. 6º, I–III</w:t>
            </w:r>
          </w:p>
        </w:tc>
        <w:tc>
          <w:tcPr>
            <w:tcW w:w="50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Finalidade, adequação, necessidade (minimização)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VERIFICADO</w:t>
            </w:r>
          </w:p>
        </w:tc>
      </w:tr>
      <w:tr w:rsidR="00940D7E">
        <w:tc>
          <w:tcPr>
            <w:tcW w:w="2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LGPD art. 7º, I/V/IX</w:t>
            </w:r>
          </w:p>
        </w:tc>
        <w:tc>
          <w:tcPr>
            <w:tcW w:w="50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Bases legais: consentimento / execução de contrato / legítimo interesse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VERIFICADO</w:t>
            </w:r>
          </w:p>
        </w:tc>
      </w:tr>
      <w:tr w:rsidR="00940D7E">
        <w:tc>
          <w:tcPr>
            <w:tcW w:w="2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LGPD art. 8º, §§3º–4º</w:t>
            </w:r>
          </w:p>
        </w:tc>
        <w:tc>
          <w:tcPr>
            <w:tcW w:w="50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Consentimento viciado vedado; autorização genérica é nula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VERIFICADO</w:t>
            </w:r>
          </w:p>
        </w:tc>
      </w:tr>
      <w:tr w:rsidR="00940D7E">
        <w:tc>
          <w:tcPr>
            <w:tcW w:w="2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LGPD art. 9º</w:t>
            </w:r>
          </w:p>
        </w:tc>
        <w:tc>
          <w:tcPr>
            <w:tcW w:w="50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Dever de informar finalidade, duração, controlador e direitos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VERIFICADO</w:t>
            </w:r>
          </w:p>
        </w:tc>
      </w:tr>
      <w:tr w:rsidR="00940D7E">
        <w:tc>
          <w:tcPr>
            <w:tcW w:w="2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LGPD art. 11, I e II</w:t>
            </w:r>
          </w:p>
        </w:tc>
        <w:tc>
          <w:tcPr>
            <w:tcW w:w="50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Dado sensível (saúde): só com consentimento específico e destacado, ou hipóteses taxativas; alínea “f” exclusiva de profissional/serviço de saúde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VERIFICADO</w:t>
            </w:r>
          </w:p>
        </w:tc>
      </w:tr>
      <w:tr w:rsidR="00940D7E">
        <w:tc>
          <w:tcPr>
            <w:tcW w:w="2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LGPD art. 18</w:t>
            </w:r>
          </w:p>
        </w:tc>
        <w:tc>
          <w:tcPr>
            <w:tcW w:w="50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Direitos do titular, inclusive eliminação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VERIFICADO</w:t>
            </w:r>
          </w:p>
        </w:tc>
      </w:tr>
      <w:tr w:rsidR="00940D7E">
        <w:tc>
          <w:tcPr>
            <w:tcW w:w="2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LGPD art. 20 (§§1º–2º)</w:t>
            </w:r>
          </w:p>
        </w:tc>
        <w:tc>
          <w:tcPr>
            <w:tcW w:w="50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Revisão de decisão automatizada que afete interesses (perfil); informação sobre critérios; auditoria antidiscriminação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VERIFICADO</w:t>
            </w:r>
          </w:p>
        </w:tc>
      </w:tr>
      <w:tr w:rsidR="00940D7E">
        <w:tc>
          <w:tcPr>
            <w:tcW w:w="2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LGPD art. 21</w:t>
            </w:r>
          </w:p>
        </w:tc>
        <w:tc>
          <w:tcPr>
            <w:tcW w:w="50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Dados do exercício regular de direitos não podem ser usados em prejuízo do titular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VERIFICADO</w:t>
            </w:r>
          </w:p>
        </w:tc>
      </w:tr>
      <w:tr w:rsidR="00940D7E">
        <w:tc>
          <w:tcPr>
            <w:tcW w:w="2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LGPD art. 38</w:t>
            </w:r>
          </w:p>
        </w:tc>
        <w:tc>
          <w:tcPr>
            <w:tcW w:w="50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ANPD pode exigir RIPD em tratamento de risco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VERIFICADO</w:t>
            </w:r>
          </w:p>
        </w:tc>
      </w:tr>
      <w:tr w:rsidR="00940D7E">
        <w:tc>
          <w:tcPr>
            <w:tcW w:w="2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EOA (Lei 8.906/94) art. 31</w:t>
            </w:r>
          </w:p>
        </w:tc>
        <w:tc>
          <w:tcPr>
            <w:tcW w:w="50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Dever de independência do advogado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VERIFICADO</w:t>
            </w:r>
          </w:p>
        </w:tc>
      </w:tr>
      <w:tr w:rsidR="00940D7E">
        <w:tc>
          <w:tcPr>
            <w:tcW w:w="2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EOA art. 32</w:t>
            </w:r>
          </w:p>
        </w:tc>
        <w:tc>
          <w:tcPr>
            <w:tcW w:w="50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Responsabilidade por dolo/culpa; lide temerária solidária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VERIFICADO</w:t>
            </w:r>
          </w:p>
        </w:tc>
      </w:tr>
      <w:tr w:rsidR="00940D7E">
        <w:tc>
          <w:tcPr>
            <w:tcW w:w="2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EOA art. 34, III e IV</w:t>
            </w:r>
          </w:p>
        </w:tc>
        <w:tc>
          <w:tcPr>
            <w:tcW w:w="50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Infração: agenciador de causas mediante honorários; angariar ou captar causas, com ou sem terceiros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VERIFICADO</w:t>
            </w:r>
          </w:p>
        </w:tc>
      </w:tr>
      <w:tr w:rsidR="00940D7E">
        <w:tc>
          <w:tcPr>
            <w:tcW w:w="2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Código de Ética OAB art. 39</w:t>
            </w:r>
          </w:p>
        </w:tc>
        <w:tc>
          <w:tcPr>
            <w:tcW w:w="50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Publicidade informativa; não pode configurar captação de clientela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VERIFICADO</w:t>
            </w:r>
          </w:p>
        </w:tc>
      </w:tr>
      <w:tr w:rsidR="00940D7E">
        <w:tc>
          <w:tcPr>
            <w:tcW w:w="2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Prov. CFOAB 205/2021 art. 2º, VIII</w:t>
            </w:r>
          </w:p>
        </w:tc>
        <w:tc>
          <w:tcPr>
            <w:tcW w:w="50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Define captação: marketing ativo que induz à contratação ou estimula o litígio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VERIFICADO</w:t>
            </w:r>
          </w:p>
        </w:tc>
      </w:tr>
      <w:tr w:rsidR="00940D7E">
        <w:tc>
          <w:tcPr>
            <w:tcW w:w="2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Prov. 205/2021 arts. 3º e 8º</w:t>
            </w:r>
          </w:p>
        </w:tc>
        <w:tc>
          <w:tcPr>
            <w:tcW w:w="50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Publicidade não pode mercantilizar/captar; vedado vincular advocacia a outras atividades (firewall de marca)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VERIFICADO</w:t>
            </w:r>
          </w:p>
        </w:tc>
      </w:tr>
      <w:tr w:rsidR="00940D7E">
        <w:tc>
          <w:tcPr>
            <w:tcW w:w="2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LBI (Lei 13.146/2015) arts. 2º, §1º e 3º, I</w:t>
            </w:r>
          </w:p>
        </w:tc>
        <w:tc>
          <w:tcPr>
            <w:tcW w:w="50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Avaliação de deficiência é biopsicossocial/multiprofissional; acessibilidade abrange informação, comunicação e tecnologias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VERIFICADO</w:t>
            </w:r>
          </w:p>
        </w:tc>
      </w:tr>
      <w:tr w:rsidR="00940D7E">
        <w:tc>
          <w:tcPr>
            <w:tcW w:w="2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REsp 2.079.440/RO (STJ, 3ª T., Min. Nancy Andrighi)</w:t>
            </w:r>
          </w:p>
        </w:tc>
        <w:tc>
          <w:tcPr>
            <w:tcW w:w="50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Advocacia predatória sobre hipossuficiente previdenciário — pano de fundo do Firewall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VERIFICADO</w:t>
            </w:r>
          </w:p>
        </w:tc>
      </w:tr>
      <w:tr w:rsidR="00940D7E">
        <w:tc>
          <w:tcPr>
            <w:tcW w:w="2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PL 2338/2023 (marco de IA / AIA)</w:t>
            </w:r>
          </w:p>
        </w:tc>
        <w:tc>
          <w:tcPr>
            <w:tcW w:w="50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Projeto de lei — boa-prática prospectiva, não norma vigente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É PROJETO</w:t>
            </w:r>
          </w:p>
        </w:tc>
      </w:tr>
      <w:tr w:rsidR="00940D7E">
        <w:tc>
          <w:tcPr>
            <w:tcW w:w="2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EOA art. 7º, I (caput)</w:t>
            </w:r>
          </w:p>
        </w:tc>
        <w:tc>
          <w:tcPr>
            <w:tcW w:w="50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Inviolabilidade/liberdade no exercício — ponto coberto pelos arts. 31 e 32; caput literal a confirmar se exigido na assinatura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FONTE PENDENTE</w:t>
            </w:r>
          </w:p>
        </w:tc>
      </w:tr>
    </w:tbl>
    <w:p w:rsidR="00940D7E" w:rsidRDefault="00C57DD8">
      <w:pPr>
        <w:pStyle w:val="Ttulo1"/>
      </w:pPr>
      <w:r>
        <w:t>3. Análise — confronto hook × base</w:t>
      </w:r>
    </w:p>
    <w:p w:rsidR="00940D7E" w:rsidRDefault="00C57DD8">
      <w:pPr>
        <w:spacing w:after="120" w:line="276" w:lineRule="auto"/>
      </w:pPr>
      <w:r>
        <w:rPr>
          <w:i/>
          <w:iCs/>
          <w:sz w:val="18"/>
          <w:szCs w:val="18"/>
        </w:rPr>
        <w:t>Semáforo: VERDE = ratificável como está · AMARELO = ratificável com ajuste/condicionante · VERMELHO = não ratificar.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426"/>
        <w:gridCol w:w="1700"/>
        <w:gridCol w:w="1400"/>
      </w:tblGrid>
      <w:tr w:rsidR="00940D7E">
        <w:trPr>
          <w:tblHeader/>
        </w:trPr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r>
              <w:rPr>
                <w:b/>
                <w:bCs/>
                <w:color w:val="FFFFFF"/>
                <w:sz w:val="20"/>
                <w:szCs w:val="20"/>
              </w:rPr>
              <w:t>Hook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r>
              <w:rPr>
                <w:b/>
                <w:bCs/>
                <w:color w:val="FFFFFF"/>
                <w:sz w:val="20"/>
                <w:szCs w:val="20"/>
              </w:rPr>
              <w:t>Operação e enquadramento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r>
              <w:rPr>
                <w:b/>
                <w:bCs/>
                <w:color w:val="FFFFFF"/>
                <w:sz w:val="20"/>
                <w:szCs w:val="20"/>
              </w:rPr>
              <w:t>Ponto crítico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r>
              <w:rPr>
                <w:b/>
                <w:bCs/>
                <w:color w:val="FFFFFF"/>
                <w:sz w:val="20"/>
                <w:szCs w:val="20"/>
              </w:rPr>
              <w:t>Semáforo</w:t>
            </w:r>
          </w:p>
        </w:tc>
      </w:tr>
      <w:tr w:rsidR="00940D7E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1 — IVCAD via NIS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NIS → consulta SAGI/MDS → vulnerabilidade familiar. Base: art. 7º V + reforço art. 7º I; não legítimo interesse isolado sobre vulnerável.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Revela condição socioeconômica de hipervulnerável; o próprio Router bloqueia Hook 1b.B1 até parecer (base legal, RIPD, consentimento, revogação, convênio MDS).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AMARELO</w:t>
            </w:r>
          </w:p>
        </w:tc>
      </w:tr>
      <w:tr w:rsidR="00940D7E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2 — IVS via CEP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CEP → Atlas IPEA/DNE → IVS/IDHM. Base: art. 7º V; dado mínimo, lookup público.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Baixo risco; ajuste apenas de transparência (art. 9º no fluxo).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VERDE</w:t>
            </w:r>
          </w:p>
        </w:tc>
      </w:tr>
      <w:tr w:rsidR="00940D7E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3 — IPH em tempo real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IVS × IVCAD escala atenção humana (IPH ≥ 0,25 → Tier 2+). Base: art. 6º + art. 20.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É perfilamento; mitiga-se porque escala cuidado humano e nunca reduz direito nem precifica (art. 20 revisão; art. 21 não-prejuízo).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AMARELO</w:t>
            </w:r>
          </w:p>
        </w:tc>
      </w:tr>
      <w:tr w:rsidR="00940D7E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4 — Canal TA automático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Logs WhatsApp → áudio/texto/presencial. Base: art. 7º V + LBI (acessibilidade).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Tratar como dado operacional de acessibilidade; não inferir deficiência a partir do canal (se inferir, migra ao art. 11).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VERDE</w:t>
            </w:r>
          </w:p>
        </w:tc>
      </w:tr>
      <w:tr w:rsidR="00940D7E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5 — Primeiro acesso INSS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Binário sim/não. Base: art. 7º V.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Baixíssima sensibilidade.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VERDE</w:t>
            </w:r>
          </w:p>
        </w:tc>
      </w:tr>
      <w:tr w:rsidR="00940D7E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6 — PcD + tipo CIF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PcD sim/não + tipo. DADO SENSÍVEL DE SAÚDE — art. 11.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Exige consentimento específico e destacado (art. 11, I); alínea “f” não socorre o MC (não é serviço de saúde); vedado interpretar CID/CIF como diagnóstico; eixo positivo na LBI (acessibilidade).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AMARELO</w:t>
            </w:r>
          </w:p>
        </w:tc>
      </w:tr>
      <w:tr w:rsidR="00940D7E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7 — Eventos Geração 2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Surveys (capability, justiça procedimental, custo administrativo). Base: art. 11, II “c” / art. 7º IX se anonimizado; consentimento se identificável.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Pesquisa: anonimizar ou consentir. Se “parcerias” tocarem captação → Prov. 205/2021 art. 2º VIII e EOA art. 34 IV; vedada linguagem persuasiva (Prov. art. 3º IV).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AMARELO</w:t>
            </w:r>
          </w:p>
        </w:tc>
      </w:tr>
    </w:tbl>
    <w:p w:rsidR="00940D7E" w:rsidRDefault="00940D7E">
      <w:pPr>
        <w:spacing w:after="120" w:line="276" w:lineRule="auto"/>
      </w:pPr>
    </w:p>
    <w:p w:rsidR="00940D7E" w:rsidRDefault="00C57DD8">
      <w:pPr>
        <w:spacing w:after="120" w:line="276" w:lineRule="auto"/>
      </w:pPr>
      <w:r>
        <w:rPr>
          <w:b/>
          <w:bCs/>
        </w:rPr>
        <w:t xml:space="preserve">Firewall de atividade-meio. </w:t>
      </w:r>
      <w:r>
        <w:t>Nenhum dos 7 hooks, isoladamente, promete resultado/prazo, exerce advocacia ou faz match comercial — são outputs de roteamento e cuidado. Os pontos de vigilância são o Hook 7/parcerias (não deixar virar captação — EOA art. 34, IV; Prov. 205/2021 art. 2º, VIII) e a garantia de que o IPH (Hook 3) roteia para cuidado/isenção, jamais para triagem de mérito jurídico ou precificação ascendente. O marketplace deve permanecer randomizado, sem comissão e desvinculado da marca MC (Prov. 205/2021 art. 8º).</w:t>
      </w:r>
    </w:p>
    <w:p w:rsidR="00940D7E" w:rsidRDefault="00C57DD8">
      <w:pPr>
        <w:spacing w:after="120" w:line="276" w:lineRule="auto"/>
      </w:pPr>
      <w:r>
        <w:rPr>
          <w:b/>
          <w:bCs/>
        </w:rPr>
        <w:t xml:space="preserve">D &gt; C &gt; V. </w:t>
      </w:r>
      <w:r>
        <w:t>A arquitetura está, neste eixo, do lado correto: dado de vulnerabilidade só reduz a régua de cobrança (isenção, Φ₃, modo degradado com zero penalização), nunca a aumenta. É isso que torna a coleta defensável — serve à dignidade, não à extração (reforço expresso do art. 21 da LGPD).</w:t>
      </w:r>
    </w:p>
    <w:p w:rsidR="00940D7E" w:rsidRDefault="00C57DD8">
      <w:pPr>
        <w:pStyle w:val="Ttulo1"/>
      </w:pPr>
      <w:r>
        <w:t>4. Matriz de risco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026"/>
        <w:gridCol w:w="1400"/>
        <w:gridCol w:w="2900"/>
      </w:tblGrid>
      <w:tr w:rsidR="00940D7E">
        <w:trPr>
          <w:tblHeader/>
        </w:trPr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r>
              <w:rPr>
                <w:b/>
                <w:bCs/>
                <w:color w:val="FFFFFF"/>
                <w:sz w:val="20"/>
                <w:szCs w:val="20"/>
              </w:rPr>
              <w:t>Eixo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r>
              <w:rPr>
                <w:b/>
                <w:bCs/>
                <w:color w:val="FFFFFF"/>
                <w:sz w:val="20"/>
                <w:szCs w:val="20"/>
              </w:rPr>
              <w:t>Foco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r>
              <w:rPr>
                <w:b/>
                <w:bCs/>
                <w:color w:val="FFFFFF"/>
                <w:sz w:val="20"/>
                <w:szCs w:val="20"/>
              </w:rPr>
              <w:t>Severidade</w:t>
            </w:r>
          </w:p>
        </w:tc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r>
              <w:rPr>
                <w:b/>
                <w:bCs/>
                <w:color w:val="FFFFFF"/>
                <w:sz w:val="20"/>
                <w:szCs w:val="20"/>
              </w:rPr>
              <w:t>Mitigação</w:t>
            </w:r>
          </w:p>
        </w:tc>
      </w:tr>
      <w:tr w:rsidR="00940D7E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LGPD / ANPD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Hook 1 (NIS sem base/RIPD) e Hook 6 (sensível sem consentimento destacado)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CBA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Alta</w:t>
            </w:r>
          </w:p>
        </w:tc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Base legal expressa; RIPD antes da produção; consentimento granular (C52); revogação ≤72h (C55).</w:t>
            </w:r>
          </w:p>
        </w:tc>
      </w:tr>
      <w:tr w:rsidR="00940D7E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LGPD — automação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Hook 3 (perfil/decisão automatizada)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Média</w:t>
            </w:r>
          </w:p>
        </w:tc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Documentar lógica; direito a revisão (art. 20); IPH só escala cuidado humano.</w:t>
            </w:r>
          </w:p>
        </w:tc>
      </w:tr>
      <w:tr w:rsidR="00940D7E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OAB / Firewall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Hook 7 (parcerias → captação) e marketplace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Média</w:t>
            </w:r>
          </w:p>
        </w:tc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Manter atividade-meio; sem indicação nominal nem comissão; Prov. 205/2021 e EOA art. 34, III/IV.</w:t>
            </w:r>
          </w:p>
        </w:tc>
      </w:tr>
      <w:tr w:rsidR="00940D7E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CFM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Hook 6 (CID/CIF)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Média</w:t>
            </w:r>
          </w:p>
        </w:tc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MC não interpreta código como diagnóstico (nó já previsto).</w:t>
            </w:r>
          </w:p>
        </w:tc>
      </w:tr>
      <w:tr w:rsidR="00940D7E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Consumerista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Uso de vulnerabilidade contra o titular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Baixa</w:t>
            </w:r>
          </w:p>
        </w:tc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Vedação a precificação por vulnerabilidade; Φ₁ flat; LGPD art. 21.</w:t>
            </w:r>
          </w:p>
        </w:tc>
      </w:tr>
      <w:tr w:rsidR="00940D7E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Reputacional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Percepção de “vigilância do pobre”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Média</w:t>
            </w:r>
          </w:p>
        </w:tc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940D7E" w:rsidRDefault="00C57DD8">
            <w:pPr>
              <w:spacing w:line="252" w:lineRule="auto"/>
            </w:pPr>
            <w:r>
              <w:rPr>
                <w:sz w:val="20"/>
                <w:szCs w:val="20"/>
              </w:rPr>
              <w:t>Transparência (art. 9º); consentimento legível (Teste Zilda-STF); minimização visível.</w:t>
            </w:r>
          </w:p>
        </w:tc>
      </w:tr>
    </w:tbl>
    <w:p w:rsidR="00940D7E" w:rsidRDefault="00C57DD8">
      <w:pPr>
        <w:pStyle w:val="Ttulo1"/>
      </w:pPr>
      <w:r>
        <w:t>5. Opções e recomendação técnica</w:t>
      </w:r>
    </w:p>
    <w:p w:rsidR="00940D7E" w:rsidRDefault="00C57DD8">
      <w:pPr>
        <w:spacing w:after="120" w:line="276" w:lineRule="auto"/>
      </w:pPr>
      <w:r>
        <w:rPr>
          <w:i/>
          <w:iCs/>
          <w:sz w:val="18"/>
          <w:szCs w:val="18"/>
        </w:rPr>
        <w:t>As opções abaixo são apresentadas para a deliberação da signatária; não constituem decisão.</w:t>
      </w:r>
    </w:p>
    <w:p w:rsidR="00940D7E" w:rsidRDefault="00C57DD8">
      <w:pPr>
        <w:spacing w:after="120" w:line="276" w:lineRule="auto"/>
      </w:pPr>
      <w:r>
        <w:rPr>
          <w:b/>
          <w:bCs/>
        </w:rPr>
        <w:t xml:space="preserve">Opção A — ratificar os 7 em bloco, sem ajustes. </w:t>
      </w:r>
      <w:r>
        <w:t>Não recomendada: deixaria Hooks 1 e 6 sem base/consentimento formal, com exposição real perante a ANPD.</w:t>
      </w:r>
    </w:p>
    <w:p w:rsidR="00940D7E" w:rsidRDefault="00C57DD8">
      <w:pPr>
        <w:spacing w:after="120" w:line="276" w:lineRule="auto"/>
      </w:pPr>
      <w:r>
        <w:rPr>
          <w:b/>
          <w:bCs/>
        </w:rPr>
        <w:t xml:space="preserve">Opção B — ratificar com ajustes seletivos (RECOMENDADA). </w:t>
      </w:r>
      <w:r>
        <w:t>Aprovar Hooks 2, 4 e 5 como estão (ajuste mínimo de transparência); aprovar Hooks 1, 3, 6 e 7 sob condicionantes, mantendo Hook 1b.B1 e a produção do Hook 6 bloqueados até base legal definida + RIPD + fluxo de consentimento — exatamente como o próprio Router-Ethics já prevê. Confiança técnica: média-alta; o que a alteraria é o conteúdo do pacote R3-Hornes, ainda não acessível.</w:t>
      </w:r>
    </w:p>
    <w:p w:rsidR="00940D7E" w:rsidRDefault="00C57DD8">
      <w:pPr>
        <w:spacing w:after="120" w:line="276" w:lineRule="auto"/>
      </w:pPr>
      <w:r>
        <w:rPr>
          <w:b/>
          <w:bCs/>
        </w:rPr>
        <w:t xml:space="preserve">Opção C — aprovar só os verdes e devolver 1/3/6/7 para nova rodada. </w:t>
      </w:r>
      <w:r>
        <w:t>Mais conservadora; custa velocidade de implementação.</w:t>
      </w:r>
    </w:p>
    <w:p w:rsidR="00940D7E" w:rsidRDefault="00C57DD8">
      <w:pPr>
        <w:pStyle w:val="Ttulo1"/>
      </w:pPr>
      <w:r>
        <w:t>6. Conclusão — decisão ratificada</w:t>
      </w:r>
    </w:p>
    <w:p w:rsidR="00940D7E" w:rsidRDefault="00C57DD8">
      <w:pPr>
        <w:spacing w:after="80" w:line="276" w:lineRule="auto"/>
      </w:pPr>
      <w:r>
        <w:rPr>
          <w:i/>
          <w:iCs/>
        </w:rPr>
        <w:t xml:space="preserve">Analisados os 7 Hooks de integração do Router-Ethics 11 à luz da LGPD, do Estatuto da Advocacia e dos atos da OAB, e da hierarquia D &gt; C &gt; V, RATIFICO A OPÇÃO B com a base verificada, nos seguintes termos: </w:t>
      </w:r>
    </w:p>
    <w:p w:rsidR="00940D7E" w:rsidRDefault="00C57DD8">
      <w:pPr>
        <w:pStyle w:val="PargrafodaLista"/>
        <w:numPr>
          <w:ilvl w:val="0"/>
          <w:numId w:val="2"/>
        </w:numPr>
        <w:spacing w:after="120" w:line="276" w:lineRule="auto"/>
      </w:pPr>
      <w:r>
        <w:rPr>
          <w:i/>
          <w:iCs/>
        </w:rPr>
        <w:t>ratificam-se os Hooks 2, 4 e 5 (execução de contrato, art. 7º V; dado mínimo e transparência, art. 9º);</w:t>
      </w:r>
    </w:p>
    <w:p w:rsidR="00940D7E" w:rsidRDefault="00C57DD8">
      <w:pPr>
        <w:pStyle w:val="PargrafodaLista"/>
        <w:numPr>
          <w:ilvl w:val="0"/>
          <w:numId w:val="2"/>
        </w:numPr>
        <w:spacing w:after="120" w:line="276" w:lineRule="auto"/>
      </w:pPr>
      <w:r>
        <w:rPr>
          <w:i/>
          <w:iCs/>
        </w:rPr>
        <w:t>ratificam-se condicionalmente os Hooks 1, 3, 6 e 7, nos termos: (i) Hook 1 — base na execução de contrato (art. 7º V) reforçada por consentimento específico (art. 7º I), vedado o legítimo interesse isolado; enriquecimento via NIS condicionado a RIPD e a consentimento granular com revogação facilitada (arts. 8º, 18); (ii) Hook 3 — documentar a lógica do IPH e o direito a revisão (art. 20), restrito a escalonar cuidado humano, sem reduzir direito nem precificar (art. 21); (iii) Hook 6 — dado sensível de saúde (art. 11), com consentimento específico e destacado (art. 11, I), inaplicável a alínea “f”, vedada a interpretação de CID/CIF como diagnóstico; (iv) Hook 7 — base de pesquisa mediante anonimização ou consentimento próprio e, havendo parceria, observância do Prov. CFOAB 205/2021 e do EOA art. 34;</w:t>
      </w:r>
    </w:p>
    <w:p w:rsidR="00940D7E" w:rsidRDefault="00C57DD8">
      <w:pPr>
        <w:pStyle w:val="PargrafodaLista"/>
        <w:numPr>
          <w:ilvl w:val="0"/>
          <w:numId w:val="2"/>
        </w:numPr>
        <w:spacing w:after="120" w:line="276" w:lineRule="auto"/>
      </w:pPr>
      <w:r>
        <w:rPr>
          <w:i/>
          <w:iCs/>
        </w:rPr>
        <w:t>em todos, mantêm-se o Firewall de atividade-meio e a vedação ao uso de dado de vulnerabilidade em prejuízo do titular.</w:t>
      </w:r>
    </w:p>
    <w:p w:rsidR="00940D7E" w:rsidRDefault="00C57DD8">
      <w:pPr>
        <w:spacing w:before="80" w:after="120" w:line="276" w:lineRule="auto"/>
      </w:pPr>
      <w:r>
        <w:rPr>
          <w:i/>
          <w:iCs/>
        </w:rPr>
        <w:t>Ressalva: a presente conclusão funda-se na fonte normativa verificada; permanece pendente, para reconciliação de redação por hook, o conteúdo do pacote R3-Hornes, sem prejuízo da fundamentação jurídica ora exposta.</w:t>
      </w:r>
    </w:p>
    <w:p w:rsidR="00940D7E" w:rsidRDefault="00C57DD8">
      <w:pPr>
        <w:pStyle w:val="Ttulo1"/>
      </w:pPr>
      <w:r>
        <w:t>7. Fontes citadas (com selo)</w:t>
      </w:r>
    </w:p>
    <w:p w:rsidR="00940D7E" w:rsidRDefault="00C57DD8">
      <w:pPr>
        <w:spacing w:after="120" w:line="276" w:lineRule="auto"/>
      </w:pPr>
      <w:r>
        <w:t>LGPD (Lei 13.709/2018) arts. 5º XVII, 6º, 7º, 8º, 9º, 11, 18, 20, 21, 38 — [VERIFICADO]. Estatuto da Advocacia (Lei 8.906/94) arts. 31, 32, 34 III/IV — [VERIFICADO]; art. 7º I (caput) — [FONTE PENDENTE]. Código de Ética OAB art. 39 — [VERIFICADO]. Provimento CFOAB 205/2021 arts. 2º VIII, 3º, 8º — [VERIFICADO]. LBI (Lei 13.146/2015) arts. 2º §1º, 3º I — [VERIFICADO]. REsp 2.079.440/RO (STJ, 3ª Turma, Min. Nancy Andrighi) — [VERIFICADO]. PL 2338/2023 — [É PROJETO, não vigente]. Pacote R3-Hornes (.md) — [NÃO LOCALIZADA].</w:t>
      </w:r>
    </w:p>
    <w:p w:rsidR="00940D7E" w:rsidRDefault="00C57DD8">
      <w:pPr>
        <w:pStyle w:val="Ttulo1"/>
      </w:pPr>
      <w:r>
        <w:t>8. Veredito da signatária</w:t>
      </w:r>
    </w:p>
    <w:p w:rsidR="00E56CD9" w:rsidRDefault="0005000A">
      <w:pPr>
        <w:spacing w:before="120" w:after="120"/>
      </w:pPr>
      <w:r>
        <w:rPr>
          <w:b/>
          <w:bCs/>
          <w:sz w:val="24"/>
          <w:szCs w:val="24"/>
        </w:rPr>
        <w:t>☑</w:t>
      </w:r>
      <w:r>
        <w:rPr>
          <w:b/>
          <w:bCs/>
          <w:sz w:val="24"/>
          <w:szCs w:val="24"/>
        </w:rPr>
        <w:t xml:space="preserve"> Ratifico a Opção B com a base verif</w:t>
      </w:r>
      <w:r>
        <w:rPr>
          <w:b/>
          <w:bCs/>
          <w:sz w:val="24"/>
          <w:szCs w:val="24"/>
        </w:rPr>
        <w:t>icada</w:t>
      </w:r>
    </w:p>
    <w:p w:rsidR="00E56CD9" w:rsidRDefault="0005000A">
      <w:pPr>
        <w:spacing w:after="120" w:line="276" w:lineRule="auto"/>
      </w:pPr>
      <w:r>
        <w:rPr>
          <w:b/>
          <w:bCs/>
        </w:rPr>
        <w:t xml:space="preserve">Observações: </w:t>
      </w:r>
      <w:r>
        <w:t>Nenhuma. A base normativa está integralmente verificada com selo Proof-First. A ressalva quanto à reconciliação do pacote R3-Hornes permanece por transparência e não impede a ratificação.</w:t>
      </w:r>
    </w:p>
    <w:p w:rsidR="00E56CD9" w:rsidRDefault="0005000A">
      <w:pPr>
        <w:spacing w:before="80" w:after="160"/>
      </w:pPr>
      <w:r>
        <w:rPr>
          <w:b/>
          <w:bCs/>
        </w:rPr>
        <w:t xml:space="preserve">Data: </w:t>
      </w:r>
      <w:r>
        <w:t>06 de junho de 2026</w:t>
      </w:r>
    </w:p>
    <w:p w:rsidR="00E56CD9" w:rsidRDefault="00E56CD9">
      <w:pPr>
        <w:pBdr>
          <w:top w:val="single" w:sz="6" w:space="6" w:color="000000"/>
        </w:pBdr>
        <w:spacing w:before="360"/>
        <w:jc w:val="center"/>
      </w:pPr>
    </w:p>
    <w:p w:rsidR="00E56CD9" w:rsidRDefault="0005000A">
      <w:pPr>
        <w:spacing w:before="80"/>
        <w:jc w:val="center"/>
      </w:pPr>
      <w:r>
        <w:rPr>
          <w:b/>
          <w:bCs/>
        </w:rPr>
        <w:t>Dra. Juliana Pereira d</w:t>
      </w:r>
      <w:r>
        <w:rPr>
          <w:b/>
          <w:bCs/>
        </w:rPr>
        <w:t>e Melo</w:t>
      </w:r>
    </w:p>
    <w:p w:rsidR="00E56CD9" w:rsidRDefault="0005000A">
      <w:pPr>
        <w:jc w:val="center"/>
      </w:pPr>
      <w:r>
        <w:t>OAB-GO 38.662</w:t>
      </w:r>
    </w:p>
    <w:p w:rsidR="00E56CD9" w:rsidRDefault="0005000A">
      <w:pPr>
        <w:spacing w:after="120"/>
        <w:jc w:val="center"/>
      </w:pPr>
      <w:r>
        <w:rPr>
          <w:color w:val="666666"/>
          <w:sz w:val="20"/>
          <w:szCs w:val="20"/>
        </w:rPr>
        <w:t>Ratificado em 06/06/2026</w:t>
      </w:r>
    </w:p>
    <w:p w:rsidR="00C45932" w:rsidRDefault="00C45932">
      <w:pPr>
        <w:spacing w:after="120" w:line="276" w:lineRule="auto"/>
        <w:jc w:val="center"/>
      </w:pPr>
    </w:p>
    <w:p w:rsidR="00C45932" w:rsidRDefault="00C45932">
      <w:pPr>
        <w:spacing w:after="120" w:line="276" w:lineRule="auto"/>
        <w:jc w:val="center"/>
      </w:pPr>
    </w:p>
    <w:sectPr w:rsidR="00C4593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5000A" w:rsidRDefault="0005000A">
      <w:r>
        <w:separator/>
      </w:r>
    </w:p>
  </w:endnote>
  <w:endnote w:type="continuationSeparator" w:id="0">
    <w:p w:rsidR="0005000A" w:rsidRDefault="000500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40D7E" w:rsidRDefault="00C57DD8">
    <w:pPr>
      <w:pBdr>
        <w:top w:val="single" w:sz="4" w:space="4" w:color="1F3864"/>
      </w:pBdr>
      <w:tabs>
        <w:tab w:val="right" w:pos="9026"/>
      </w:tabs>
      <w:spacing w:before="40"/>
    </w:pPr>
    <w:r>
      <w:rPr>
        <w:color w:val="808080"/>
        <w:sz w:val="14"/>
        <w:szCs w:val="14"/>
      </w:rPr>
      <w:t xml:space="preserve">Meu Cumpadre · Parecer R3-Hornes-7Hooks v1.1 RATIFICADO · D &gt; C &gt; V · Provérbios 31:8 · Independência do parecerista preservada (Lei 8.906/94, art. 18) · Pág. </w:t>
    </w:r>
    <w:r>
      <w:rPr>
        <w:color w:val="808080"/>
        <w:sz w:val="14"/>
        <w:szCs w:val="14"/>
      </w:rPr>
      <w:fldChar w:fldCharType="begin"/>
    </w:r>
    <w:r>
      <w:rPr>
        <w:color w:val="808080"/>
        <w:sz w:val="14"/>
        <w:szCs w:val="14"/>
      </w:rPr>
      <w:instrText>PAGE</w:instrText>
    </w:r>
    <w:r>
      <w:rPr>
        <w:color w:val="808080"/>
        <w:sz w:val="14"/>
        <w:szCs w:val="14"/>
      </w:rPr>
      <w:fldChar w:fldCharType="separate"/>
    </w:r>
    <w:r w:rsidR="003D2D57">
      <w:rPr>
        <w:noProof/>
        <w:color w:val="808080"/>
        <w:sz w:val="14"/>
        <w:szCs w:val="14"/>
      </w:rPr>
      <w:t>1</w:t>
    </w:r>
    <w:r>
      <w:rPr>
        <w:color w:val="808080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5000A" w:rsidRDefault="0005000A">
      <w:r>
        <w:separator/>
      </w:r>
    </w:p>
  </w:footnote>
  <w:footnote w:type="continuationSeparator" w:id="0">
    <w:p w:rsidR="0005000A" w:rsidRDefault="000500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40D7E" w:rsidRDefault="00C57DD8">
    <w:pPr>
      <w:pBdr>
        <w:bottom w:val="single" w:sz="4" w:space="4" w:color="1F3864"/>
      </w:pBdr>
      <w:spacing w:after="40"/>
      <w:jc w:val="right"/>
    </w:pPr>
    <w:r>
      <w:rPr>
        <w:color w:val="1F3864"/>
        <w:sz w:val="16"/>
        <w:szCs w:val="16"/>
      </w:rPr>
      <w:t>Dra. Juliana Pereira de Melo — OAB-GO 38.662 · Assessoria Jurídica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EB2A43"/>
    <w:multiLevelType w:val="multilevel"/>
    <w:tmpl w:val="EB800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95D90"/>
    <w:multiLevelType w:val="hybridMultilevel"/>
    <w:tmpl w:val="62CA5C46"/>
    <w:lvl w:ilvl="0" w:tplc="74F8E00A">
      <w:start w:val="1"/>
      <w:numFmt w:val="bullet"/>
      <w:lvlText w:val="●"/>
      <w:lvlJc w:val="left"/>
      <w:pPr>
        <w:ind w:left="720" w:hanging="360"/>
      </w:pPr>
    </w:lvl>
    <w:lvl w:ilvl="1" w:tplc="83F83708">
      <w:start w:val="1"/>
      <w:numFmt w:val="bullet"/>
      <w:lvlText w:val="○"/>
      <w:lvlJc w:val="left"/>
      <w:pPr>
        <w:ind w:left="1440" w:hanging="360"/>
      </w:pPr>
    </w:lvl>
    <w:lvl w:ilvl="2" w:tplc="8B047EB2">
      <w:start w:val="1"/>
      <w:numFmt w:val="bullet"/>
      <w:lvlText w:val="■"/>
      <w:lvlJc w:val="left"/>
      <w:pPr>
        <w:ind w:left="2160" w:hanging="360"/>
      </w:pPr>
    </w:lvl>
    <w:lvl w:ilvl="3" w:tplc="0972BEEA">
      <w:start w:val="1"/>
      <w:numFmt w:val="bullet"/>
      <w:lvlText w:val="●"/>
      <w:lvlJc w:val="left"/>
      <w:pPr>
        <w:ind w:left="2880" w:hanging="360"/>
      </w:pPr>
    </w:lvl>
    <w:lvl w:ilvl="4" w:tplc="86CCCCD0">
      <w:start w:val="1"/>
      <w:numFmt w:val="bullet"/>
      <w:lvlText w:val="○"/>
      <w:lvlJc w:val="left"/>
      <w:pPr>
        <w:ind w:left="3600" w:hanging="360"/>
      </w:pPr>
    </w:lvl>
    <w:lvl w:ilvl="5" w:tplc="CD76CA1A">
      <w:start w:val="1"/>
      <w:numFmt w:val="bullet"/>
      <w:lvlText w:val="■"/>
      <w:lvlJc w:val="left"/>
      <w:pPr>
        <w:ind w:left="4320" w:hanging="360"/>
      </w:pPr>
    </w:lvl>
    <w:lvl w:ilvl="6" w:tplc="02F822A8">
      <w:start w:val="1"/>
      <w:numFmt w:val="bullet"/>
      <w:lvlText w:val="●"/>
      <w:lvlJc w:val="left"/>
      <w:pPr>
        <w:ind w:left="5040" w:hanging="360"/>
      </w:pPr>
    </w:lvl>
    <w:lvl w:ilvl="7" w:tplc="E3722242">
      <w:start w:val="1"/>
      <w:numFmt w:val="bullet"/>
      <w:lvlText w:val="●"/>
      <w:lvlJc w:val="left"/>
      <w:pPr>
        <w:ind w:left="5760" w:hanging="360"/>
      </w:pPr>
    </w:lvl>
    <w:lvl w:ilvl="8" w:tplc="A1F25C6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C914A72"/>
    <w:multiLevelType w:val="hybridMultilevel"/>
    <w:tmpl w:val="6C7675A0"/>
    <w:lvl w:ilvl="0" w:tplc="D738285C">
      <w:start w:val="1"/>
      <w:numFmt w:val="lowerLetter"/>
      <w:lvlText w:val="%1)"/>
      <w:lvlJc w:val="left"/>
      <w:pPr>
        <w:ind w:left="600" w:hanging="320"/>
      </w:pPr>
    </w:lvl>
    <w:lvl w:ilvl="1" w:tplc="9BAA4192">
      <w:numFmt w:val="decimal"/>
      <w:lvlText w:val=""/>
      <w:lvlJc w:val="left"/>
    </w:lvl>
    <w:lvl w:ilvl="2" w:tplc="0090038A">
      <w:numFmt w:val="decimal"/>
      <w:lvlText w:val=""/>
      <w:lvlJc w:val="left"/>
    </w:lvl>
    <w:lvl w:ilvl="3" w:tplc="3FA2841E">
      <w:numFmt w:val="decimal"/>
      <w:lvlText w:val=""/>
      <w:lvlJc w:val="left"/>
    </w:lvl>
    <w:lvl w:ilvl="4" w:tplc="E3CA7F28">
      <w:numFmt w:val="decimal"/>
      <w:lvlText w:val=""/>
      <w:lvlJc w:val="left"/>
    </w:lvl>
    <w:lvl w:ilvl="5" w:tplc="C2BE6702">
      <w:numFmt w:val="decimal"/>
      <w:lvlText w:val=""/>
      <w:lvlJc w:val="left"/>
    </w:lvl>
    <w:lvl w:ilvl="6" w:tplc="2D1E1DBE">
      <w:numFmt w:val="decimal"/>
      <w:lvlText w:val=""/>
      <w:lvlJc w:val="left"/>
    </w:lvl>
    <w:lvl w:ilvl="7" w:tplc="6F686124">
      <w:numFmt w:val="decimal"/>
      <w:lvlText w:val=""/>
      <w:lvlJc w:val="left"/>
    </w:lvl>
    <w:lvl w:ilvl="8" w:tplc="FCF4D88C">
      <w:numFmt w:val="decimal"/>
      <w:lvlText w:val=""/>
      <w:lvlJc w:val="left"/>
    </w:lvl>
  </w:abstractNum>
  <w:abstractNum w:abstractNumId="3" w15:restartNumberingAfterBreak="0">
    <w:nsid w:val="755938CF"/>
    <w:multiLevelType w:val="multilevel"/>
    <w:tmpl w:val="59F4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D7E"/>
    <w:rsid w:val="0005000A"/>
    <w:rsid w:val="000B508D"/>
    <w:rsid w:val="00142D87"/>
    <w:rsid w:val="003D2D57"/>
    <w:rsid w:val="00764DA6"/>
    <w:rsid w:val="007D73C5"/>
    <w:rsid w:val="00940D7E"/>
    <w:rsid w:val="00B80786"/>
    <w:rsid w:val="00C45932"/>
    <w:rsid w:val="00C57DD8"/>
    <w:rsid w:val="00E56CD9"/>
    <w:rsid w:val="00FC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AAC006B-4765-427A-A91F-9047D4C09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40"/>
      <w:outlineLvl w:val="0"/>
    </w:pPr>
    <w:rPr>
      <w:b/>
      <w:bCs/>
      <w:color w:val="1F3864"/>
      <w:sz w:val="26"/>
      <w:szCs w:val="26"/>
    </w:rPr>
  </w:style>
  <w:style w:type="paragraph" w:styleId="Ttulo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1F3864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4593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ontepargpadro"/>
    <w:uiPriority w:val="99"/>
    <w:semiHidden/>
    <w:unhideWhenUsed/>
    <w:rsid w:val="00C45932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7D73C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7D73C5"/>
    <w:rPr>
      <w:b/>
      <w:bCs/>
    </w:rPr>
  </w:style>
  <w:style w:type="character" w:styleId="nfase">
    <w:name w:val="Emphasis"/>
    <w:basedOn w:val="Fontepargpadro"/>
    <w:uiPriority w:val="20"/>
    <w:qFormat/>
    <w:rsid w:val="007D73C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9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1906</Words>
  <Characters>10293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Beto</cp:lastModifiedBy>
  <cp:revision>2</cp:revision>
  <dcterms:created xsi:type="dcterms:W3CDTF">2026-06-07T06:38:00Z</dcterms:created>
  <dcterms:modified xsi:type="dcterms:W3CDTF">2026-06-07T06:38:00Z</dcterms:modified>
</cp:coreProperties>
</file>