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9F2DC" w:color="auto" w:val="clear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pPr>
              <w:spacing w:after="35"/>
            </w:pPr>
            <w:r>
              <w:rPr>
                <w:b/>
                <w:bCs/>
                <w:sz w:val="18"/>
                <w:szCs w:val="18"/>
              </w:rPr>
              <w:t xml:space="preserve">GATE R3 RATIFICADO v1.1 — SELADO PELA SIGNATÁRIA. </w:t>
            </w:r>
            <w:r>
              <w:rPr>
                <w:sz w:val="18"/>
                <w:szCs w:val="18"/>
              </w:rPr>
              <w:t xml:space="preserve">A signatária LIBEROU COM AJUSTES o uso externo do Briefing de Narração Pública (Opção A) em 07/06/2026: deslocamento do guarda-chuva, sobriedade no uso do nome, Nubank como inclusão, e selagem casada com o encargo (2). A responsabilidade técnica e a assinatura são exclusivas da advogada signatária.</w:t>
            </w:r>
          </w:p>
        </w:tc>
      </w:tr>
    </w:tbl>
    <w:p>
      <w:pPr>
        <w:spacing w:after="40" w:before="160"/>
        <w:jc w:val="center"/>
      </w:pPr>
      <w:r>
        <w:rPr>
          <w:b/>
          <w:bCs/>
          <w:sz w:val="32"/>
          <w:szCs w:val="32"/>
        </w:rPr>
        <w:t xml:space="preserve">PARECER — GATE R3 (RATIFICADO)</w:t>
      </w:r>
    </w:p>
    <w:p>
      <w:pPr>
        <w:spacing w:after="150"/>
        <w:jc w:val="center"/>
      </w:pPr>
      <w:r>
        <w:rPr>
          <w:i/>
          <w:iCs/>
          <w:color w:val="1F3864"/>
          <w:sz w:val="22"/>
          <w:szCs w:val="22"/>
        </w:rPr>
        <w:t xml:space="preserve">Liberação da Narração Pública do MC — Briefing de Léxico Blindado v0.1 (uso externo)</w:t>
      </w:r>
    </w:p>
    <w:p>
      <w:pPr>
        <w:spacing w:after="40" w:before="40"/>
        <w:jc w:val="center"/>
      </w:pPr>
      <w:r>
        <w:rPr>
          <w:b/>
          <w:bCs/>
          <w:color w:val="1F3864"/>
          <w:sz w:val="22"/>
          <w:szCs w:val="22"/>
        </w:rPr>
        <w:t xml:space="preserve">RATIFICADO PELA SIGNATÁRIA — VERSÃO SELADA v1.1</w:t>
      </w:r>
    </w:p>
    <w:p>
      <w:pPr>
        <w:spacing w:after="150"/>
        <w:jc w:val="both"/>
      </w:pPr>
      <w:r>
        <w:rPr>
          <w:sz w:val="18"/>
          <w:szCs w:val="18"/>
        </w:rPr>
        <w:t xml:space="preserve">Esta liberação produz efeitos a partir da data da ratificação abaixo, condicionada aos ajustes e ao encargo (2). Qualquer reprodução ou uso deve preservar a autoria exclusiva da signatária e o contexto do Firewall de atividade-meio.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Conteúdo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Consulente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Meu Cumpadre — Orquestração Documental e Tecnologia Ltda. (CNAE 6201-5/01)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Signatária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Dra. Juliana Pereira de Melo — OAB-GO 38.662 (atividade-fim · titular do ato privativo)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Artefato em revisão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Briefing de Léxico Blindado para Narração Pública v0.1 PROVISIONAL. Lastro: vídeo “Nova Ordem na Advocacia · IA” (modelo a distinguir). Executa o encargo (3) do Parecer Ementa 069 v1.2.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Local e data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Goiânia-GO, 7 de junho de 2026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Hierarquia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Dignidade &gt; Compliance &gt; Viabilidade (D &gt; C &gt; V)</w:t>
            </w:r>
          </w:p>
        </w:tc>
      </w:tr>
    </w:tbl>
    <w:p>
      <w:pPr>
        <w:spacing w:after="110" w:before="250"/>
      </w:pPr>
      <w:r>
        <w:rPr>
          <w:b/>
          <w:bCs/>
          <w:color w:val="1F3864"/>
          <w:sz w:val="25"/>
          <w:szCs w:val="25"/>
        </w:rPr>
        <w:t xml:space="preserve">1. Matéria e pergunta jurídica</w:t>
      </w:r>
    </w:p>
    <w:p>
      <w:pPr>
        <w:spacing w:after="110" w:line="276" w:lineRule="auto"/>
        <w:jc w:val="both"/>
      </w:pPr>
      <w:r>
        <w:t xml:space="preserve">Matéria: publicidade na advocacia (Provimento CFOAB 205/2021) e firewall ato-meio × ato privativo (Ementa 069/2024/OEP) aplicados a uma narração pública do MC, em canal externo, que menciona a advogada parceira e a sua tese. Pergunta: (i) o briefing mantém o MC, na comunicação, dentro da atividade-meio (encargo selado §6/§8 da Ementa 069)? (ii) pode ser liberado ao narrador — e com que ajustes? (iii) a signatária autoriza ser nomeada como parceira independente e como fonte da tese?</w:t>
      </w:r>
    </w:p>
    <w:p>
      <w:pPr>
        <w:spacing w:after="110" w:line="276" w:lineRule="auto"/>
        <w:jc w:val="both"/>
      </w:pPr>
      <w:r>
        <w:rPr>
          <w:i/>
          <w:iCs/>
          <w:sz w:val="19"/>
          <w:szCs w:val="19"/>
        </w:rPr>
        <w:t xml:space="preserve">Firewall: comunicação externa que toca a OAB. O MC prepara (atividade-meio); a liberação é da signatária (atividade-fim). Este parecer executa o gate R3.</w:t>
      </w:r>
    </w:p>
    <w:p>
      <w:pPr>
        <w:spacing w:after="110" w:before="250"/>
      </w:pPr>
      <w:r>
        <w:rPr>
          <w:b/>
          <w:bCs/>
          <w:color w:val="1F3864"/>
          <w:sz w:val="25"/>
          <w:szCs w:val="25"/>
        </w:rPr>
        <w:t xml:space="preserve">2. Base normativa (com selo Proof-First)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4726"/>
        <w:gridCol w:w="1200"/>
      </w:tblGrid>
      <w:tr>
        <w:trPr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Norma / fonte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Conteúdo pertinente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Selo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Prov. CFOAB 205/2021 (art. 3º, V; 4º §§2º/3º; 5º §3º; Anexo Único) + CED art. 40/44/46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Publicidade só informativa; vedada captação/indução à contratação; vedada menção a resultados; sobriedade e discrição, sem mercantilização nem sensacionalismo; uso de app para responder consulta a não-cliente = mercantilização.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[VERIFICADO no Project]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EOA (Lei 8.906/94) art. 1º, II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Privativas: consultoria, assessoria e direção jurídicas — não o ato material de requerer.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[VERIFICADO]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Parecer Ementa 069 v1.2 RATIFICADO (07/06/2026) — §3/§6/§8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Eficácia da tese depende de o MC permanecer “de fato e na comunicação” na atividade-meio; encargo (3) = blindar léxico; fiscalização ATIVA da OAB (ACPs).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[VERIFICADO — selado]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OAB-SP Parecer E-5.142/2018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Postulação administrativa no INSS não é privativa — base da “defesa de bolso” remetida à parceirista.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[VERIFICADO via web]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Convenção do Parecerista v1.1 (§12) · Prov. 205/2021 (uso do nome/OAB)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Uso do nome e da OAB da parceirista em comunicação institucional segue o regime de publicidade (sobriedade; sem captação/mercantilização).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[VERIFICADO — selado]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Contexto de fiscalização (ACPs OAB-SP/RJ/CE/BA)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Ofensiva ativa contra plataformas de “consultoria previdenciária” e modelo escritório-IA/advogado-cativo (alvo do vídeo-lastro).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[VERIFICADO via web]</w:t>
            </w:r>
          </w:p>
        </w:tc>
      </w:tr>
    </w:tbl>
    <w:p>
      <w:pPr>
        <w:spacing w:after="110" w:before="250"/>
      </w:pPr>
      <w:r>
        <w:rPr>
          <w:b/>
          <w:bCs/>
          <w:color w:val="1F3864"/>
          <w:sz w:val="25"/>
          <w:szCs w:val="25"/>
        </w:rPr>
        <w:t xml:space="preserve">3. Análise — confronto do briefing × base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Onde o briefing está sólido (🟢)</w:t>
      </w:r>
    </w:p>
    <w:p>
      <w:pPr>
        <w:spacing w:after="110" w:line="276" w:lineRule="auto"/>
        <w:jc w:val="both"/>
      </w:pPr>
      <w:r>
        <w:t xml:space="preserve">O briefing executa fielmente o encargo (3). A tabela léxico usar/evitar veda exatamente os termos de risco (“consultoria/assessoria”, “marketplace de advogados”, “escritório com IA”, “legaltech”, promessa de resultado/48h, “valuation/ARR”, “advogada que assina a operação”, “Nubank do direito”). As linhas vermelhas alinham-se ao Prov. 205/2021 (vedação de captação e de menção a resultado) e ao firewall da Ementa 069. A “defesa de bolso” remete à parceirista — o MC não argumenta Direito —, e mantém o STJ/TRF como [A CONFERIR], fiel ao parecer selado. A narração distingue o MC do modelo do vídeo (escritório-IA/advogado-cativo + valuation), que é justamente o alvo das ACPs.</w:t>
      </w:r>
    </w:p>
    <w:p>
      <w:pPr>
        <w:spacing w:after="60" w:before="160"/>
      </w:pPr>
      <w:r>
        <w:rPr>
          <w:b/>
          <w:bCs/>
          <w:color w:val="9C2A2A"/>
          <w:sz w:val="21"/>
          <w:szCs w:val="21"/>
        </w:rPr>
        <w:t xml:space="preserve">Onde precisa de ajuste (🟡)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9DD" w:color="auto" w:val="clear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pPr>
              <w:spacing w:after="35"/>
            </w:pPr>
            <w:r>
              <w:rPr>
                <w:b/>
                <w:bCs/>
                <w:color w:val="9C2A2A"/>
              </w:rPr>
              <w:t xml:space="preserve">Risco principal — associação pelo guarda-chuva. </w:t>
            </w:r>
            <w:r>
              <w:t xml:space="preserve">O canal e o bordão “Nova Ordem na Advocacia” são o mesmo guarda-chuva do vídeo-lastro, que promove o modelo atacado pelas ACPs. Mesmo com léxico perfeito, narrar o MC sob esse guarda-chuva cria risco de CONFUSÃO com quem está do lado errado da linha — exatamente o que a fiscalização ativa procura. A Sister Anciã está correta. Recomenda-se DESLOCAR o guarda-chuva para uma chave centrada no cidadão (ex.: “nova porta de acesso à cidadania”, “inclusão digital do invisível”), e ponderar o próprio canal: a moldura preexistente do canal (“advocacia disruptada”) pode contaminar a mensagem do MC independentemente do léxico.</w:t>
            </w:r>
          </w:p>
        </w:tc>
      </w:tr>
    </w:tbl>
    <w:p>
      <w:pPr>
        <w:spacing w:after="110" w:line="276" w:lineRule="auto"/>
        <w:jc w:val="both"/>
      </w:pPr>
      <w:r>
        <w:rPr>
          <w:b/>
          <w:bCs/>
        </w:rPr>
        <w:t xml:space="preserve">Uso do nome e da tese da signatária (decisão dela). </w:t>
      </w:r>
      <w:r>
        <w:t xml:space="preserve">Nomear a advogada publicamente, numa narração de marketing, e apresentá-la como fonte de uma tese contrária a uma ementa do CFOAB, atrai exposição. O Prov. 205/2021 admite o uso do nome/OAB, mas exige sobriedade, sem captação nem mercantilização. Tecnicamente, é mais prudente, na peça pública, referir “uma parceira jurídica independente” de forma genérica e reservar a identificação nominal ao contexto institucional/contratual e à resposta a eventual notificação. A autorização — e o fraseado — são da signatária.</w:t>
      </w:r>
    </w:p>
    <w:p>
      <w:pPr>
        <w:spacing w:after="110" w:line="276" w:lineRule="auto"/>
        <w:jc w:val="both"/>
      </w:pPr>
      <w:r>
        <w:rPr>
          <w:b/>
          <w:bCs/>
        </w:rPr>
        <w:t xml:space="preserve">Analogia Nubank. </w:t>
      </w:r>
      <w:r>
        <w:t xml:space="preserve">Sustenta-se enquanto “efeito causal de inclusão do excluído” (o briefing já veda “Nubank do direito”). Resta risco residual de soar como “fintech disruptora” do mercado jurídico ao ouvido leigo; mitigável mantendo o foco no cidadão, não no mercado.</w:t>
      </w:r>
    </w:p>
    <w:p>
      <w:pPr>
        <w:spacing w:after="110" w:line="276" w:lineRule="auto"/>
        <w:jc w:val="both"/>
      </w:pPr>
      <w:r>
        <w:rPr>
          <w:b/>
          <w:bCs/>
        </w:rPr>
        <w:t xml:space="preserve">Firewall (lado MC). </w:t>
      </w:r>
      <w:r>
        <w:t xml:space="preserve">O briefing não oferta serviço jurídico, não promete resultado e não pratica advocacia. O ponto a vigiar é que o MC não se torne o veículo que faz publicidade dos serviços da advogada — daí a recomendação de sobriedade e de identificação nominal contida.</w:t>
      </w:r>
    </w:p>
    <w:p>
      <w:pPr>
        <w:spacing w:after="110" w:before="250"/>
      </w:pPr>
      <w:r>
        <w:rPr>
          <w:b/>
          <w:bCs/>
          <w:color w:val="1F3864"/>
          <w:sz w:val="25"/>
          <w:szCs w:val="25"/>
        </w:rPr>
        <w:t xml:space="preserve">4. Matriz de risco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26"/>
        <w:gridCol w:w="12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Eixo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Foco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Sever.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Mitigação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OAB — associação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MC confundido com modelo escritório-IA/“consultoria” (alvo das ACPs) pelo guarda-chuva do canal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DEDE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Média-Alta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Deslocar o guarda-chuva; ponderar o canal; foco no cidadão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OAB — publicidade (Prov. 205)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Nomear a advogada/serviço pode soar captação/mercantilização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1D6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Média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Sobriedade; “parceira independente” genérica na peça pública; nome no contexto institucional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Firewall ato-meio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Narração que oferte serviço/resultado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Baixa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Léxico e linhas vermelhas já vedam (briefing sólido)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Reputacional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Soar “fintech disruptora” do mercado jurídico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1D6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Média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Nubank só como inclusão causal; foco no invisível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Consistência interna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Drift “três advogadas” (encargo 2 pendente)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1D6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Média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Selar junto com a reescrita do §7 (Opção C)</w:t>
            </w:r>
          </w:p>
        </w:tc>
      </w:tr>
    </w:tbl>
    <w:p>
      <w:pPr>
        <w:spacing w:after="110" w:before="250"/>
      </w:pPr>
      <w:r>
        <w:rPr>
          <w:b/>
          <w:bCs/>
          <w:color w:val="1F3864"/>
          <w:sz w:val="25"/>
          <w:szCs w:val="25"/>
        </w:rPr>
        <w:t xml:space="preserve">5. Opções e recomendação técnica</w:t>
      </w:r>
    </w:p>
    <w:p>
      <w:pPr>
        <w:spacing w:after="110" w:line="276" w:lineRule="auto"/>
        <w:jc w:val="both"/>
      </w:pPr>
      <w:r>
        <w:rPr>
          <w:i/>
          <w:iCs/>
          <w:sz w:val="18"/>
          <w:szCs w:val="18"/>
        </w:rPr>
        <w:t xml:space="preserve">As opções são para a deliberação da signatária; não constituem decisão.</w:t>
      </w:r>
    </w:p>
    <w:p>
      <w:pPr>
        <w:spacing w:after="110" w:line="276" w:lineRule="auto"/>
        <w:jc w:val="both"/>
      </w:pPr>
      <w:r>
        <w:rPr>
          <w:b/>
          <w:bCs/>
        </w:rPr>
        <w:t xml:space="preserve">Opção A — LIBERAR COM AJUSTES (RECOMENDADA). </w:t>
      </w:r>
      <w:r>
        <w:t xml:space="preserve">Briefing sólido; liberar condicionado a: (a) deslocar o guarda-chuva “nova ordem na advocacia” para chave centrada no cidadão; (b) sobriedade no uso do nome (referência genérica a “parceira independente” na peça pública); (c) reforçar Nubank-como-inclusão; (d) selar junto com o encargo (2) (reescrita do §7 à Opção C).</w:t>
      </w:r>
    </w:p>
    <w:p>
      <w:pPr>
        <w:spacing w:after="110" w:line="276" w:lineRule="auto"/>
        <w:jc w:val="both"/>
      </w:pPr>
      <w:r>
        <w:rPr>
          <w:b/>
          <w:bCs/>
        </w:rPr>
        <w:t xml:space="preserve">Opção B — LIBERAR como está. </w:t>
      </w:r>
      <w:r>
        <w:t xml:space="preserve">NÃO RECOMENDADA: mantém o guarda-chuva de associação e a nomeação ampla, sob fiscalização ativa.</w:t>
      </w:r>
    </w:p>
    <w:p>
      <w:pPr>
        <w:spacing w:after="110" w:line="276" w:lineRule="auto"/>
        <w:jc w:val="both"/>
      </w:pPr>
      <w:r>
        <w:rPr>
          <w:b/>
          <w:bCs/>
        </w:rPr>
        <w:t xml:space="preserve">Opção C — NÃO LIBERAR agora. </w:t>
      </w:r>
      <w:r>
        <w:t xml:space="preserve">Aguardar a reescrita do §7 e a definição do canal/guarda-chuva antes de qualquer uso externo. Mais conservadora.</w:t>
      </w:r>
    </w:p>
    <w:p>
      <w:pPr>
        <w:spacing w:after="110" w:line="276" w:lineRule="auto"/>
        <w:jc w:val="both"/>
      </w:pPr>
      <w:r>
        <w:rPr>
          <w:b/>
          <w:bCs/>
          <w:color w:val="1F6B3B"/>
        </w:rPr>
        <w:t xml:space="preserve">Recomendação técnica: Opção A</w:t>
      </w:r>
      <w:r>
        <w:t xml:space="preserve">. O léxico está bem blindado; os ajustes são de enquadramento (guarda-chuva e nome) e de coerência (encargo 2). A decisão e o fraseado são da signatária.</w:t>
      </w:r>
    </w:p>
    <w:p>
      <w:pPr>
        <w:spacing w:after="110" w:before="250"/>
      </w:pPr>
      <w:r>
        <w:rPr>
          <w:b/>
          <w:bCs/>
          <w:color w:val="1F3864"/>
          <w:sz w:val="25"/>
          <w:szCs w:val="25"/>
        </w:rPr>
        <w:t xml:space="preserve">6. Respostas técnicas às 6 perguntas de selagem</w:t>
      </w:r>
    </w:p>
    <w:tbl>
      <w:tblPr>
        <w:tblW w:type="dxa" w:w="8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26"/>
        <w:gridCol w:w="300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Pergunta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Recomendação técnica (a Dra. decide)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Liberação geral — mantém o MC na atividade-meio?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Sim, na comunicação → LIBERAR COM AJUSTES.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Guarda-chuva “nova ordem”?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1D6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DESLOCAR (ex.: “nova porta de acesso”, “inclusão digital do invisível”). Sister Anciã correta.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Uso do nome/tese da signatária?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Decisão dela. Se autorizar: sobriedade (Prov. 205); “parceira independente” genérica na peça pública; nome no contexto institucional.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Analogia Nubank?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1D6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Segura como inclusão/causal; nunca disruptor. Risco residual aceitável com foco no cidadão.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Léxico — acrescentar/remover?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1D6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Acrescentar vedações: “advocacia” na autodescrição do MC; o próprio “nova ordem na advocacia”; sugerir que o MC “capacita” a praticar ato jurídico.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Condicionantes?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1D6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Vincular ao encargo (2) (reescrita do §7 à Opção C) e à conformidade do Prov. 205 no uso do nome.</w:t>
            </w:r>
          </w:p>
        </w:tc>
      </w:tr>
    </w:tbl>
    <w:p>
      <w:pPr>
        <w:spacing w:after="110" w:before="250"/>
      </w:pPr>
      <w:r>
        <w:rPr>
          <w:b/>
          <w:bCs/>
          <w:color w:val="1F3864"/>
          <w:sz w:val="25"/>
          <w:szCs w:val="25"/>
        </w:rPr>
        <w:t xml:space="preserve">7. Minuta da conclusão (texto para ratificar/retificar/assinar)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9F2DC" w:color="auto" w:val="clear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pPr>
              <w:spacing w:after="35"/>
            </w:pPr>
            <w:r>
              <w:rPr>
                <w:b/>
                <w:bCs/>
                <w:color w:val="1F6B3B"/>
              </w:rPr>
              <w:t xml:space="preserve">Conclusão ratificada: </w:t>
            </w:r>
            <w:r>
              <w:rPr>
                <w:color w:val="1F6B3B"/>
              </w:rPr>
              <w:t xml:space="preserve">“RATIFICO A OPÇÃO A. O Briefing de Léxico Blindado, examinado à luz do Provimento CFOAB 205/2021, do EOA (art. 1º, II) e do Parecer da Ementa 069 v1.2 selado, mantém o Meu Cumpadre, na comunicação, dentro da atividade-meio, e fica LIBERADO PARA USO EXTERNO sob os seguintes ajustes: (a) deslocar o guarda-chuva “nova ordem na advocacia” para uma chave centrada no cidadão (inclusão do invisível), evitando confusão com o modelo atacado pelas ACPs; (b) sobriedade no uso do nome — na peça pública, referência genérica a “parceira jurídica independente”, reservando a identificação nominal ao contexto institucional; (c) manter a analogia Nubank estritamente como efeito de inclusão, nunca como disrupção do mercado jurídico; (d) liberar em conjunto com a execução do encargo (2) do parecer da Ementa 069 (reescrita do §7 do Estudo Epicentro). A defesa de Direito permanece com a atividade-fim; o MC apenas remete.”</w:t>
            </w:r>
          </w:p>
        </w:tc>
      </w:tr>
    </w:tbl>
    <w:p>
      <w:pPr>
        <w:spacing w:after="110" w:before="250"/>
      </w:pPr>
      <w:r>
        <w:rPr>
          <w:b/>
          <w:bCs/>
          <w:color w:val="1F3864"/>
          <w:sz w:val="25"/>
          <w:szCs w:val="25"/>
        </w:rPr>
        <w:t xml:space="preserve">8. Fontes citadas (com selo)</w:t>
      </w:r>
    </w:p>
    <w:p>
      <w:pPr>
        <w:spacing w:after="110" w:line="276" w:lineRule="auto"/>
        <w:jc w:val="both"/>
      </w:pPr>
      <w:r>
        <w:rPr>
          <w:sz w:val="19"/>
          <w:szCs w:val="19"/>
        </w:rPr>
        <w:t xml:space="preserve">Provimento CFOAB 205/2021 (arts. 3º V; 4º §§2º/3º; 5º §3º; Anexo Único) e CED arts. 40/44/46 — [VERIFICADO no Project]. EOA (Lei 8.906/94) art. 1º, II — [VERIFICADO no Project]. Parecer Ementa 069/2024/OEP v1.2 RATIFICADO/SELADO (07/06/2026) §3/§6/§8 — [VERIFICADO — selado]. OAB-SP Parecer E-5.142/2018 — [VERIFICADO via web]. Convenção do Parecerista v1.1 §12 — [VERIFICADO — selado]. Contexto de ACPs (OAB-SP/RJ/CE/BA) — [VERIFICADO via web]. Linha STJ/TRF — [A CONFERIR]. Vídeo “Nova Ordem na Advocacia · IA” (transcrição) — lastro de contraste (modelo a distinguir).</w:t>
      </w:r>
    </w:p>
    <w:p>
      <w:pPr>
        <w:spacing w:after="110" w:before="250"/>
      </w:pPr>
      <w:r>
        <w:rPr>
          <w:b/>
          <w:bCs/>
          <w:color w:val="1F3864"/>
          <w:sz w:val="25"/>
          <w:szCs w:val="25"/>
        </w:rPr>
        <w:t xml:space="preserve">9. Veredito da signatária</w:t>
      </w:r>
    </w:p>
    <w:p>
      <w:pPr>
        <w:spacing w:after="80" w:before="60"/>
      </w:pPr>
      <w:r>
        <w:rPr>
          <w:b/>
          <w:bCs/>
        </w:rPr>
        <w:t xml:space="preserve">Liberação do uso externo do Briefing de Narração Pública:</w:t>
      </w:r>
    </w:p>
    <w:p>
      <w:pPr>
        <w:spacing w:after="80"/>
      </w:pPr>
      <w:r>
        <w:rPr>
          <w:b/>
          <w:bCs/>
          <w:color w:val="1F6B3B"/>
          <w:sz w:val="23"/>
          <w:szCs w:val="23"/>
        </w:rPr>
        <w:t xml:space="preserve">☑ LIBERA COM AJUSTES</w:t>
      </w:r>
      <w:r>
        <w:t xml:space="preserve"> — (a) deslocar o guarda-chuva; (b) sobriedade no uso do nome; (c) Nubank só como inclusão; (d) selar junto com o encargo (2).</w:t>
      </w:r>
    </w:p>
    <w:p>
      <w:pPr>
        <w:spacing w:after="60"/>
      </w:pPr>
      <w:r>
        <w:rPr>
          <w:b/>
          <w:bCs/>
        </w:rPr>
        <w:t xml:space="preserve">Guarda-chuva: </w:t>
      </w:r>
      <w:r>
        <w:t xml:space="preserve">☑ deslocar para chave centrada no cidadão (ex.: “inclusão digital do invisível” / “nova porta de acesso à cidadania”) — o bordão final é refinamento de comunicação dentro desta direção.</w:t>
      </w:r>
    </w:p>
    <w:p>
      <w:pPr>
        <w:spacing w:after="120"/>
      </w:pPr>
      <w:r>
        <w:rPr>
          <w:b/>
          <w:bCs/>
        </w:rPr>
        <w:t xml:space="preserve">Uso do nome/tese: </w:t>
      </w:r>
      <w:r>
        <w:t xml:space="preserve">☑ autorizo com fraseado: na peça pública, referência genérica a “parceira jurídica independente”; identificação nominal reservada ao contexto institucional, com sobriedade (Prov. 205/2021).</w:t>
      </w:r>
    </w:p>
    <w:p>
      <w:pPr>
        <w:spacing w:after="120" w:before="60"/>
      </w:pPr>
      <w:r>
        <w:rPr>
          <w:b/>
          <w:bCs/>
        </w:rPr>
        <w:t xml:space="preserve">Observações da signatária: </w:t>
      </w:r>
      <w:r>
        <w:t xml:space="preserve">liberação condicionada à execução do encargo (2) do Parecer da Ementa 069 (reescrita do §7 do Estudo Epicentro à Opção C) e à conformidade do Prov. 205/2021 no uso do nome. Acrescentar ao léxico as vedações: “advocacia” na autodescrição do MC; o próprio “nova ordem na advocacia”; e qualquer sugestão de que o MC “capacita” o cidadão a praticar ato jurídico. A defesa de Direito permanece com a atividade-fim; o MC apenas remete.</w:t>
      </w:r>
    </w:p>
    <w:p>
      <w:pPr>
        <w:pBdr>
          <w:top w:val="single" w:color="000000" w:sz="6" w:space="6"/>
        </w:pBdr>
        <w:spacing w:before="320"/>
        <w:jc w:val="center"/>
      </w:pPr>
    </w:p>
    <w:p>
      <w:pPr>
        <w:spacing w:before="70"/>
        <w:jc w:val="center"/>
      </w:pPr>
      <w:r>
        <w:rPr>
          <w:b/>
          <w:bCs/>
        </w:rPr>
        <w:t xml:space="preserve">Dra. Juliana Pereira de Melo</w:t>
      </w:r>
    </w:p>
    <w:p>
      <w:pPr>
        <w:jc w:val="center"/>
      </w:pPr>
      <w:r>
        <w:t xml:space="preserve">OAB-GO 38.662</w:t>
      </w:r>
    </w:p>
    <w:p>
      <w:pPr>
        <w:spacing w:after="80"/>
        <w:jc w:val="center"/>
      </w:pPr>
      <w:r>
        <w:rPr>
          <w:color w:val="666666"/>
          <w:sz w:val="18"/>
          <w:szCs w:val="18"/>
        </w:rPr>
        <w:t xml:space="preserve">Ratificado em 07/06/2026</w:t>
      </w:r>
    </w:p>
    <w:p>
      <w:pPr>
        <w:spacing w:after="120"/>
        <w:jc w:val="center"/>
      </w:pPr>
      <w:r>
        <w:rPr>
          <w:i/>
          <w:iCs/>
          <w:color w:val="666666"/>
          <w:sz w:val="16"/>
          <w:szCs w:val="16"/>
        </w:rPr>
        <w:t xml:space="preserve">Documento de assessoria. A liberação do uso externo, sua ratificação, retificação ou rejeição e a responsabilidade técnica são exclusivas da advogada signatária.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4"/>
      </w:pBdr>
      <w:jc w:val="center"/>
    </w:pPr>
    <w:r>
      <w:rPr>
        <w:color w:val="666666"/>
        <w:sz w:val="13"/>
        <w:szCs w:val="13"/>
      </w:rPr>
      <w:t xml:space="preserve">Meu Cumpadre · Gate R3 Narração Pública v1.1 RATIFICADO · D &gt; C &gt; V · Provérbios 31:8 · Independência do parecerista preservada (Lei 8.906/94, art. 18) · Pág. </w:t>
    </w:r>
    <w:r>
      <w:rPr>
        <w:color w:val="666666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  <w:jc w:val="right"/>
    </w:pPr>
    <w:r>
      <w:rPr>
        <w:color w:val="666666"/>
        <w:sz w:val="14"/>
        <w:szCs w:val="14"/>
      </w:rPr>
      <w:t xml:space="preserve">GATE R3 — NARRAÇÃO PÚBLICA · LÉXICO BLINDADO — v1.1 RATIFICADO —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2026-06-07T19:58:23.416Z</dcterms:created>
  <dcterms:modified xsi:type="dcterms:W3CDTF">2026-06-07T19:58:23.416Z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