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center"/>
      </w:pPr>
      <w:r>
        <w:rPr>
          <w:b/>
          <w:bCs/>
          <w:sz w:val="32"/>
          <w:szCs w:val="32"/>
        </w:rPr>
        <w:t xml:space="preserve">PATCH DO §7 — ESTUDO EPICENTRO</w:t>
      </w:r>
    </w:p>
    <w:p>
      <w:pPr>
        <w:spacing w:after="140"/>
        <w:jc w:val="center"/>
      </w:pPr>
      <w:r>
        <w:rPr>
          <w:i/>
          <w:iCs/>
          <w:color w:val="1F3864"/>
          <w:sz w:val="21"/>
          <w:szCs w:val="21"/>
        </w:rPr>
        <w:t xml:space="preserve">Reescrita à Opção C · execução do encargo (2) do Parecer Ementa 069 v1.2 + léxico do Gate R3 v1.1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EF3F8" w:color="auto" w:val="clear"/>
            <w:tcMar>
              <w:top w:type="dxa" w:w="95"/>
              <w:left w:type="dxa" w:w="135"/>
              <w:bottom w:type="dxa" w:w="95"/>
              <w:right w:type="dxa" w:w="135"/>
            </w:tcMar>
          </w:tcPr>
          <w:p>
            <w:pPr>
              <w:spacing w:after="35"/>
            </w:pPr>
            <w:r>
              <w:rPr>
                <w:b/>
                <w:bCs/>
                <w:sz w:val="18"/>
                <w:szCs w:val="18"/>
              </w:rPr>
              <w:t xml:space="preserve">O que é. </w:t>
            </w:r>
            <w:r>
              <w:rPr>
                <w:sz w:val="18"/>
                <w:szCs w:val="18"/>
              </w:rPr>
              <w:t xml:space="preserve">Substitui o §7 do Estudo Epicentro v2.0. Executa o encargo (2) selado: alinhar as respostas institucionais à Opção C (ADR-009b saneado v1.3 — exclusividade com a Dra. Juliana até dez/2026; marketplace de parceiras independentes a partir de jan/2027), removendo o drift das “três advogadas”, e aplica o léxico blindado do Gate R3 v1.1. Atividade-meio: texto para a conferência da signatária antes de o MC incorporar ao Estudo. A tese permanece da signatária.</w:t>
            </w:r>
          </w:p>
        </w:tc>
      </w:tr>
    </w:tbl>
    <w:p>
      <w:pPr>
        <w:spacing w:after="100" w:before="240"/>
      </w:pPr>
      <w:r>
        <w:rPr>
          <w:b/>
          <w:bCs/>
          <w:color w:val="1F3864"/>
          <w:sz w:val="25"/>
          <w:szCs w:val="25"/>
        </w:rPr>
        <w:t xml:space="preserve">1. O que muda (drift → Opção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F7DEDE" w:color="auto" w:val="clear"/>
            <w:tcMar>
              <w:top w:type="dxa" w:w="55"/>
              <w:left w:type="dxa" w:w="85"/>
              <w:bottom w:type="dxa" w:w="55"/>
              <w:right w:type="dxa" w:w="85"/>
            </w:tcMar>
          </w:tcPr>
          <w:p>
            <w:r>
              <w:rPr>
                <w:sz w:val="17"/>
                <w:szCs w:val="17"/>
              </w:rPr>
              <w:t xml:space="preserve">Antes (v2.0 — drift)</w:t>
            </w:r>
          </w:p>
        </w:tc>
        <w:tc>
          <w:tcPr>
            <w:tcW w:type="dxa" w:w="4513"/>
            <w:tcBorders>
              <w:top w:val="single" w:color="BBBBBB" w:sz="1"/>
              <w:left w:val="single" w:color="BBBBBB" w:sz="1"/>
              <w:bottom w:val="single" w:color="BBBBBB" w:sz="1"/>
              <w:right w:val="single" w:color="BBBBBB" w:sz="1"/>
            </w:tcBorders>
            <w:shd w:fill="E8F3E8" w:color="auto" w:val="clear"/>
            <w:tcMar>
              <w:top w:type="dxa" w:w="55"/>
              <w:left w:type="dxa" w:w="85"/>
              <w:bottom w:type="dxa" w:w="55"/>
              <w:right w:type="dxa" w:w="85"/>
            </w:tcMar>
          </w:tcPr>
          <w:p>
            <w:r>
              <w:rPr>
                <w:sz w:val="17"/>
                <w:szCs w:val="17"/>
              </w:rPr>
              <w:t xml:space="preserve">Depois (Opção C — corrigido)</w:t>
            </w:r>
          </w:p>
        </w:tc>
      </w:tr>
      <w:tr>
        <w:trPr>
          <w:tblHeader w:val="false"/>
        </w:trPr>
        <w:tc>
          <w:tcPr>
            <w:tcW w:type="dxa" w:w="4513"/>
            <w:tcBorders>
              <w:top w:val="single" w:color="BBBBBB" w:sz="1"/>
              <w:left w:val="single" w:color="BBBBBB" w:sz="1"/>
              <w:bottom w:val="single" w:color="BBBBBB" w:sz="1"/>
              <w:right w:val="single" w:color="BBBBBB" w:sz="1"/>
            </w:tcBorders>
            <w:tcMar>
              <w:top w:type="dxa" w:w="55"/>
              <w:left w:type="dxa" w:w="85"/>
              <w:bottom w:type="dxa" w:w="55"/>
              <w:right w:type="dxa" w:w="85"/>
            </w:tcMar>
          </w:tcPr>
          <w:p>
            <w:r>
              <w:rPr>
                <w:sz w:val="17"/>
                <w:szCs w:val="17"/>
              </w:rPr>
              <w:t xml:space="preserve">“marketplace ético com três advogadas em ordem randomizada” (no presente)</w:t>
            </w:r>
          </w:p>
        </w:tc>
        <w:tc>
          <w:tcPr>
            <w:tcW w:type="dxa" w:w="4513"/>
            <w:tcBorders>
              <w:top w:val="single" w:color="BBBBBB" w:sz="1"/>
              <w:left w:val="single" w:color="BBBBBB" w:sz="1"/>
              <w:bottom w:val="single" w:color="BBBBBB" w:sz="1"/>
              <w:right w:val="single" w:color="BBBBBB" w:sz="1"/>
            </w:tcBorders>
            <w:tcMar>
              <w:top w:type="dxa" w:w="55"/>
              <w:left w:type="dxa" w:w="85"/>
              <w:bottom w:type="dxa" w:w="55"/>
              <w:right w:type="dxa" w:w="85"/>
            </w:tcMar>
          </w:tcPr>
          <w:p>
            <w:r>
              <w:rPr>
                <w:sz w:val="17"/>
                <w:szCs w:val="17"/>
              </w:rPr>
              <w:t xml:space="preserve">exclusividade com a Dra. Juliana até dez/2026; marketplace de parceiras independentes a partir de jan/2027</w:t>
            </w:r>
          </w:p>
        </w:tc>
      </w:tr>
      <w:tr>
        <w:trPr>
          <w:tblHeader w:val="false"/>
        </w:trPr>
        <w:tc>
          <w:tcPr>
            <w:tcW w:type="dxa" w:w="4513"/>
            <w:tcBorders>
              <w:top w:val="single" w:color="BBBBBB" w:sz="1"/>
              <w:left w:val="single" w:color="BBBBBB" w:sz="1"/>
              <w:bottom w:val="single" w:color="BBBBBB" w:sz="1"/>
              <w:right w:val="single" w:color="BBBBBB" w:sz="1"/>
            </w:tcBorders>
            <w:tcMar>
              <w:top w:type="dxa" w:w="55"/>
              <w:left w:type="dxa" w:w="85"/>
              <w:bottom w:type="dxa" w:w="55"/>
              <w:right w:type="dxa" w:w="85"/>
            </w:tcMar>
          </w:tcPr>
          <w:p>
            <w:r>
              <w:rPr>
                <w:sz w:val="17"/>
                <w:szCs w:val="17"/>
              </w:rPr>
              <w:t xml:space="preserve">“ou por uma das outras duas advogadas do marketplace”</w:t>
            </w:r>
          </w:p>
        </w:tc>
        <w:tc>
          <w:tcPr>
            <w:tcW w:type="dxa" w:w="4513"/>
            <w:tcBorders>
              <w:top w:val="single" w:color="BBBBBB" w:sz="1"/>
              <w:left w:val="single" w:color="BBBBBB" w:sz="1"/>
              <w:bottom w:val="single" w:color="BBBBBB" w:sz="1"/>
              <w:right w:val="single" w:color="BBBBBB" w:sz="1"/>
            </w:tcBorders>
            <w:tcMar>
              <w:top w:type="dxa" w:w="55"/>
              <w:left w:type="dxa" w:w="85"/>
              <w:bottom w:type="dxa" w:w="55"/>
              <w:right w:type="dxa" w:w="85"/>
            </w:tcMar>
          </w:tcPr>
          <w:p>
            <w:r>
              <w:rPr>
                <w:sz w:val="17"/>
                <w:szCs w:val="17"/>
              </w:rPr>
              <w:t xml:space="preserve">removido — durante a exclusividade, somente a Dra. Juliana</w:t>
            </w:r>
          </w:p>
        </w:tc>
      </w:tr>
      <w:tr>
        <w:trPr>
          <w:tblHeader w:val="false"/>
        </w:trPr>
        <w:tc>
          <w:tcPr>
            <w:tcW w:type="dxa" w:w="4513"/>
            <w:tcBorders>
              <w:top w:val="single" w:color="BBBBBB" w:sz="1"/>
              <w:left w:val="single" w:color="BBBBBB" w:sz="1"/>
              <w:bottom w:val="single" w:color="BBBBBB" w:sz="1"/>
              <w:right w:val="single" w:color="BBBBBB" w:sz="1"/>
            </w:tcBorders>
            <w:tcMar>
              <w:top w:type="dxa" w:w="55"/>
              <w:left w:type="dxa" w:w="85"/>
              <w:bottom w:type="dxa" w:w="55"/>
              <w:right w:type="dxa" w:w="85"/>
            </w:tcMar>
          </w:tcPr>
          <w:p>
            <w:r>
              <w:rPr>
                <w:sz w:val="17"/>
                <w:szCs w:val="17"/>
              </w:rPr>
              <w:t xml:space="preserve">“nosso advogado faz ato privativo” (sugere advogado cativo)</w:t>
            </w:r>
          </w:p>
        </w:tc>
        <w:tc>
          <w:tcPr>
            <w:tcW w:type="dxa" w:w="4513"/>
            <w:tcBorders>
              <w:top w:val="single" w:color="BBBBBB" w:sz="1"/>
              <w:left w:val="single" w:color="BBBBBB" w:sz="1"/>
              <w:bottom w:val="single" w:color="BBBBBB" w:sz="1"/>
              <w:right w:val="single" w:color="BBBBBB" w:sz="1"/>
            </w:tcBorders>
            <w:tcMar>
              <w:top w:type="dxa" w:w="55"/>
              <w:left w:type="dxa" w:w="85"/>
              <w:bottom w:type="dxa" w:w="55"/>
              <w:right w:type="dxa" w:w="85"/>
            </w:tcMar>
          </w:tcPr>
          <w:p>
            <w:r>
              <w:rPr>
                <w:sz w:val="17"/>
                <w:szCs w:val="17"/>
              </w:rPr>
              <w:t xml:space="preserve">“a advogada parceira independente faz o ato privativo” (sem cativeiro)</w:t>
            </w:r>
          </w:p>
        </w:tc>
      </w:tr>
      <w:tr>
        <w:trPr>
          <w:tblHeader w:val="false"/>
        </w:trPr>
        <w:tc>
          <w:tcPr>
            <w:tcW w:type="dxa" w:w="4513"/>
            <w:tcBorders>
              <w:top w:val="single" w:color="BBBBBB" w:sz="1"/>
              <w:left w:val="single" w:color="BBBBBB" w:sz="1"/>
              <w:bottom w:val="single" w:color="BBBBBB" w:sz="1"/>
              <w:right w:val="single" w:color="BBBBBB" w:sz="1"/>
            </w:tcBorders>
            <w:tcMar>
              <w:top w:type="dxa" w:w="55"/>
              <w:left w:type="dxa" w:w="85"/>
              <w:bottom w:type="dxa" w:w="55"/>
              <w:right w:type="dxa" w:w="85"/>
            </w:tcMar>
          </w:tcPr>
          <w:p>
            <w:r>
              <w:rPr>
                <w:sz w:val="17"/>
                <w:szCs w:val="17"/>
              </w:rPr>
              <w:t xml:space="preserve">“Responsável técnico-jurídico: Dra. Juliana” (sugere vínculo)</w:t>
            </w:r>
          </w:p>
        </w:tc>
        <w:tc>
          <w:tcPr>
            <w:tcW w:type="dxa" w:w="4513"/>
            <w:tcBorders>
              <w:top w:val="single" w:color="BBBBBB" w:sz="1"/>
              <w:left w:val="single" w:color="BBBBBB" w:sz="1"/>
              <w:bottom w:val="single" w:color="BBBBBB" w:sz="1"/>
              <w:right w:val="single" w:color="BBBBBB" w:sz="1"/>
            </w:tcBorders>
            <w:tcMar>
              <w:top w:type="dxa" w:w="55"/>
              <w:left w:type="dxa" w:w="85"/>
              <w:bottom w:type="dxa" w:w="55"/>
              <w:right w:type="dxa" w:w="85"/>
            </w:tcMar>
          </w:tcPr>
          <w:p>
            <w:r>
              <w:rPr>
                <w:sz w:val="17"/>
                <w:szCs w:val="17"/>
              </w:rPr>
              <w:t xml:space="preserve">“Parecerista jurídica externa independente” (Lei 8.906/94, art. 18)</w:t>
            </w:r>
          </w:p>
        </w:tc>
      </w:tr>
      <w:tr>
        <w:trPr>
          <w:tblHeader w:val="false"/>
        </w:trPr>
        <w:tc>
          <w:tcPr>
            <w:tcW w:type="dxa" w:w="4513"/>
            <w:tcBorders>
              <w:top w:val="single" w:color="BBBBBB" w:sz="1"/>
              <w:left w:val="single" w:color="BBBBBB" w:sz="1"/>
              <w:bottom w:val="single" w:color="BBBBBB" w:sz="1"/>
              <w:right w:val="single" w:color="BBBBBB" w:sz="1"/>
            </w:tcBorders>
            <w:tcMar>
              <w:top w:type="dxa" w:w="55"/>
              <w:left w:type="dxa" w:w="85"/>
              <w:bottom w:type="dxa" w:w="55"/>
              <w:right w:type="dxa" w:w="85"/>
            </w:tcMar>
          </w:tcPr>
          <w:p>
            <w:r>
              <w:rPr>
                <w:sz w:val="17"/>
                <w:szCs w:val="17"/>
              </w:rPr>
              <w:t xml:space="preserve">sem remissão à base verificada</w:t>
            </w:r>
          </w:p>
        </w:tc>
        <w:tc>
          <w:tcPr>
            <w:tcW w:type="dxa" w:w="4513"/>
            <w:tcBorders>
              <w:top w:val="single" w:color="BBBBBB" w:sz="1"/>
              <w:left w:val="single" w:color="BBBBBB" w:sz="1"/>
              <w:bottom w:val="single" w:color="BBBBBB" w:sz="1"/>
              <w:right w:val="single" w:color="BBBBBB" w:sz="1"/>
            </w:tcBorders>
            <w:tcMar>
              <w:top w:type="dxa" w:w="55"/>
              <w:left w:type="dxa" w:w="85"/>
              <w:bottom w:type="dxa" w:w="55"/>
              <w:right w:type="dxa" w:w="85"/>
            </w:tcMar>
          </w:tcPr>
          <w:p>
            <w:r>
              <w:rPr>
                <w:sz w:val="17"/>
                <w:szCs w:val="17"/>
              </w:rPr>
              <w:t xml:space="preserve">remissão à defesa (OAB-SP E-5.142/2018), com o MC apenas remetendo</w:t>
            </w:r>
          </w:p>
        </w:tc>
      </w:tr>
    </w:tbl>
    <w:p>
      <w:pPr>
        <w:spacing w:after="100" w:before="240"/>
      </w:pPr>
      <w:r>
        <w:rPr>
          <w:b/>
          <w:bCs/>
          <w:color w:val="1F3864"/>
          <w:sz w:val="25"/>
          <w:szCs w:val="25"/>
        </w:rPr>
        <w:t xml:space="preserve">2. Texto corrigido — §7 (pronto para incorporar)</w:t>
      </w:r>
    </w:p>
    <w:p>
      <w:pPr>
        <w:spacing w:after="60" w:before="160"/>
      </w:pPr>
      <w:r>
        <w:rPr>
          <w:b/>
          <w:bCs/>
          <w:color w:val="1F3864"/>
          <w:sz w:val="21"/>
          <w:szCs w:val="21"/>
        </w:rPr>
        <w:t xml:space="preserve">7. O posicionamento institucional do MC em face do epicentro</w:t>
      </w:r>
    </w:p>
    <w:p>
      <w:pPr>
        <w:spacing w:after="60" w:before="60"/>
      </w:pPr>
      <w:r>
        <w:rPr>
          <w:b/>
          <w:bCs/>
          <w:sz w:val="20"/>
          <w:szCs w:val="20"/>
        </w:rPr>
        <w:t xml:space="preserve">7.1 Resposta pública padrão (para ToS, site, pitch, imprensa)</w:t>
      </w:r>
    </w:p>
    <w:p>
      <w:pPr>
        <w:pBdr>
          <w:left w:val="single" w:color="1F3864" w:sz="18" w:space="14"/>
        </w:pBdr>
        <w:spacing w:after="90" w:line="264" w:lineRule="auto"/>
        <w:ind w:left="360"/>
        <w:jc w:val="both"/>
      </w:pPr>
      <w:r>
        <w:rPr>
          <w:i/>
          <w:iCs/>
        </w:rPr>
        <w:t xml:space="preserve">“O Meu Cumpadre observa integralmente a Ementa 069/2024/OEP do Conselho Federal da OAB no que ela afirma constitucionalmente: assessoria e consultoria jurídica previdenciária são privativas da advocacia. Por isso, o Meu Cumpadre não presta assessoria nem consultoria jurídica — presta orquestração documental e tecnologia (CNAE 6201-5/01) em favor do próprio cidadão hipervulnerável, que é quem faz, em nome próprio, o ato material de requerer o benefício no sistema Meu INSS. Quando o caso exige ato privativo da advocacia — parecer, recurso, defesa contenciosa —, o cidadão é encaminhado, por livre escolha, a advogada parceira independente: atualmente, em regime de exclusividade até dezembro de 2026, a Dra. Juliana Pereira de Melo (OAB-GO 38.662); a partir de janeiro de 2027, a advogada de sua escolha entre as parceiras independentes, em ordem randomizada e sem comissão. O Meu Cumpadre nunca substitui a advogada, nunca decide benefício e nunca cobra comissão por encaminhamento.”</w:t>
      </w:r>
    </w:p>
    <w:p>
      <w:pPr>
        <w:spacing w:after="60" w:before="80"/>
      </w:pPr>
      <w:r>
        <w:rPr>
          <w:b/>
          <w:bCs/>
          <w:sz w:val="20"/>
          <w:szCs w:val="20"/>
        </w:rPr>
        <w:t xml:space="preserve">7.2 Resposta técnica a eventual notificação da OAB seccional</w:t>
      </w:r>
    </w:p>
    <w:p>
      <w:pPr>
        <w:pBdr>
          <w:left w:val="single" w:color="1F3864" w:sz="18" w:space="14"/>
        </w:pBdr>
        <w:spacing w:after="90" w:line="264" w:lineRule="auto"/>
        <w:ind w:left="360"/>
        <w:jc w:val="both"/>
      </w:pPr>
      <w:r>
        <w:rPr>
          <w:i/>
          <w:iCs/>
        </w:rPr>
        <w:t xml:space="preserve">“Senhor(a) Presidente [da Comissão de Ética/Conselho Seccional], em atenção à [notificação/ofício/consulta] recebida, informamos:</w:t>
      </w:r>
    </w:p>
    <w:p>
      <w:pPr>
        <w:pBdr>
          <w:left w:val="single" w:color="1F3864" w:sz="18" w:space="14"/>
        </w:pBdr>
        <w:spacing w:after="90" w:line="264" w:lineRule="auto"/>
        <w:ind w:left="360"/>
        <w:jc w:val="both"/>
      </w:pPr>
      <w:r>
        <w:rPr>
          <w:i/>
          <w:iCs/>
        </w:rPr>
        <w:t xml:space="preserve">1. O Meu Cumpadre é empresa de tecnologia (CNAE 6201-5/01) que desenvolve e opera software proprietário de orquestração documental.</w:t>
      </w:r>
    </w:p>
    <w:p>
      <w:pPr>
        <w:pBdr>
          <w:left w:val="single" w:color="1F3864" w:sz="18" w:space="14"/>
        </w:pBdr>
        <w:spacing w:after="90" w:line="264" w:lineRule="auto"/>
        <w:ind w:left="360"/>
        <w:jc w:val="both"/>
      </w:pPr>
      <w:r>
        <w:rPr>
          <w:i/>
          <w:iCs/>
        </w:rPr>
        <w:t xml:space="preserve">2. Respeita integralmente a Ementa 069/2024/OEP: os atos privativos da advocacia (parecer, consultoria, peça recursal, defesa contenciosa) são realizados exclusivamente por advogada regularmente inscrita — atualmente, em regime de exclusividade (até dezembro de 2026), a Dra. Juliana Pereira de Melo (OAB-GO 38.662), parceira jurídica externa independente; a partir de janeiro de 2027, por advogada parceira independente escolhida pelo cidadão, em ordem randomizada e sem comissão.</w:t>
      </w:r>
    </w:p>
    <w:p>
      <w:pPr>
        <w:pBdr>
          <w:left w:val="single" w:color="1F3864" w:sz="18" w:space="14"/>
        </w:pBdr>
        <w:spacing w:after="90" w:line="264" w:lineRule="auto"/>
        <w:ind w:left="360"/>
        <w:jc w:val="both"/>
      </w:pPr>
      <w:r>
        <w:rPr>
          <w:i/>
          <w:iCs/>
        </w:rPr>
        <w:t xml:space="preserve">3. Os atos instrumentais realizados pelo Meu Cumpadre (coleta, organização, tradução visual, custódia digital com hash SHA-256 e carimbo de tempo RFC 3161 ICP-Brasil, encaminhamento) não configuram ato privativo da advocacia na dicção do art. 1º, II, da Lei 8.906/94, e estão amparados pela reserva legal qualificada (art. 5º, XIII, CF), pelo direito de petição (art. 5º, XXXIV, “a”, CF), pela universalidade da seguridade social (art. 194, I, CF), pelo Código de Defesa do Usuário do Serviço Público (Lei 13.460/2017), pela Lei Brasileira de Inclusão (Lei 13.146/2015) e pela normativa do próprio INSS (IN 128/2022, que admite procurador não advogado). A parceira jurídica independente sustenta, com base em parecer da própria OAB-SP (E-5.142/2018), que o ato material de requerer benefício não é privativo da advocacia.</w:t>
      </w:r>
    </w:p>
    <w:p>
      <w:pPr>
        <w:pBdr>
          <w:left w:val="single" w:color="1F3864" w:sz="18" w:space="14"/>
        </w:pBdr>
        <w:spacing w:after="90" w:line="264" w:lineRule="auto"/>
        <w:ind w:left="360"/>
        <w:jc w:val="both"/>
      </w:pPr>
      <w:r>
        <w:rPr>
          <w:i/>
          <w:iCs/>
        </w:rPr>
        <w:t xml:space="preserve">4. Anexamos: (i) contrato de parceria institucional com a Dra. Juliana Pereira de Melo (Ψ₁) e a Convenção do Parecerista; (ii) ADR-009 saneado (Três Estados do Dossiê com Token de Transferência Assinado); (iii) ADR-007 v2.0 (precificação com firewall OAB, sem success fee); (iv) política de encaminhamento — exclusividade vigente até dez/2026 e marketplace de parceiras independentes a partir de jan/2027, conforme Prov. CFOAB 205/2021; (v) auditoria LGPD [quando concluída]; (vi) registros INPI [quando protocolados]; (vii) trilha de auditoria do caso específico [se houver].</w:t>
      </w:r>
    </w:p>
    <w:p>
      <w:pPr>
        <w:pBdr>
          <w:left w:val="single" w:color="1F3864" w:sz="18" w:space="14"/>
        </w:pBdr>
        <w:spacing w:after="90" w:line="264" w:lineRule="auto"/>
        <w:ind w:left="360"/>
        <w:jc w:val="both"/>
      </w:pPr>
      <w:r>
        <w:rPr>
          <w:i/>
          <w:iCs/>
        </w:rPr>
        <w:t xml:space="preserve">Permanecemos à disposição para reunião técnica e esclarecimentos. Atenciosamente, Meu Cumpadre — Orquestração Documental e Tecnologia Ltda. · CNAE 6201-5/01 · Goiânia-GO. Parecerista jurídica externa independente: Dra. Juliana Pereira de Melo — OAB-GO 38.662.”</w:t>
      </w:r>
    </w:p>
    <w:p>
      <w:pPr>
        <w:spacing w:after="60" w:before="80"/>
      </w:pPr>
      <w:r>
        <w:rPr>
          <w:b/>
          <w:bCs/>
          <w:sz w:val="20"/>
          <w:szCs w:val="20"/>
        </w:rPr>
        <w:t xml:space="preserve">7.3 O princípio operacional decorrente</w:t>
      </w:r>
    </w:p>
    <w:p>
      <w:pPr>
        <w:spacing w:after="110" w:line="276" w:lineRule="auto"/>
        <w:jc w:val="both"/>
      </w:pPr>
      <w:r>
        <w:rPr>
          <w:b/>
          <w:bCs/>
        </w:rPr>
        <w:t xml:space="preserve">Nunca responder à Ementa 069 com negação. </w:t>
      </w:r>
      <w:r>
        <w:t xml:space="preserve">Responder com acatamento interpretativo conforme + prova material de acatamento: “sim, o ato privativo é da advocacia; a advogada parceira independente o pratica; o Meu Cumpadre não o pratica”. Lida assim, a frase-epicentro vira aliada — força o reconhecimento de que o ato privativo está habitado por advogada independente, exatamente como o MC desenhou. </w:t>
      </w:r>
      <w:r>
        <w:rPr>
          <w:b/>
          <w:bCs/>
        </w:rPr>
        <w:t xml:space="preserve">Disciplina de comunicação (Gate R3): </w:t>
      </w:r>
      <w:r>
        <w:t xml:space="preserve">não usar “consultoria/assessoria previdenciária”, “marketplace de advogados” como identidade, “escritório com IA” ou “advogado que assina a operação”; o B2B do MC é licenciamento de método/dossiê (Ψ₁) a parceiras independentes.</w:t>
      </w:r>
    </w:p>
    <w:p>
      <w:pPr>
        <w:spacing w:after="100" w:before="240"/>
      </w:pPr>
      <w:r>
        <w:rPr>
          <w:b/>
          <w:bCs/>
          <w:color w:val="1F3864"/>
          <w:sz w:val="25"/>
          <w:szCs w:val="25"/>
        </w:rPr>
        <w:t xml:space="preserve">3. Nota de firewall e status</w:t>
      </w:r>
    </w:p>
    <w:p>
      <w:pPr>
        <w:spacing w:after="110" w:line="276" w:lineRule="auto"/>
        <w:jc w:val="both"/>
      </w:pPr>
      <w:r>
        <w:t xml:space="preserve">Este patch é atividade-meio: não pratica advocacia, não oferta serviço jurídico e não emite tese própria. A tese de Direito e a palavra final são da signatária (atividade-fim); o MC apenas remete. </w:t>
      </w:r>
      <w:r>
        <w:rPr>
          <w:b/>
          <w:bCs/>
        </w:rPr>
        <w:t xml:space="preserve">Status: </w:t>
      </w:r>
      <w:r>
        <w:t xml:space="preserve">substitui o §7 do Estudo Epicentro v2.0; aguarda a conferência da signatária e a incorporação pelo MC. Fecha o encargo (2) do Parecer Ementa 069 v1.2 e destrava, junto, a liberação da narração pública (Gate R3 v1.1).</w:t>
      </w:r>
    </w:p>
    <w:p>
      <w:pPr>
        <w:spacing w:after="80" w:before="200"/>
      </w:pPr>
      <w:r>
        <w:rPr>
          <w:b/>
          <w:bCs/>
        </w:rPr>
        <w:t xml:space="preserve">Conferência da signatária: </w:t>
      </w:r>
      <w:r>
        <w:t xml:space="preserve">☐ Aprovo o §7 corrigido   ☐ Aprovo com ajustes (____)   ☐ Não aprovo (____)</w:t>
      </w:r>
    </w:p>
    <w:p>
      <w:pPr>
        <w:pBdr>
          <w:bottom w:val="single" w:color="BBBBBB" w:sz="6" w:space="1"/>
        </w:pBdr>
        <w:spacing w:after="140"/>
      </w:pPr>
    </w:p>
    <w:p>
      <w:pPr>
        <w:pBdr>
          <w:top w:val="single" w:color="000000" w:sz="6" w:space="6"/>
        </w:pBdr>
        <w:spacing w:before="200"/>
        <w:jc w:val="center"/>
      </w:pPr>
    </w:p>
    <w:p>
      <w:pPr>
        <w:spacing w:before="70"/>
        <w:jc w:val="center"/>
      </w:pPr>
      <w:r>
        <w:rPr>
          <w:b/>
          <w:bCs/>
        </w:rPr>
        <w:t xml:space="preserve">Dra. Juliana Pereira de Melo — OAB-GO 38.662</w:t>
      </w:r>
    </w:p>
    <w:p>
      <w:pPr>
        <w:spacing w:after="120"/>
        <w:jc w:val="center"/>
      </w:pPr>
      <w:r>
        <w:rPr>
          <w:color w:val="666666"/>
          <w:sz w:val="18"/>
          <w:szCs w:val="18"/>
        </w:rPr>
        <w:t xml:space="preserve">Data: ____ / ____ /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color w:val="666666"/>
        <w:sz w:val="13"/>
        <w:szCs w:val="13"/>
      </w:rPr>
      <w:t xml:space="preserve">Meu Cumpadre · Patch §7 (encargo 2 da Ementa 069) · D &gt; C &gt; V · Provérbios 31:8 · atividade-meio · Pág. </w:t>
    </w:r>
    <w:r>
      <w:rPr>
        <w:color w:val="666666"/>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color w:val="666666"/>
        <w:sz w:val="14"/>
        <w:szCs w:val="14"/>
      </w:rPr>
      <w:t xml:space="preserve">PATCH §7 — ESTUDO EPICENTRO · ENCARGO (2) · OPÇÃO C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2026-06-07T20:13:44.785Z</dcterms:created>
  <dcterms:modified xsi:type="dcterms:W3CDTF">2026-06-07T20:13:44.786Z</dcterms:modified>
</cp:coreProperties>
</file>

<file path=docProps/custom.xml><?xml version="1.0" encoding="utf-8"?>
<Properties xmlns="http://schemas.openxmlformats.org/officeDocument/2006/custom-properties" xmlns:vt="http://schemas.openxmlformats.org/officeDocument/2006/docPropsVTypes"/>
</file>