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60"/>
        <w:jc w:val="center"/>
      </w:pPr>
      <w:r>
        <w:rPr>
          <w:b/>
          <w:bCs/>
          <w:sz w:val="30"/>
          <w:szCs w:val="30"/>
        </w:rPr>
        <w:t xml:space="preserve">DESPACHO CONSOLIDADO DE FECHO DE MESA</w:t>
      </w:r>
    </w:p>
    <w:p>
      <w:pPr>
        <w:spacing w:after="40"/>
        <w:jc w:val="center"/>
      </w:pPr>
      <w:r>
        <w:rPr>
          <w:i/>
          <w:iCs/>
          <w:color w:val="1F3864"/>
          <w:sz w:val="20"/>
          <w:szCs w:val="20"/>
        </w:rPr>
        <w:t xml:space="preserve">Registro único dos entregáveis selados · ciclo R3 · 06–09 de junho de 2026</w:t>
      </w:r>
    </w:p>
    <w:p>
      <w:pPr>
        <w:spacing w:after="60"/>
        <w:jc w:val="center"/>
      </w:pPr>
      <w:r>
        <w:rPr>
          <w:color w:val="666666"/>
          <w:sz w:val="18"/>
          <w:szCs w:val="18"/>
        </w:rPr>
        <w:t xml:space="preserve">Dra. Juliana Pereira de Melo — OAB-GO 38.662 · parecerista externa independente (atividade-fim)</w:t>
      </w:r>
    </w:p>
    <w:p>
      <w:pPr>
        <w:spacing w:after="150"/>
        <w:jc w:val="center"/>
      </w:pPr>
      <w:r>
        <w:rPr>
          <w:b/>
          <w:bCs/>
          <w:color w:val="1F6B3B"/>
          <w:sz w:val="19"/>
          <w:szCs w:val="19"/>
        </w:rPr>
        <w:t xml:space="preserve">EMITIDO E FIRMADO PELA SIGNATÁRIA — VERSÃO SELADA v1.1 (09/06/2026)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 xml:space="preserve">Natureza. </w:t>
            </w:r>
            <w:r>
              <w:rPr>
                <w:sz w:val="18"/>
                <w:szCs w:val="18"/>
              </w:rPr>
              <w:t xml:space="preserve">Este despacho não reabre nem altera mérito: apenas consolida, em registro único, as decisões já seladas e firmadas pela signatária no ciclo R3, com versão, data e estado, e fixa o que permanece pendente, reservado ou em execução. Hierarquia: Dignidade &gt; Compliance &gt; Viabilidade.</w:t>
            </w:r>
          </w:p>
        </w:tc>
      </w:tr>
    </w:tbl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I. Pareceres e despachos selados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2126"/>
        <w:gridCol w:w="1200"/>
        <w:gridCol w:w="1800"/>
      </w:tblGrid>
      <w:tr>
        <w:trPr>
          <w:tblHeader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Entregável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Decisão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Versão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Caso 7 — Art. 49 CDC (arrependimento personalizado)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não restringir o art. 49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06/06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Saneamento ADR-009b (custódia)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C — exclusividade até 12/2026; re-coleta 316 bloqueante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06/06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Hornes — 7 Hooks + Combinado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06/06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Ementa 069 / Epicentro (firewall ato-meio)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Narração Pública / Léxico Blindado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liberar com ajustes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Patch §7 Estudo Epicentro (Encargo 2)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Aprovado · Opção 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Bancada de Governança LGPD/ANPD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admitir com condicionantes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08/06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Validação DPO + 2 RIPDs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válido com ajustes (cond. 1·3·4·5)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08/06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De-identificação (Frente 4)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redação profunda no versionado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08/06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ADR-012 Stack LLM — etapa (i) (art. 33)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Beta adequado c/ ajustes + C9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09/06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ADR-016 Anti-Injection (G1/G2)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Opção A — G1/G2 válidos + ajustes disclosure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09/06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Φ₁ v2.4 — contrato B2C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APTA COM AJUSTES (N6; N3/N8 salvaguarda)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09/06</w:t>
            </w:r>
          </w:p>
        </w:tc>
      </w:tr>
      <w:tr>
        <w:trPr>
          <w:tblHeader w:val="false"/>
        </w:trPr>
        <w:tc>
          <w:tcPr>
            <w:tcW w:type="dxa" w:w="3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R3 Ψ₁ v1.4 — licenciamento B2B</w:t>
            </w:r>
          </w:p>
        </w:tc>
        <w:tc>
          <w:tcPr>
            <w:tcW w:type="dxa" w:w="21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APTA COM AJUSTES (N1/N2/N7)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v1.1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09/06</w:t>
            </w:r>
          </w:p>
        </w:tc>
      </w:tr>
    </w:tbl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II. Instrumentos firmados / ativos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726"/>
        <w:gridCol w:w="1800"/>
      </w:tblGrid>
      <w:tr>
        <w:trPr>
          <w:tblHeader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Instrumento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Data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Convenção do Parecerista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Ratificada / ativa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Contrato Φ₀ v0.2-A3 (CadÚnico)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Ratificado pela parecerista (Dra. não é parte)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Contrato Ψ₃ Parecerista v1.0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Ativo / contrafirmado / selado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  <w:tr>
        <w:trPr>
          <w:tblHeader w:val="false"/>
        </w:trPr>
        <w:tc>
          <w:tcPr>
            <w:tcW w:type="dxa" w:w="4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Corrigenda de rótulo Ψ₂→Ψ₃</w:t>
            </w:r>
          </w:p>
        </w:tc>
        <w:tc>
          <w:tcPr>
            <w:tcW w:type="dxa" w:w="27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Selada (firmada pela Dra.)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07/06</w:t>
            </w:r>
          </w:p>
        </w:tc>
      </w:tr>
    </w:tbl>
    <w:p>
      <w:pPr>
        <w:spacing w:after="100" w:line="272" w:lineRule="auto"/>
        <w:jc w:val="both"/>
      </w:pPr>
      <w:r>
        <w:rPr>
          <w:b/>
          <w:bCs/>
        </w:rPr>
        <w:t xml:space="preserve">Nomenclatura Ψ canônica fixada: </w:t>
      </w:r>
      <w:r>
        <w:t xml:space="preserve">Ψ₁ Licenciamento de Dossiê · Ψ₂ Assinatura Profissional · Ψ₃ Parecerista. Os rótulos antigos do parecerista (Ψ₁/Ψ₂) estão superados pelo Ψ₃.</w:t>
      </w:r>
    </w:p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III. Fila dos condicionados (ordem fixada pela Dra.)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4826"/>
      </w:tblGrid>
      <w:tr>
        <w:trPr>
          <w:tblHeader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Condicionado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1º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ADR-012 (transferência internacional · art. 33)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1D6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Etapa (i) SELADA (09/06). Etapa (ii) — caminho ouro + H1–H4 — RESERVADA para pós-respostas Contact Sales (≈10/10/2026).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2º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ADR-016 (anti-injection · G1/G2)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SELADO (09/06).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3º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Φ₁ v2.4 (contrato B2C)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SELADO (09/06) — APTA COM AJUSTES.</w:t>
            </w:r>
          </w:p>
        </w:tc>
      </w:tr>
      <w:tr>
        <w:trPr>
          <w:tblHeader w:val="false"/>
        </w:trPr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5F9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4º</w:t>
            </w:r>
          </w:p>
        </w:tc>
        <w:tc>
          <w:tcPr>
            <w:tcW w:type="dxa" w:w="3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Ψ₁ v1.4 (licenciamento B2B)</w:t>
            </w:r>
          </w:p>
        </w:tc>
        <w:tc>
          <w:tcPr>
            <w:tcW w:type="dxa" w:w="4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F3E8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 w:val="false"/>
                <w:bCs w:val="false"/>
                <w:sz w:val="16"/>
                <w:szCs w:val="16"/>
              </w:rPr>
              <w:t xml:space="preserve">SELADO (09/06) — APTA COM AJUSTES. Fila COMPLETA.</w:t>
            </w:r>
          </w:p>
        </w:tc>
      </w:tr>
    </w:tbl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IV. Pendente de veredito da signatária</w:t>
      </w:r>
    </w:p>
    <w:p>
      <w:pPr>
        <w:spacing w:after="100" w:line="272" w:lineRule="auto"/>
        <w:jc w:val="both"/>
      </w:pPr>
      <w:r>
        <w:rPr>
          <w:b/>
          <w:bCs/>
        </w:rPr>
        <w:t xml:space="preserve">Despacho de Reconciliação R3</w:t>
      </w:r>
      <w:r>
        <w:t xml:space="preserve"> (minuta v1.0, 09/06) — aguarda decisão: registra as 4 confirmações, valida o método de re-coleta da linha 316 (com o acréscimo da confirmação de compreensão do hipervulnerável) e trata o §0 (nome em histórico) como questão de incidente (art. 48 LGPD), a qualificar pelo MC (template × PII real).</w:t>
      </w:r>
    </w:p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V. Execução do lado MC (atividade-meio — não dependem de novo parecer)</w:t>
      </w:r>
    </w:p>
    <w:p>
      <w:pPr>
        <w:spacing w:after="100" w:line="272" w:lineRule="auto"/>
        <w:jc w:val="both"/>
      </w:pPr>
      <w:r>
        <w:rPr>
          <w:b/>
          <w:bCs/>
        </w:rPr>
        <w:t xml:space="preserve">Ajustes selados nesta rodada, a aplicar e conferir na entrega: </w:t>
      </w:r>
      <w:r>
        <w:t xml:space="preserve">Φ₁ — destaque do art. 54 §§3º/4º (corpo ≥12 + rubrica na cl. 8.2) e crédito responsável no parcelamento; minimização do metadata da custódia; consentimento granular + RIPD selado antes de o Φ₄ operar. Ψ₁ — reforço de transparência da exclusividade na Crisálida (livre escolha sem desvantagem), metodologia de preço documentada/auditável (sem fator que referencie valor do caso) e confirmação do enquadramento tributário com especialista. ADR-016 — disclosure (CNAE 6201-5/01; “solo brasileiro” conforme a régua do ADR-012; “respeita os princípios” da CNJ 615; uniformizar PDF/A-2u).</w:t>
      </w:r>
    </w:p>
    <w:p>
      <w:pPr>
        <w:spacing w:after="100" w:line="272" w:lineRule="auto"/>
        <w:jc w:val="both"/>
      </w:pPr>
      <w:r>
        <w:rPr>
          <w:b/>
          <w:bCs/>
        </w:rPr>
        <w:t xml:space="preserve">Itens soberanos / de infraestrutura: </w:t>
      </w:r>
      <w:r>
        <w:t xml:space="preserve">re-coleta do consentimento (linha 316) + selo do RIPD da Custódia (bloqueante de nova custódia); redação fina + reescrita do histórico git da Frente 4 (com o gate Sister Anciã); camada de anonimização (cond. 2 da Governança); ajustes do DPO (canal despessoalizado + plano de transição); varredura do CLAUDE.md para Ψ₃; reemissão da Nota de Reconciliação como v2.0 (Ψ₁/Ψ₂/Ψ₃); migração do repositório.</w:t>
      </w:r>
    </w:p>
    <w:p>
      <w:pPr>
        <w:spacing w:after="90" w:before="230"/>
      </w:pPr>
      <w:r>
        <w:rPr>
          <w:b/>
          <w:bCs/>
          <w:color w:val="1F3864"/>
          <w:sz w:val="24"/>
          <w:szCs w:val="24"/>
        </w:rPr>
        <w:t xml:space="preserve">VI. Conclusão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9F2DC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30"/>
            </w:pPr>
            <w:r>
              <w:rPr>
                <w:b/>
                <w:bCs/>
                <w:color w:val="1F6B3B"/>
              </w:rPr>
              <w:t xml:space="preserve">Fecho: </w:t>
            </w:r>
            <w:r>
              <w:rPr>
                <w:color w:val="1F6B3B"/>
              </w:rPr>
              <w:t xml:space="preserve">“Encerro o ciclo R3 de 06–09/06/2026 com treze pareceres/despachos e quatro instrumentos selados e firmados, a fila dos quatro condicionados completa, um único despacho (Reconciliação R3) pendente do meu veredito, a etapa (ii) do ADR-012 reservada para pós-Sales, e os ajustes de execução remetidos à atividade-meio do MC. O firewall entre a atividade-meio (MC) e a atividade-fim (parecerista) permanece íntegro; o método Proof-First foi observado, com verificação própria das normas pós-corte (CNJ 615/2025, caso TRT-8, Resolução ANPD 19/2024). Sob D &gt; C &gt; V, a dignidade do cidadão hipervulnerável orientou cada decisão.”</w:t>
            </w:r>
          </w:p>
        </w:tc>
      </w:tr>
    </w:tbl>
    <w:p>
      <w:pPr>
        <w:spacing w:after="120" w:before="40"/>
      </w:pPr>
      <w:r>
        <w:rPr>
          <w:b/>
          <w:bCs/>
        </w:rPr>
        <w:t xml:space="preserve">A signatária emite o presente fecho:</w:t>
      </w:r>
    </w:p>
    <w:p>
      <w:pPr>
        <w:spacing w:after="40"/>
      </w:pPr>
      <w:r>
        <w:rPr>
          <w:b/>
          <w:bCs/>
          <w:color w:val="1F6B3B"/>
        </w:rPr>
        <w:t xml:space="preserve">☑ Emito e arquivo como registro do ciclo R3 (sem ressalvas).</w:t>
      </w:r>
    </w:p>
    <w:p>
      <w:pPr>
        <w:pBdr>
          <w:top w:val="single" w:color="000000" w:sz="6" w:space="6"/>
        </w:pBdr>
        <w:spacing w:before="260"/>
        <w:jc w:val="center"/>
      </w:pPr>
    </w:p>
    <w:p>
      <w:pPr>
        <w:spacing w:before="70"/>
        <w:jc w:val="center"/>
      </w:pPr>
      <w:r>
        <w:rPr>
          <w:b/>
          <w:bCs/>
        </w:rPr>
        <w:t xml:space="preserve">Dra. Juliana Pereira de Melo</w:t>
      </w:r>
    </w:p>
    <w:p>
      <w:pPr>
        <w:jc w:val="center"/>
      </w:pPr>
      <w:r>
        <w:t xml:space="preserve">OAB-GO 38.662</w:t>
      </w:r>
    </w:p>
    <w:p>
      <w:pPr>
        <w:spacing w:after="80"/>
        <w:jc w:val="center"/>
      </w:pPr>
      <w:r>
        <w:rPr>
          <w:color w:val="666666"/>
          <w:sz w:val="18"/>
          <w:szCs w:val="18"/>
        </w:rPr>
        <w:t xml:space="preserve">Goiânia-GO, emitido e firmado em 09/06/2026</w:t>
      </w:r>
    </w:p>
    <w:p>
      <w:pPr>
        <w:spacing w:after="120"/>
        <w:jc w:val="center"/>
      </w:pPr>
      <w:r>
        <w:rPr>
          <w:i/>
          <w:iCs/>
          <w:color w:val="666666"/>
          <w:sz w:val="16"/>
          <w:szCs w:val="16"/>
        </w:rPr>
        <w:t xml:space="preserve">Documento de assessoria. Consolida decisões já firmadas; a emissão e a responsabilidade técnica são exclusivas da advogada signatária.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jc w:val="center"/>
    </w:pPr>
    <w:r>
      <w:rPr>
        <w:color w:val="666666"/>
        <w:sz w:val="12"/>
        <w:szCs w:val="12"/>
      </w:rPr>
      <w:t xml:space="preserve">Meu Cumpadre · Despacho Consolidado de Fecho v1.1 EMITIDO/SELADO · D &gt; C &gt; V · Provérbios 31:8 · Independência do parecerista preservada (Lei 8.906/94, art. 18) · Pág. </w:t>
    </w:r>
    <w:r>
      <w:rPr>
        <w:color w:val="666666"/>
        <w:sz w:val="12"/>
        <w:szCs w:val="1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jc w:val="right"/>
    </w:pPr>
    <w:r>
      <w:rPr>
        <w:color w:val="666666"/>
        <w:sz w:val="12"/>
        <w:szCs w:val="12"/>
      </w:rPr>
      <w:t xml:space="preserve">DESPACHO CONSOLIDADO DE FECHO DE MESA — R3 — v1.1 EMITIDO/SELADO —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2026-06-09T16:38:26.288Z</dcterms:created>
  <dcterms:modified xsi:type="dcterms:W3CDTF">2026-06-09T16:38:26.289Z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