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ETAPA (i) RATIFICADA v1.1 — SELADA E FIRMADA PELA SIGNATÁRIA (09/06/2026). </w:t>
            </w:r>
            <w:r>
              <w:rPr>
                <w:sz w:val="18"/>
                <w:szCs w:val="18"/>
              </w:rPr>
              <w:t xml:space="preserve">A signatária validou a Opção A: o Cenário Beta com dado real é ADEQUADO COM AJUSTES (base de transferência no art. 33 IX/VIII; consentimento de transferência elevado; minimização/de-identificação; RIPD selado; provisional time-boxed; cessa a escalada se o consentimento for revogado), com C9 (Vertex São Paulo) como caminho ouro provisório. As hipóteses H1–H4 e a seleção definitiva ficam reservadas à etapa (ii), pós-respostas Contact Sales.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28"/>
          <w:szCs w:val="28"/>
        </w:rPr>
        <w:t xml:space="preserve">PARECER — GATE R3 (ADR-012) · ETAPA (i) RATIFICADA</w:t>
      </w:r>
    </w:p>
    <w:p>
      <w:pPr>
        <w:spacing w:after="60"/>
        <w:jc w:val="center"/>
      </w:pPr>
      <w:r>
        <w:rPr>
          <w:i/>
          <w:iCs/>
          <w:color w:val="1F3864"/>
          <w:sz w:val="20"/>
          <w:szCs w:val="20"/>
        </w:rPr>
        <w:t xml:space="preserve">Stack LLM · transferência internacional de dado sensível (art. 33) · etapa (i) · 1º condicionado</w:t>
      </w:r>
    </w:p>
    <w:p>
      <w:pPr>
        <w:spacing w:after="150"/>
        <w:jc w:val="center"/>
      </w:pPr>
      <w:r>
        <w:rPr>
          <w:b/>
          <w:bCs/>
          <w:color w:val="1F6B3B"/>
          <w:sz w:val="18"/>
          <w:szCs w:val="18"/>
        </w:rPr>
        <w:t xml:space="preserve">RATIFICADO E FIRMADO PELA SIGNATÁRIA — VERSÃO SELADA v1.1 (09/06/2026) · Opção A — ADEQUADO COM AJUSTES + C9 provisório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o tratamento de </w:t>
      </w:r>
      <w:r>
        <w:rPr>
          <w:b/>
          <w:bCs/>
        </w:rPr>
        <w:t xml:space="preserve">dado pessoal sensível de saúde</w:t>
      </w:r>
      <w:r>
        <w:t xml:space="preserve"> (CID/laudos — art. 5º II, art. 11) de cidadão hipervulnerável, processado por LLM na escalada dos casos mais complexos (~5–10%). Quando o modelo roda fora do Brasil, há </w:t>
      </w:r>
      <w:r>
        <w:rPr>
          <w:b/>
          <w:bCs/>
        </w:rPr>
        <w:t xml:space="preserve">transferência internacional</w:t>
      </w:r>
      <w:r>
        <w:t xml:space="preserve"> (art. 33). Perguntas (etapa i): cada caminho aciona o art. 33 e sob qual base? a Resolução ANPD 19/2024 deve ser incorporada ou basta referenciar? o Cenário Beta com dado real é adequado agora? qual o caminho ouro provisório? As hipóteses H1–H4 ficam reservadas à etapa (ii).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26"/>
        <w:gridCol w:w="120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5º II; art. 11 (I; II “d”/“f”)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Saúde é dado sensível. Tratamento só com consentimento específico (I) ou nas hipóteses indispensáveis — destaque para exercício regular de direitos (II “d”) e tutela da saúde (II “f”).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33 (II “b”; VIII; IX)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Transferência permitida: II “b” cláusulas-padrão; VIII consentimento específico e em destaque, com informação prévia (do caráter internacional); IX para atender o art. 7º II/V/VI — VI = exercício regular de direitos em processo.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8º; art. 38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Consentimento: destacado, finalidades determinadas (nulas as genéricas), ônus da prova do controlador, revogável. RIPD para dado sensível.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Resolução CD/ANPD nº 19/2024, art. 16 (Anexo II)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Validade da transferência por cláusulas-padrão pressupõe adoção INTEGRAL e SEM ALTERAÇÃO do Anexo II, em instrumento assinado exportador–importador. Período de graça encerrado em 23/08/2025. ANPD não reconheceu nenhum país como adequado.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3.1 Duas camadas que não se confundem</w:t>
      </w:r>
    </w:p>
    <w:p>
      <w:pPr>
        <w:spacing w:after="108" w:line="274" w:lineRule="auto"/>
        <w:jc w:val="both"/>
      </w:pPr>
      <w:r>
        <w:t xml:space="preserve">A operação tem </w:t>
      </w:r>
      <w:r>
        <w:rPr>
          <w:b/>
          <w:bCs/>
        </w:rPr>
        <w:t xml:space="preserve">duas perguntas distintas</w:t>
      </w:r>
      <w:r>
        <w:t xml:space="preserve">, ambas exigíveis: (1) </w:t>
      </w:r>
      <w:r>
        <w:rPr>
          <w:b/>
          <w:bCs/>
        </w:rPr>
        <w:t xml:space="preserve">pode-se tratar o dado sensível?</w:t>
      </w:r>
      <w:r>
        <w:t xml:space="preserve"> — sim, por art. 11 II “d” (exercício regular de direitos no processo previdenciário) e/ou art. 11 I (consentimento); (2) </w:t>
      </w:r>
      <w:r>
        <w:rPr>
          <w:b/>
          <w:bCs/>
        </w:rPr>
        <w:t xml:space="preserve">pode-se transferi-lo ao exterior?</w:t>
      </w:r>
      <w:r>
        <w:t xml:space="preserve"> — questão própria do art. 33. Satisfazer a primeira não satisfaz a segunda. A boa notícia: o art. 33 tem base própria para o caso — ver 3.3.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3.2 Os três caminhos × art. 33 (Pergunta 1)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26"/>
        <w:gridCol w:w="14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Caminho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Enquadramento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Art. 33?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Base/rota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C9 Vertex São Paulo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 o dado é processado e PERMANECE no Brasil (residência confirmada, sem subprocessamento externo), não há transferência.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 incide (se BR puro)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 (sem TID); se houver subproc. externo → SCCs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C1 Anthropic direta (EUA)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Processa nos EUA → transferência. DPA incorpora só SCCs-UE (2021/914); sem reconhecimento de adequação, não substituem o Anexo II-BR.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SCCs-BR a incorporar (H1–H4) ou art. 33 IX/VIII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C5a Bedrock sa-east-1 (Beta)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endpoint roteia para fora → transferência. “Brazilian SCCs Addendum” de existência não confirmada (G-Sales-3).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Addendum (se incorporar Anexo II) ou art. 33 IX/VIII</w:t>
            </w:r>
          </w:p>
        </w:tc>
      </w:tr>
    </w:tbl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3.3 Incorporar × referenciar (Pergunta 2) — e a base do Beta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Pergunta 2 — resposta direta: </w:t>
      </w:r>
      <w:r>
        <w:t xml:space="preserve">pelo art. 16 da Resolução 19/2024, a transferência por cláusulas-padrão só é válida com a adoção </w:t>
      </w:r>
      <w:r>
        <w:rPr>
          <w:b/>
          <w:bCs/>
        </w:rPr>
        <w:t xml:space="preserve">integral e sem alteração</w:t>
      </w:r>
      <w:r>
        <w:t xml:space="preserve"> do Anexo II, em instrumento assinado. </w:t>
      </w:r>
      <w:r>
        <w:rPr>
          <w:b/>
          <w:bCs/>
          <w:color w:val="9C2A2A"/>
        </w:rPr>
        <w:t xml:space="preserve">Referenciar/linkar NÃO basta</w:t>
      </w:r>
      <w:r>
        <w:t xml:space="preserve">. Esse é o teste a aplicar às 3 respostas Sales: vence o caminho cujo contrato efetivamente </w:t>
      </w:r>
      <w:r>
        <w:rPr>
          <w:b/>
          <w:bCs/>
        </w:rPr>
        <w:t xml:space="preserve">incorpora</w:t>
      </w:r>
      <w:r>
        <w:t xml:space="preserve"> o Anexo II. Como o período de graça terminou em 23/08/2025, não há mais transição: transferência comercial contínua sem SCCs incorporadas fica descoberta nessa rota.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Mas o piloto não depende das SCCs. </w:t>
      </w:r>
      <w:r>
        <w:t xml:space="preserve">A transferência do Cenário Beta, </w:t>
      </w:r>
      <w:r>
        <w:rPr>
          <w:b/>
          <w:bCs/>
        </w:rPr>
        <w:t xml:space="preserve">vinculada à finalidade</w:t>
      </w:r>
      <w:r>
        <w:t xml:space="preserve"> de instruir o processo do próprio titular, ampara-se no </w:t>
      </w:r>
      <w:r>
        <w:rPr>
          <w:b/>
          <w:bCs/>
        </w:rPr>
        <w:t xml:space="preserve">art. 33 IX c/c art. 7º VI (exercício regular de direitos em processo)</w:t>
      </w:r>
      <w:r>
        <w:t xml:space="preserve"> — a razão de ser do dossiê — e, cumulativamente, no </w:t>
      </w:r>
      <w:r>
        <w:rPr>
          <w:b/>
          <w:bCs/>
        </w:rPr>
        <w:t xml:space="preserve">art. 33 VIII (consentimento específico e em destaque, com informação prévia do caráter internacional)</w:t>
      </w:r>
      <w:r>
        <w:t xml:space="preserve">. Essas bases são autônomas em relação à lacuna das SCCs.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3.4 Cenário Beta com dado real (Pergunta 4)</w:t>
      </w:r>
    </w:p>
    <w:p>
      <w:pPr>
        <w:spacing w:after="108" w:line="274" w:lineRule="auto"/>
        <w:jc w:val="both"/>
      </w:pPr>
      <w:r>
        <w:t xml:space="preserve">Há base de transferência (3.3). O que falta é </w:t>
      </w:r>
      <w:r>
        <w:rPr>
          <w:b/>
          <w:bCs/>
        </w:rPr>
        <w:t xml:space="preserve">blindar a base e minimizar a exposição</w:t>
      </w:r>
      <w:r>
        <w:t xml:space="preserve">. Ajustes para a adequação: (1) elevar o opt-in Zilda-STF a </w:t>
      </w:r>
      <w:r>
        <w:rPr>
          <w:b/>
          <w:bCs/>
        </w:rPr>
        <w:t xml:space="preserve">consentimento de transferência</w:t>
      </w:r>
      <w:r>
        <w:t xml:space="preserve"> — informar de forma destacada e prévia o caráter internacional, distinguindo-o das demais finalidades (art. 33 VIII + art. 8 §4); (2) minimizar/de-identificar o dado sensível antes da escalada ao Claude sempre que a tarefa permitir (a maior parte roda em GAIA self-host, sem transferência; só a fração irredutível escala) — ligação com o parecer R3 de De-identificação; (3) RIPD/DPIA da transferência selado; (4) caráter provisional, time-boxed e documentado, com risco assumido pelo Founder; (5) revogação do consentimento ⇒ cessa a escalada ao Claude para aquele titular. Com isso, o Beta é adequado; sem o consentimento de transferência elevado, a base repousa só no art. 33 IX — defensável, porém mais fina para dado sensível de hipervulnerável.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3.5 H1–H4 (Anthropic §12 × DPA) — reservadas, com inclinação preliminar</w:t>
      </w:r>
    </w:p>
    <w:p>
      <w:pPr>
        <w:spacing w:after="108" w:line="274" w:lineRule="auto"/>
        <w:jc w:val="both"/>
      </w:pPr>
      <w:r>
        <w:t xml:space="preserve">Reservo a selagem final para a etapa (ii) (depende das respostas Sales). Inclinação preliminar: como o art. 16 exige incorporação integral do Anexo II e a ANPD não reconheceu adequação, as SCCs-UE não cobrem automaticamente transferência com origem no Brasil (H3 frágil); a menção da Privacy Policy §12 é, no máximo, compromisso que ainda exige o Anexo II efetivamente incorporado (H1 otimista). Postura prudente: </w:t>
      </w:r>
      <w:r>
        <w:rPr>
          <w:b/>
          <w:bCs/>
        </w:rPr>
        <w:t xml:space="preserve">H2/H4</w:t>
      </w:r>
      <w:r>
        <w:t xml:space="preserve"> — tratar a rota-SCC como não assegurada até a Anthropic incorporar o Anexo II-BR. Nada disso afeta o piloto, que se sustenta no art. 33 IX/VIII.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26"/>
        <w:gridCol w:w="1300"/>
        <w:gridCol w:w="19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Transferência (base)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TID de dado sensível sem SCCs (graça encerrada)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 (piloto) / Alta (comercial)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Piloto: art. 33 IX/VIII. Comercial: incorporar Anexo II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sensível + hipervulnerável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CID exposto a processador externo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Minimizar/de-identificar; preferir GAIA self-host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Consentimento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Opt-in não destaca o caráter internacional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Elevar a consentimento de transferência (art. 33 VIII)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Caminho ouro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Seleção depende de 3 respostas Sales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 (reservável)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C9 provisório; etapa (ii) sela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Respostas técnicas às perguntas de selagem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C9: art. 33 NÃO incide se o dado permanece no Brasil (sem subproc. externo) — confirmar G-Sales-1. C1 e C5a: art. 33 INCIDE (processam/roteiam fora); base = SCCs-BR incorporadas (rota comercial) ou art. 33 IX/VIII (piloto vinculado à finalidade).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Incorporar — art. 16 da Res. 19/2024 exige adoção integral e sem alteração do Anexo II, assinada. Referenciar/linkar não basta. É o teste das respostas Sales. Graça encerrada em 23/08/2025.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H1–H4 reservadas à etapa (ii). Inclinação preliminar prudente: H2/H4 (SCC-UE não assegura origem-BR; exige Anexo II incorporado). Não afeta o piloto.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Cenário Beta ADEQUADO COM AJUSTES: base no art. 33 IX (exercício de direitos) + art. 33 VIII (consentimento de transferência elevado), minimização/de-identificação, RIPD selado, provisional time-boxed. Sem o consentimento elevado, recomenda-se cautela reforçada.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Caminho ouro provisório: C9 (Vertex São Paulo), por residência no Brasil (idealmente sem incidência do art. 33), condicionado à confirmação G-Sales-1. Migrar o Beta de C5a para C9 assim que confirmado.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ADEQUADO COM AJUSTES + C9 provisório (RECOMENDADA). </w:t>
      </w:r>
      <w:r>
        <w:t xml:space="preserve">Validar a operação do Cenário Beta com dado real sob as cinco salvaguardas (3.4), apontar C9 como caminho ouro provisório e reservar H1–H4 e a seleção definitiva à etapa (ii).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TRAVAR a escalada ao Claude até o caminho ouro selar (só GAIA self-host). </w:t>
      </w:r>
      <w:r>
        <w:t xml:space="preserve">Mais conservadora; protege ao máximo o dado, mas retira dos casos mais complexos (hipervulneráveis) a escalada — tensão direta com a dignidade do acesso.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Sob D &gt; C &gt; V, a dignidade do acesso é preservada e o compliance é atendido por base de transferência legítima (não por mera tolerância): o art. 33 IX/VIII ampara o piloto vinculado à finalidade, e a minimização reduz a exposição ao mínimo irredutível. A decisão — inclusive a alternativa de travar —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Examinado o ADR-012 (Stack LLM) à luz da LGPD (arts. 5º II, 11, 33, 8º, 38) e da Resolução CD/ANPD 19/2024 (art. 16): (1) a transferência internacional incide nos caminhos que processam/roteiam o dado fora do Brasil (C1, C5a) e não incide no que mantém o dado no Brasil (C9, a confirmar); (2) a rota das cláusulas-padrão exige incorporação integral do Anexo II, não bastando referência — encerrada a graça em 23/08/2025; (3) o Cenário Beta com dado real é ADEQUADO COM AJUSTES, amparada a transferência no art. 33, IX (exercício regular de direitos em processo) e VIII (consentimento específico e em destaque sobre o caráter internacional), sob minimização/de-identificação, RIPD selado e caráter provisional documentado; (4) indica-se C9 (residência em São Paulo) como caminho ouro provisório. As hipóteses H1–H4 e a seleção definitiva ficam reservadas à etapa (ii), pós-respostas Contact Sales. Sob D &gt; C &gt; V, preserva-se o acesso do hipervulnerável com base de transferência legítima e exposição minimizada.”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LGPD (Lei 13.709/2018) arts. 5º II, 7º VI, 8º, 11 (I, II “d”/“f”), 33 (II “b”, VIII, IX), 38 — [VERIFICADO no Project]. Resolução CD/ANPD nº 19/2024, art. 16 e Anexo II; encerramento da graça em 23/08/2025; ausência de reconhecimento de adequação — [VERIFICADO via web · gov.br/anpd]. ADR-012 v1.2; ADR-009b v1.3 (custódia); Parecer R3 Governança v1.1 e De-identificação v1.1 — [VERIFICADO — lidos/selados]. Respostas Contact Sales (incorporação da 19/2024 por Google/Anthropic/AWS) — [FONTE PENDENTE — etapa (ii)].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60" w:before="60"/>
      </w:pPr>
      <w:r>
        <w:rPr>
          <w:b/>
          <w:bCs/>
        </w:rPr>
        <w:t xml:space="preserve">Cenário Beta (dado real · Crisálida):</w:t>
      </w:r>
    </w:p>
    <w:p>
      <w:pPr>
        <w:spacing w:after="40"/>
      </w:pPr>
      <w:r>
        <w:rPr>
          <w:b/>
          <w:bCs/>
        </w:rPr>
        <w:t xml:space="preserve">Cenário Beta (dado real): </w:t>
      </w:r>
      <w:r>
        <w:rPr>
          <w:b/>
          <w:bCs/>
          <w:color w:val="1F6B3B"/>
        </w:rPr>
        <w:t xml:space="preserve">☑ ADEQUADO COM AJUSTES</w:t>
      </w:r>
      <w:r>
        <w:t xml:space="preserve"> — consentimento de transferência elevado (art. 33 VIII), minimização/de-identificação antes da escalada, RIPD selado, caráter provisional time-boxed, e cessação da escalada ao Claude se o consentimento for revogado.</w:t>
      </w:r>
    </w:p>
    <w:p>
      <w:pPr>
        <w:spacing w:after="40"/>
      </w:pPr>
      <w:r>
        <w:rPr>
          <w:b/>
          <w:bCs/>
        </w:rPr>
        <w:t xml:space="preserve">Caminho ouro provisório: </w:t>
      </w:r>
      <w:r>
        <w:rPr>
          <w:b/>
          <w:bCs/>
          <w:color w:val="1F6B3B"/>
        </w:rPr>
        <w:t xml:space="preserve">☑ C9 (Vertex São Paulo)</w:t>
      </w:r>
      <w:r>
        <w:t xml:space="preserve"> — condicionado à confirmação de residência no Brasil sem subprocessamento externo (G-Sales-1); migrar o Beta de C5a para C9 assim que confirmado.</w:t>
      </w:r>
    </w:p>
    <w:p>
      <w:pPr>
        <w:spacing w:after="120"/>
      </w:pPr>
      <w:r>
        <w:rPr>
          <w:b/>
          <w:bCs/>
        </w:rPr>
        <w:t xml:space="preserve">H1–H4: </w:t>
      </w:r>
      <w:r>
        <w:rPr>
          <w:color w:val="1F6B3B"/>
        </w:rPr>
        <w:t xml:space="preserve">☑ reservadas para a etapa (ii)</w:t>
      </w:r>
      <w:r>
        <w:t xml:space="preserve"> (pós-respostas Contact Sales). O piloto não depende delas.</w:t>
      </w:r>
    </w:p>
    <w:p>
      <w:pPr>
        <w:spacing w:after="120" w:before="40"/>
      </w:pPr>
      <w:r>
        <w:rPr>
          <w:b/>
          <w:bCs/>
        </w:rPr>
        <w:t xml:space="preserve">Observações da signatária: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26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 firmado em 09/06/2026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validação, sua ratificação/retificação/rejeição e a responsabilidade técnica são exclusivas da advogada signatária. Etapa (ii) (caminho ouro + H1–H4) reservada para pós-Sales.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ADR-012 (etapa i)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PARECER R3 — ADR-012 STACK LLM · ETAPA (i)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2026-06-09T15:30:41.829Z</dcterms:created>
  <dcterms:modified xsi:type="dcterms:W3CDTF">2026-06-09T15:30:41.829Z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