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9F2DC" w:color="auto" w:val="clear"/>
            <w:tcMar>
              <w:top w:type="dxa" w:w="92"/>
              <w:left w:type="dxa" w:w="132"/>
              <w:bottom w:type="dxa" w:w="92"/>
              <w:right w:type="dxa" w:w="132"/>
            </w:tcMar>
          </w:tcPr>
          <w:p>
            <w:pPr>
              <w:spacing w:after="32"/>
            </w:pPr>
            <w:r>
              <w:rPr>
                <w:b/>
                <w:bCs/>
                <w:sz w:val="18"/>
                <w:szCs w:val="18"/>
              </w:rPr>
              <w:t xml:space="preserve">RATIFICADO v1.1 — SELADO E FIRMADO PELA SIGNATÁRIA (09/06/2026). </w:t>
            </w:r>
            <w:r>
              <w:rPr>
                <w:sz w:val="18"/>
                <w:szCs w:val="18"/>
              </w:rPr>
              <w:t xml:space="preserve">A signatária validou a Opção A: G1 (conforme à Res. CNJ 615/2025) e G2 (a disciplina afasta o risco do art. 77 CPC — boa-fé documental), com os ajustes do disclosure (CNAE 6201-5/01; frase “solo brasileiro” conforme a régua do ADR-012 v1.1; “respeita os princípios” da CNJ 615; uniformizar PDF/A-2u) e a camada humana como salvaguarda inviolável, reforçada por re-check técnico periódico. G3–G5 seguem seus donos. A responsabilidade técnica e a assinatura são exclusivas da advogada signatária.</w:t>
            </w:r>
          </w:p>
        </w:tc>
      </w:tr>
    </w:tbl>
    <w:p>
      <w:pPr>
        <w:spacing w:after="40" w:before="160"/>
        <w:jc w:val="center"/>
      </w:pPr>
      <w:r>
        <w:rPr>
          <w:b/>
          <w:bCs/>
          <w:sz w:val="30"/>
          <w:szCs w:val="30"/>
        </w:rPr>
        <w:t xml:space="preserve">PARECER — GATE R3 (ADR-016) (RATIFICADO)</w:t>
      </w:r>
    </w:p>
    <w:p>
      <w:pPr>
        <w:spacing w:after="60"/>
        <w:jc w:val="center"/>
      </w:pPr>
      <w:r>
        <w:rPr>
          <w:i/>
          <w:iCs/>
          <w:color w:val="1F3864"/>
          <w:sz w:val="20"/>
          <w:szCs w:val="20"/>
        </w:rPr>
        <w:t xml:space="preserve">Compliance Documental Anti-Injection — gates G1 (CNJ 615/2025) e G2 (art. 77 CPC) · 2º condicionado</w:t>
      </w:r>
    </w:p>
    <w:p>
      <w:pPr>
        <w:spacing w:after="150"/>
        <w:jc w:val="center"/>
      </w:pPr>
      <w:r>
        <w:rPr>
          <w:b/>
          <w:bCs/>
          <w:color w:val="1F6B3B"/>
          <w:sz w:val="18"/>
          <w:szCs w:val="18"/>
        </w:rPr>
        <w:t xml:space="preserve">RATIFICADO E FIRMADO PELA SIGNATÁRIA — VERSÃO SELADA v1.1 (09/06/2026) · Opção A — VALIDAR G1 e G2 COM AJUSTES</w:t>
      </w:r>
    </w:p>
    <w:p>
      <w:pPr>
        <w:spacing w:after="100" w:before="240"/>
      </w:pPr>
      <w:r>
        <w:rPr>
          <w:b/>
          <w:bCs/>
          <w:color w:val="1F3864"/>
          <w:sz w:val="25"/>
          <w:szCs w:val="25"/>
        </w:rPr>
        <w:t xml:space="preserve">1. Matéria e pergunta jurídica</w:t>
      </w:r>
    </w:p>
    <w:p>
      <w:pPr>
        <w:spacing w:after="108" w:line="274" w:lineRule="auto"/>
        <w:jc w:val="both"/>
      </w:pPr>
      <w:r>
        <w:t xml:space="preserve">Matéria: a disciplina inviolável de produção de toda peça documental do MC (B2C Φ₁/Φ₁c/Φ₁-PcD/Φ₀ · B2B Ψ₁) contra </w:t>
      </w:r>
      <w:r>
        <w:rPr>
          <w:b/>
          <w:bCs/>
        </w:rPr>
        <w:t xml:space="preserve">prompt injection documental</w:t>
      </w:r>
      <w:r>
        <w:t xml:space="preserve">, à luz da jurisprudência recente e das normas de IA. Perguntas: (G1) os três pilares do ADR-016 são conformes à Resolução CNJ 615/2025? (G2) a disciplina (sanitização + proibições + camada humana) basta como prova de boa-fé documental, mitigando o risco do art. 77 CPC que o caso TRT-8 materializou? (Q3) o disclosure de IA está adequado à Recomendação CFOAB 001/2024 (+ CNAE + frase “solo brasileiro” sob ADR-012)? (Q4) a camada humana basta para o risco residual?</w:t>
      </w:r>
    </w:p>
    <w:p>
      <w:pPr>
        <w:spacing w:after="100" w:before="240"/>
      </w:pPr>
      <w:r>
        <w:rPr>
          <w:b/>
          <w:bCs/>
          <w:color w:val="1F3864"/>
          <w:sz w:val="25"/>
          <w:szCs w:val="25"/>
        </w:rPr>
        <w:t xml:space="preserve">2. Base normativa (com selo Proof-First)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4926"/>
        <w:gridCol w:w="1200"/>
      </w:tblGrid>
      <w:tr>
        <w:trPr>
          <w:tblHeader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Norma / fonte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Conteúdo pertinente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Selo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Resolução CNJ nº 615/2025 (11/03/2025; vigente 14/07/2025)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Governança/risco/auditoria/transparência de IA no Judiciário; substitui a Res. 332/2020; centralidade humana (a IA não substitui o juiz); LGPD; cadastro Sinapses; CNIAJ (art. 15).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[VERIFICADO via web]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Caso TRT-8 Parauapebas (12/05/2026; proc. 0001062-55.2025.5.08.0130)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Injection em fonte branca detectada pelo Galileu; multa solidária de 10% do valor da causa (~R$ 84,2 mil) às advogadas + ofício à OAB/PA. OAB/PA suspendeu as advogadas (30 dias); STJ abriu inquérito; outro caso em SP (21/05).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[VERIFICADO via web]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CPC art. 77 (IV, VI) c/c §2º; art. 769 CLT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Deveres de boa-fé; violação de IV/VI = ato atentatório à dignidade da justiça, multa até 20% do valor da causa; aplicável ao processo do trabalho. (Interplay do §6º — apuração do advogado pela OAB — é enquadramento da signatária.)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[VERIFICADO — texto legal]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Recomendação CFOAB nº 001/2024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Transparência com o cliente sobre uso de IA (4.1/4.2); supervisão humana do julgamento, vedada delegação de atividade privativa (3.1); chatbots não fazem ato privativo (2.4).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[VERIFICADO no Project]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LGPD art. 33 (cross-link ADR-012)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Transferência internacional — condiciona a frase “dados em solo brasileiro” do disclosure (Bedrock sa-east-1).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[VERIFICADO no Project]</w:t>
            </w:r>
          </w:p>
        </w:tc>
      </w:tr>
    </w:tbl>
    <w:p>
      <w:pPr>
        <w:spacing w:after="100" w:before="240"/>
      </w:pPr>
      <w:r>
        <w:rPr>
          <w:b/>
          <w:bCs/>
          <w:color w:val="1F3864"/>
          <w:sz w:val="25"/>
          <w:szCs w:val="25"/>
        </w:rPr>
        <w:t xml:space="preserve">3. Análise</w:t>
      </w:r>
    </w:p>
    <w:p>
      <w:pPr>
        <w:spacing w:after="55" w:before="150"/>
      </w:pPr>
      <w:r>
        <w:rPr>
          <w:b/>
          <w:bCs/>
          <w:color w:val="1F3864"/>
          <w:sz w:val="20"/>
          <w:szCs w:val="20"/>
        </w:rPr>
        <w:t xml:space="preserve">G1 — conformidade com a Resolução CNJ 615/2025</w:t>
      </w:r>
    </w:p>
    <w:p>
      <w:pPr>
        <w:spacing w:after="108" w:line="274" w:lineRule="auto"/>
        <w:jc w:val="both"/>
      </w:pPr>
      <w:r>
        <w:t xml:space="preserve">Nota de enquadramento: a CNJ 615/2025 vincula o </w:t>
      </w:r>
      <w:r>
        <w:rPr>
          <w:b/>
          <w:bCs/>
        </w:rPr>
        <w:t xml:space="preserve">Poder Judiciário</w:t>
      </w:r>
      <w:r>
        <w:t xml:space="preserve"> e seus sistemas de IA, não diretamente o MC (produtor da peça). A conformidade do MC é, portanto, </w:t>
      </w:r>
      <w:r>
        <w:rPr>
          <w:b/>
          <w:bCs/>
        </w:rPr>
        <w:t xml:space="preserve">por antecipação e alinhamento</w:t>
      </w:r>
      <w:r>
        <w:t xml:space="preserve"> — postura correta. Nesse plano, os três pilares são conformes: (1) o formato canônico (PDF/A-2u, sem JavaScript/conteúdo dinâmico) e (2) a sanitização eliminam vetores de manipulação do sistema institucional, honrando a transparência exigida pela Resolução; (3) o disclosure e a camada humana honram a centralidade humana (a IA não decide; a signatária sela). A disciplina é, na prática, o oposto da conduta que a Resolução combate.</w:t>
      </w:r>
    </w:p>
    <w:p>
      <w:pPr>
        <w:spacing w:after="55" w:before="150"/>
      </w:pPr>
      <w:r>
        <w:rPr>
          <w:b/>
          <w:bCs/>
          <w:color w:val="1F3864"/>
          <w:sz w:val="20"/>
          <w:szCs w:val="20"/>
        </w:rPr>
        <w:t xml:space="preserve">G2 — disciplina × risco do art. 77 CPC (caso TRT-8)</w:t>
      </w:r>
    </w:p>
    <w:p>
      <w:pPr>
        <w:spacing w:after="108" w:line="274" w:lineRule="auto"/>
        <w:jc w:val="both"/>
      </w:pPr>
      <w:r>
        <w:t xml:space="preserve">O caso TRT-8 puniu a </w:t>
      </w:r>
      <w:r>
        <w:rPr>
          <w:b/>
          <w:bCs/>
        </w:rPr>
        <w:t xml:space="preserve">inserção deliberada</w:t>
      </w:r>
      <w:r>
        <w:t xml:space="preserve"> de comando oculto (má-fé). A disciplina do ADR-016 é o </w:t>
      </w:r>
      <w:r>
        <w:rPr>
          <w:b/>
          <w:bCs/>
        </w:rPr>
        <w:t xml:space="preserve">antípoda</w:t>
      </w:r>
      <w:r>
        <w:t xml:space="preserve"> dessa conduta: proíbe expressamente qualquer instrução direcionada a IA institucional — mesmo “proteja meu cliente da IA” —, sanitiza a peça (ExifTool/qpdf, contraste, fontes, zero-width) e submete tudo à leitura humana antes da assinatura. Como prova de boa-fé documental, a disciplina é </w:t>
      </w:r>
      <w:r>
        <w:rPr>
          <w:b/>
          <w:bCs/>
        </w:rPr>
        <w:t xml:space="preserve">robusta</w:t>
      </w:r>
      <w:r>
        <w:t xml:space="preserve"> e mitiga substancialmente o risco do art. 77: documenta intenção limpa, processo auditável (SIV/SHA-256/timestamp) e versionamento pré-sanitização. Ressalva honesta: o risco do MC não é </w:t>
      </w:r>
      <w:r>
        <w:rPr>
          <w:b/>
          <w:bCs/>
        </w:rPr>
        <w:t xml:space="preserve">injetar</w:t>
      </w:r>
      <w:r>
        <w:t xml:space="preserve"> (a disciplina veda), mas (a) um artefato residual escapar — coberto por sanitização + leitura humana — ou (b) um documento de origem do cidadão já conter injeção — capturado no pipeline. A disciplina endereça ambos.</w:t>
      </w:r>
    </w:p>
    <w:p>
      <w:pPr>
        <w:spacing w:after="55" w:before="150"/>
      </w:pPr>
      <w:r>
        <w:rPr>
          <w:b/>
          <w:bCs/>
          <w:color w:val="1F3864"/>
          <w:sz w:val="20"/>
          <w:szCs w:val="20"/>
        </w:rPr>
        <w:t xml:space="preserve">Q3 — disclosure de IA (CFOAB 001/2024) + dois ajustes</w:t>
      </w:r>
    </w:p>
    <w:p>
      <w:pPr>
        <w:spacing w:after="108" w:line="274" w:lineRule="auto"/>
        <w:jc w:val="both"/>
      </w:pPr>
      <w:r>
        <w:rPr>
          <w:b/>
          <w:bCs/>
        </w:rPr>
        <w:t xml:space="preserve">O disclosure ancora-se corretamente na CFOAB 001/2024 (4.1/4.2 — transparência sobre uso de IA). Ajustes recomendados: </w:t>
      </w:r>
      <w:r>
        <w:t xml:space="preserve">(i) CNAE — confirmar 6201-5/01 (canônico), como já corrigido na fonte; (ii) “dados em solo brasileiro” — a afirmação depende do ADR-012 (art. 33): enquanto o caminho não selar, usar formulação condicional (ex.: indicar subprocessador internacional informado, conforme o cenário do ADR-012), para não afirmar fato ainda não assentado; (iii) precisão — “em conformidade com a Res. CNJ 615/2025” é overclaim (a Resolução vincula o Judiciário); preferir “respeita os princípios da Res. CNJ 615/2025”; (iv) coerência interna — uniformizar PDF/A-2u × PDF/A-3 no ADR.</w:t>
      </w:r>
    </w:p>
    <w:p>
      <w:pPr>
        <w:spacing w:after="55" w:before="150"/>
      </w:pPr>
      <w:r>
        <w:rPr>
          <w:b/>
          <w:bCs/>
          <w:color w:val="1F3864"/>
          <w:sz w:val="20"/>
          <w:szCs w:val="20"/>
        </w:rPr>
        <w:t xml:space="preserve">Q4 — camada humana e risco residual</w:t>
      </w:r>
    </w:p>
    <w:p>
      <w:pPr>
        <w:spacing w:after="108" w:line="274" w:lineRule="auto"/>
        <w:jc w:val="both"/>
      </w:pPr>
      <w:r>
        <w:t xml:space="preserve">A leitura visual de cada peça pela signatária antes da assinatura A1 ICP-Brasil é salvaguarda </w:t>
      </w:r>
      <w:r>
        <w:rPr>
          <w:b/>
          <w:bCs/>
        </w:rPr>
        <w:t xml:space="preserve">central e suficiente</w:t>
      </w:r>
      <w:r>
        <w:t xml:space="preserve">, e ancora-se na CFOAB 001/2024 (3.1 — supervisão humana; vedada delegação de atividade privativa). Para ataques sofisticados (esteganografia, codepoints não-ASCII), recomenda-se reforço técnico periódico (re-execução do script de validação), sem prejuízo da camada humana, que permanece a trava inviolável — não substituível por automação.</w:t>
      </w:r>
    </w:p>
    <w:p>
      <w:pPr>
        <w:spacing w:after="100" w:before="240"/>
      </w:pPr>
      <w:r>
        <w:rPr>
          <w:b/>
          <w:bCs/>
          <w:color w:val="1F3864"/>
          <w:sz w:val="25"/>
          <w:szCs w:val="25"/>
        </w:rPr>
        <w:t xml:space="preserve">4. Matriz de risco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26"/>
        <w:gridCol w:w="1200"/>
        <w:gridCol w:w="200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Eixo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Foco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Sever.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Mitigação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Processual (art. 77)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Peça MC acusada de injeção/má-fé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Baixa (com disciplina)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Sanitização + proibições + leitura humana + SIV auditável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OAB/CNJ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Onda de fiscalização (OAB/PA, STJ, SP)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1D6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Média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Disciplina anti-injection by design; disclosure CFOAB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Disclosure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CNAE errado; overclaim CNJ; A-2u×A-3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1D6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Baixa-Média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Corrigir CNAE; “respeita os princípios”; uniformizar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LGPD (art. 33)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“Solo brasileiro” sem o ADR-012 selado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1D6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Média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Formulação condicional até o ADR-012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Residual técnico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Esteganografia / Unicode exótico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1D6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Baixa-Média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Camada humana + re-check periódico</w:t>
            </w:r>
          </w:p>
        </w:tc>
      </w:tr>
    </w:tbl>
    <w:p>
      <w:pPr>
        <w:spacing w:after="100" w:before="240"/>
      </w:pPr>
      <w:r>
        <w:rPr>
          <w:b/>
          <w:bCs/>
          <w:color w:val="1F3864"/>
          <w:sz w:val="25"/>
          <w:szCs w:val="25"/>
        </w:rPr>
        <w:t xml:space="preserve">5. Respostas técnicas às perguntas de selagem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Recomendação técnica (a Dra. decide)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G1</w:t>
            </w:r>
          </w:p>
        </w:tc>
        <w:tc>
          <w:tcPr>
            <w:tcW w:type="dxa" w:w="8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CONFORME — os 3 pilares alinham-se aos princípios da CNJ 615/2025 (transparência, centralidade humana). Nota: a Resolução vincula o Judiciário; a conformidade do MC é por antecipação/alinhamento (postura correta).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G2</w:t>
            </w:r>
          </w:p>
        </w:tc>
        <w:tc>
          <w:tcPr>
            <w:tcW w:type="dxa" w:w="8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SUFICIENTE como prova de boa-fé documental — a disciplina é o antípoda da conduta sancionada no TRT-8 e mitiga substancialmente o art. 77. Risco residual (artefato escapar / origem do cidadão) coberto por sanitização + camada humana.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Q3</w:t>
            </w:r>
          </w:p>
        </w:tc>
        <w:tc>
          <w:tcPr>
            <w:tcW w:type="dxa" w:w="8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Disclosure adequado à CFOAB 001/2024, COM AJUSTES: CNAE 6201-5/01 (confirmar); “solo brasileiro” condicional ao ADR-012 (art. 33); “respeita os princípios” da CNJ 615 (não “em conformidade”); uniformizar A-2u×A-3.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Q4</w:t>
            </w:r>
          </w:p>
        </w:tc>
        <w:tc>
          <w:tcPr>
            <w:tcW w:type="dxa" w:w="8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Camada humana suficiente e central (CFOAB 3.1). Recomenda-se re-check técnico periódico para ataques sofisticados, sem substituir a leitura humana (trava inviolável).</w:t>
            </w:r>
          </w:p>
        </w:tc>
      </w:tr>
    </w:tbl>
    <w:p>
      <w:pPr>
        <w:spacing w:after="100" w:before="240"/>
      </w:pPr>
      <w:r>
        <w:rPr>
          <w:b/>
          <w:bCs/>
          <w:color w:val="1F3864"/>
          <w:sz w:val="25"/>
          <w:szCs w:val="25"/>
        </w:rPr>
        <w:t xml:space="preserve">6. Opções e recomendação técnica</w:t>
      </w:r>
    </w:p>
    <w:p>
      <w:pPr>
        <w:spacing w:after="108" w:line="274" w:lineRule="auto"/>
        <w:jc w:val="both"/>
      </w:pPr>
      <w:r>
        <w:rPr>
          <w:b/>
          <w:bCs/>
        </w:rPr>
        <w:t xml:space="preserve">Opção A — VALIDAR G1 e G2 COM AJUSTES (RECOMENDADA). </w:t>
      </w:r>
      <w:r>
        <w:t xml:space="preserve">Selar G1 (conforme) e G2 (boa-fé suficiente), condicionados aos ajustes do disclosure (CNAE; frase “solo brasileiro” condicional ao ADR-012; “respeita os princípios” da CNJ 615; uniformizar A-2u×A-3) e ao reforço técnico periódico da camada humana. G3–G5 (Igor/UX/piloto) seguem seus próprios donos.</w:t>
      </w:r>
    </w:p>
    <w:p>
      <w:pPr>
        <w:spacing w:after="108" w:line="274" w:lineRule="auto"/>
        <w:jc w:val="both"/>
      </w:pPr>
      <w:r>
        <w:rPr>
          <w:b/>
          <w:bCs/>
        </w:rPr>
        <w:t xml:space="preserve">Opção B — validar sem ajustes. </w:t>
      </w:r>
      <w:r>
        <w:t xml:space="preserve">NÃO RECOMENDADA: mantém o overclaim do disclosure e a frase “solo brasileiro” pendente do ADR-012.</w:t>
      </w:r>
    </w:p>
    <w:p>
      <w:pPr>
        <w:spacing w:after="108" w:line="274" w:lineRule="auto"/>
        <w:jc w:val="both"/>
      </w:pPr>
      <w:r>
        <w:rPr>
          <w:b/>
          <w:bCs/>
          <w:color w:val="1F6B3B"/>
        </w:rPr>
        <w:t xml:space="preserve">Recomendação técnica: Opção A</w:t>
      </w:r>
      <w:r>
        <w:t xml:space="preserve">. A disciplina é sólida e tempestiva (a onda de fiscalização é real); os ajustes são de precisão do disclosure e de coerência, não de mérito. A decisão é da signatária.</w:t>
      </w:r>
    </w:p>
    <w:p>
      <w:pPr>
        <w:spacing w:after="100" w:before="240"/>
      </w:pPr>
      <w:r>
        <w:rPr>
          <w:b/>
          <w:bCs/>
          <w:color w:val="1F3864"/>
          <w:sz w:val="25"/>
          <w:szCs w:val="25"/>
        </w:rPr>
        <w:t xml:space="preserve">7. Minuta da conclusão (texto para ratificar/retificar/assinar)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9F2DC" w:color="auto" w:val="clear"/>
            <w:tcMar>
              <w:top w:type="dxa" w:w="92"/>
              <w:left w:type="dxa" w:w="132"/>
              <w:bottom w:type="dxa" w:w="92"/>
              <w:right w:type="dxa" w:w="132"/>
            </w:tcMar>
          </w:tcPr>
          <w:p>
            <w:pPr>
              <w:spacing w:after="32"/>
            </w:pPr>
            <w:r>
              <w:rPr>
                <w:b/>
                <w:bCs/>
                <w:color w:val="1F6B3B"/>
              </w:rPr>
              <w:t xml:space="preserve">Conclusão ratificada: </w:t>
            </w:r>
            <w:r>
              <w:rPr>
                <w:color w:val="1F6B3B"/>
              </w:rPr>
              <w:t xml:space="preserve">“RATIFICO A OPÇÃO A. Examinado o ADR-016 à luz da Resolução CNJ 615/2025, da Recomendação CFOAB 001/2024 e do art. 77 do CPC (c/c art. 769 da CLT), à luz do precedente TRT-8/Parauapebas: VALIDO o gate G1 — os três pilares são conformes, por antecipação, aos princípios da Res. CNJ 615/2025; e VALIDO o gate G2 — a disciplina de produção (sanitização, proibições absolutas e camada humana inviolável) é prova robusta de boa-fé documental, sendo o antípoda da conduta sancionada no precedente e mitigando substancialmente o risco do art. 77. A validação fica condicionada aos ajustes do disclosure: confirmação do CNAE 6201-5/01; formulação condicional da frase “dados em solo brasileiro” enquanto não selado o ADR-012 (art. 33); substituição de “em conformidade com a Res. CNJ 615/2025” por “respeita os princípios da Res. CNJ 615/2025”; e uniformização do formato (PDF/A-2u). A camada humana é a salvaguarda inviolável do risco residual, recomendado reforço técnico periódico.”</w:t>
            </w:r>
          </w:p>
        </w:tc>
      </w:tr>
    </w:tbl>
    <w:p>
      <w:pPr>
        <w:spacing w:after="100" w:before="240"/>
      </w:pPr>
      <w:r>
        <w:rPr>
          <w:b/>
          <w:bCs/>
          <w:color w:val="1F3864"/>
          <w:sz w:val="25"/>
          <w:szCs w:val="25"/>
        </w:rPr>
        <w:t xml:space="preserve">8. Fontes citadas (com selo)</w:t>
      </w:r>
    </w:p>
    <w:p>
      <w:pPr>
        <w:spacing w:after="108" w:line="274" w:lineRule="auto"/>
        <w:jc w:val="both"/>
      </w:pPr>
      <w:r>
        <w:rPr>
          <w:sz w:val="19"/>
          <w:szCs w:val="19"/>
        </w:rPr>
        <w:t xml:space="preserve">Resolução CNJ nº 615/2025 — [VERIFICADO via web · atos.cnj.jus.br/atos/detalhar/6001]. Caso TRT-8 Parauapebas, proc. 0001062-55.2025.5.08.0130 (12/05/2026) — [VERIFICADO via web]. CPC art. 77 (IV/VI, §2º) c/c art. 769 CLT — [VERIFICADO — texto legal]. Recomendação CFOAB nº 001/2024 (itens 2.4, 3.1, 4.1, 4.2) — [VERIFICADO no Project]. LGPD art. 33 (cross-link ADR-012) — [VERIFICADO no Project]. O interplay preciso do art. 77 §6º (apuração do advogado pela OAB) é enquadramento da signatária — [A CONFERIR no inteiro teor da sentença].</w:t>
      </w:r>
    </w:p>
    <w:p>
      <w:pPr>
        <w:spacing w:after="100" w:before="240"/>
      </w:pPr>
      <w:r>
        <w:rPr>
          <w:b/>
          <w:bCs/>
          <w:color w:val="1F3864"/>
          <w:sz w:val="25"/>
          <w:szCs w:val="25"/>
        </w:rPr>
        <w:t xml:space="preserve">9. Veredito da signatária</w:t>
      </w:r>
    </w:p>
    <w:p>
      <w:pPr>
        <w:spacing w:after="60" w:before="60"/>
      </w:pPr>
      <w:r>
        <w:rPr>
          <w:b/>
          <w:bCs/>
        </w:rPr>
        <w:t xml:space="preserve">Gates do ADR-016:</w:t>
      </w:r>
    </w:p>
    <w:p>
      <w:pPr>
        <w:spacing w:after="40"/>
      </w:pPr>
      <w:r>
        <w:rPr>
          <w:b/>
          <w:bCs/>
        </w:rPr>
        <w:t xml:space="preserve">G1 (CNJ 615/2025): </w:t>
      </w:r>
      <w:r>
        <w:rPr>
          <w:b/>
          <w:bCs/>
          <w:color w:val="1F6B3B"/>
        </w:rPr>
        <w:t xml:space="preserve">☑ VALIDO</w:t>
      </w:r>
      <w:r>
        <w:t xml:space="preserve"> — os 3 pilares são conformes, por antecipação, aos princípios da Res. CNJ 615/2025.</w:t>
      </w:r>
    </w:p>
    <w:p>
      <w:pPr>
        <w:spacing w:after="40"/>
      </w:pPr>
      <w:r>
        <w:rPr>
          <w:b/>
          <w:bCs/>
        </w:rPr>
        <w:t xml:space="preserve">G2 (art. 77 / boa-fé): </w:t>
      </w:r>
      <w:r>
        <w:rPr>
          <w:b/>
          <w:bCs/>
          <w:color w:val="1F6B3B"/>
        </w:rPr>
        <w:t xml:space="preserve">☑ VALIDO</w:t>
      </w:r>
      <w:r>
        <w:t xml:space="preserve"> — a disciplina é o antípoda da conduta sancionada no TRT-8 e prova robusta de boa-fé documental, mitigando substancialmente o risco do art. 77 CPC.</w:t>
      </w:r>
    </w:p>
    <w:p>
      <w:pPr>
        <w:spacing w:after="40"/>
      </w:pPr>
      <w:r>
        <w:rPr>
          <w:b/>
          <w:bCs/>
        </w:rPr>
        <w:t xml:space="preserve">Disclosure: </w:t>
      </w:r>
      <w:r>
        <w:rPr>
          <w:b/>
          <w:bCs/>
          <w:color w:val="1F6B3B"/>
        </w:rPr>
        <w:t xml:space="preserve">☑ aprovo com ajustes</w:t>
      </w:r>
      <w:r>
        <w:t xml:space="preserve"> — CNAE 6201-5/01; frase “solo brasileiro” conforme a régua do ADR-012 v1.1 (C9 = Brasil, sem art. 33; C5a/C1 = subprocessador internacional informado); “respeita os princípios” da Res. CNJ 615/2025 (não “em conformidade”); uniformizar PDF/A-2u.</w:t>
      </w:r>
    </w:p>
    <w:p>
      <w:pPr>
        <w:spacing w:after="120"/>
      </w:pPr>
      <w:r>
        <w:rPr>
          <w:b/>
          <w:bCs/>
        </w:rPr>
        <w:t xml:space="preserve">Camada humana: </w:t>
      </w:r>
      <w:r>
        <w:rPr>
          <w:b/>
          <w:bCs/>
          <w:color w:val="1F6B3B"/>
        </w:rPr>
        <w:t xml:space="preserve">☑ suficiente</w:t>
      </w:r>
      <w:r>
        <w:t xml:space="preserve"> — salvaguarda inviolável (CFOAB 001/2024, 3.1), reforçada por re-check técnico periódico, sem substituí-la.</w:t>
      </w:r>
    </w:p>
    <w:p>
      <w:pPr>
        <w:spacing w:after="120" w:before="40"/>
      </w:pPr>
      <w:r>
        <w:rPr>
          <w:b/>
          <w:bCs/>
        </w:rPr>
        <w:t xml:space="preserve">Observações da signatária:</w:t>
      </w:r>
    </w:p>
    <w:p>
      <w:pPr>
        <w:pBdr>
          <w:bottom w:val="single" w:color="BBBBBB" w:sz="6" w:space="1"/>
        </w:pBdr>
        <w:spacing w:after="150"/>
      </w:pPr>
    </w:p>
    <w:p>
      <w:pPr>
        <w:pBdr>
          <w:bottom w:val="single" w:color="BBBBBB" w:sz="6" w:space="1"/>
        </w:pBdr>
        <w:spacing w:after="150"/>
      </w:pPr>
    </w:p>
    <w:p>
      <w:pPr>
        <w:pBdr>
          <w:top w:val="single" w:color="000000" w:sz="6" w:space="6"/>
        </w:pBdr>
        <w:spacing w:before="280"/>
        <w:jc w:val="center"/>
      </w:pPr>
    </w:p>
    <w:p>
      <w:pPr>
        <w:spacing w:before="70"/>
        <w:jc w:val="center"/>
      </w:pPr>
      <w:r>
        <w:rPr>
          <w:b/>
          <w:bCs/>
        </w:rPr>
        <w:t xml:space="preserve">Dra. Juliana Pereira de Melo</w:t>
      </w:r>
    </w:p>
    <w:p>
      <w:pPr>
        <w:jc w:val="center"/>
      </w:pPr>
      <w:r>
        <w:t xml:space="preserve">OAB-GO 38.662</w:t>
      </w:r>
    </w:p>
    <w:p>
      <w:pPr>
        <w:spacing w:after="80"/>
        <w:jc w:val="center"/>
      </w:pPr>
      <w:r>
        <w:rPr>
          <w:color w:val="666666"/>
          <w:sz w:val="18"/>
          <w:szCs w:val="18"/>
        </w:rPr>
        <w:t xml:space="preserve">Ratificado e firmado em 09/06/2026</w:t>
      </w:r>
    </w:p>
    <w:p>
      <w:pPr>
        <w:spacing w:after="120"/>
        <w:jc w:val="center"/>
      </w:pPr>
      <w:r>
        <w:rPr>
          <w:i/>
          <w:iCs/>
          <w:color w:val="666666"/>
          <w:sz w:val="16"/>
          <w:szCs w:val="16"/>
        </w:rPr>
        <w:t xml:space="preserve">Documento de assessoria. A validação, sua ratificação/retificação/rejeição e a responsabilidade técnica são exclusivas da advogada signatária.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4"/>
      </w:pBdr>
      <w:jc w:val="center"/>
    </w:pPr>
    <w:r>
      <w:rPr>
        <w:color w:val="666666"/>
        <w:sz w:val="12"/>
        <w:szCs w:val="12"/>
      </w:rPr>
      <w:t xml:space="preserve">Meu Cumpadre · Parecer R3 ADR-016 Anti-Injection v1.1 RATIFICADO · D &gt; C &gt; V · Provérbios 31:8 · Independência do parecerista preservada (Lei 8.906/94, art. 18) · Pág. </w:t>
    </w:r>
    <w:r>
      <w:rPr>
        <w:color w:val="666666"/>
        <w:sz w:val="12"/>
        <w:szCs w:val="1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  <w:jc w:val="right"/>
    </w:pPr>
    <w:r>
      <w:rPr>
        <w:color w:val="666666"/>
        <w:sz w:val="12"/>
        <w:szCs w:val="12"/>
      </w:rPr>
      <w:t xml:space="preserve">PARECER R3 — ADR-016 ANTI-INJECTION · GATES G1/G2 · v1.1 RATIFICADO —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2026-06-09T15:39:15.226Z</dcterms:created>
  <dcterms:modified xsi:type="dcterms:W3CDTF">2026-06-09T15:39:15.229Z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