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sz w:val="18"/>
                <w:szCs w:val="18"/>
              </w:rPr>
              <w:t xml:space="preserve">RATIFICADO v1.1 — APTA COM AJUSTES · SELADO E FIRMADO PELA SIGNATÁRIA (09/06/2026). </w:t>
            </w:r>
            <w:r>
              <w:rPr>
                <w:sz w:val="18"/>
                <w:szCs w:val="18"/>
              </w:rPr>
              <w:t xml:space="preserve">A signatária julgou a minuta Ψ₁ v1.4 APTA COM AJUSTES: firewall OAB sólido (Ψ₁ remunera produto, não cliente). Notas N3, N4, N5, N6 e N8 conformes; ajustes: N2 (reforçar a transparência da exclusividade na Crisálida + livre escolha sem desvantagem), N7 (documentar a metodologia de preço por complexidade, vedado fator que referencie o valor do caso) e N1 (confirmar o enquadramento tributário com especialista). Errata C confirmada, fiel à Opção C selada. A exclusividade da Crisálida é arranjo comercial B2B, não roteamento exclusivo de leads. A responsabilidade técnica e a assinatura são exclusivas da advogada signatária.</w:t>
            </w:r>
          </w:p>
        </w:tc>
      </w:tr>
    </w:tbl>
    <w:p>
      <w:pPr>
        <w:spacing w:after="40" w:before="160"/>
        <w:jc w:val="center"/>
      </w:pPr>
      <w:r>
        <w:rPr>
          <w:b/>
          <w:bCs/>
          <w:sz w:val="26"/>
          <w:szCs w:val="26"/>
        </w:rPr>
        <w:t xml:space="preserve">PARECER — Ψ₁ v1.4 (B2B) · APTA COM AJUSTES (RATIFICADO)</w:t>
      </w:r>
    </w:p>
    <w:p>
      <w:pPr>
        <w:spacing w:after="60"/>
        <w:jc w:val="center"/>
      </w:pPr>
      <w:r>
        <w:rPr>
          <w:i/>
          <w:iCs/>
          <w:color w:val="1F3864"/>
          <w:sz w:val="20"/>
          <w:szCs w:val="20"/>
        </w:rPr>
        <w:t xml:space="preserve">Licenciamento de Dossiê Tecnológico · B2B advogado · firewall OAB · notas N1–N8 + Errata C · 4º condicionado</w:t>
      </w:r>
    </w:p>
    <w:p>
      <w:pPr>
        <w:spacing w:after="150"/>
        <w:jc w:val="center"/>
      </w:pPr>
      <w:r>
        <w:rPr>
          <w:b/>
          <w:bCs/>
          <w:color w:val="1F6B3B"/>
          <w:sz w:val="18"/>
          <w:szCs w:val="18"/>
        </w:rPr>
        <w:t xml:space="preserve">RATIFICADO E FIRMADO PELA SIGNATÁRIA — VERSÃO SELADA v1.1 (09/06/2026) · APTA COM AJUSTES · fila de condicionados COMPLETA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1. Matéria e pergunta jurídica</w:t>
      </w:r>
    </w:p>
    <w:p>
      <w:pPr>
        <w:spacing w:after="108" w:line="274" w:lineRule="auto"/>
        <w:jc w:val="both"/>
      </w:pPr>
      <w:r>
        <w:t xml:space="preserve">Matéria: contrato </w:t>
      </w:r>
      <w:r>
        <w:rPr>
          <w:b/>
          <w:bCs/>
        </w:rPr>
        <w:t xml:space="preserve">B2B</w:t>
      </w:r>
      <w:r>
        <w:t xml:space="preserve"> (não-consumo) de licenciamento não-exclusivo do Dossiê Tecnológico Verificado (produto de software sob encomenda · CNAE 6201-5/01) à advogada licenciada, via TTA assinado pelo cidadão, preço por tier de complexidade documental, sem comissão. O nó é o </w:t>
      </w:r>
      <w:r>
        <w:rPr>
          <w:b/>
          <w:bCs/>
        </w:rPr>
        <w:t xml:space="preserve">firewall OAB</w:t>
      </w:r>
      <w:r>
        <w:t xml:space="preserve">: provar que o Ψ₁ remunera </w:t>
      </w:r>
      <w:r>
        <w:rPr>
          <w:b/>
          <w:bCs/>
        </w:rPr>
        <w:t xml:space="preserve">produto</w:t>
      </w:r>
      <w:r>
        <w:t xml:space="preserve">, nunca </w:t>
      </w:r>
      <w:r>
        <w:rPr>
          <w:b/>
          <w:bCs/>
        </w:rPr>
        <w:t xml:space="preserve">cliente</w:t>
      </w:r>
      <w:r>
        <w:t xml:space="preserve">. Perguntas: as notas N1 (enquadramento), N2 (captação), N3 (foro), N4 (não-reembolso pós-TTA), N5 (3 relações independentes), N6 (curadoria), N7 (tiers × taxa disfarçada) e N8 (separação de marca) são conformes? E a Errata C reflete fielmente a Opção C?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2. Base normativa (com selo Proof-First)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26"/>
        <w:gridCol w:w="1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Norma / fonte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Conteúdo pertinente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Selo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EAOAB (Lei 8.906/94) arts. 7º I, 31, 32, 34 IV; art. 22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Autonomia/independência técnica da advogada; responsabilidade exclusiva pela peça; vedação de captação/angariação; vedação a êxito fora dos limites.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Provimento CFOAB 205/2021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Publicidade advocatícia; vedação de captação, mercantilização e direcionamento.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LGPD art. 7º I; ADR-009b (TTA)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Consentimento do cidadão como base da transferência S2→S3; soberania do titular sobre o dossiê.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CC art. 884; CPC art. 63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Enriquecimento sem causa (não-reembolso pós-entrega); validade do foro de eleição entre empresas.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Lei 9.609/98; LC 116/2003 (ISS)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Software/licenciamento; incidência de ISS sobre licenciamento e desenvolvimento de software (entendimento consolidado do STF).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[A CONFERIR — tributário]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3. Análise nota a nota (semáforo)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50"/>
        <w:gridCol w:w="3276"/>
        <w:gridCol w:w="1100"/>
        <w:gridCol w:w="1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Nota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Cláusula / tema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Aferição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Sinal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Ajuste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N1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1.1/1.2/2.5 — software × serviço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Como o dossiê é “sob encomenda”, há traço de serviço de desenvolvimento; em qualquer enquadramento incide ISS (LC 116/2003 · STF). A moldura “produto tecnológico” ajuda o firewall.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🟡 Nota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Confirmar item LC 116 e descrição da NF com especialista tributário.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N2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8.1-8.4 + Anexo I — captação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vedação afasta o tráfego dirigido se a livre escolha for impecável: sem comissão, dossiê do cidadão, “qualquer advogado de sua livre escolha” sempre informado. A exclusividade da Crisálida eleva o ônus de transparência.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🟡 Ajuste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Crisálida, explicitar que a Dra. é parceira exclusiva atual E que a livre escolha não traz desvantagem.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N3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14.1 — foro Goiânia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Foro de eleição é válido entre empresas (CPC 63). Risco baixo; afastável só se gerar dificuldade excessiva à licenciada de comarca distante.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Opcional: prever foro do domicílio da licenciada como alternativa.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N4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4.4 — não-reembolso pós-entrega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Defensável: o fato gerador é a entrega; havendo entrega, não há enriquecimento sem causa (CC 884). A revogação do TTA é soberania do cidadão (o dossiê o segue).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 boa-fé B2B, considerar crédito/desconto em novo licenciamento se a revogação for muito próxima da entrega.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N5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8.5 — 3 relações independentes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separação resiste se a substância acompanha a forma: sem comissão (8.3), escolha livre (4.5), preço por complexidade (2.2). A proximidade operacional da Crisálida exige reforço dos marcadores de substância.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Manter, na prática, os três marcadores; auditar periodicamente.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N6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10.1 — curadoria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Critérios objetivos e documentados, sem pagamento por admissão, afastam a “curadoria com valor econômico”. Na Crisálida (uma parceira), não há curadoria entre concorrentes.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Manter os critérios objetivos/transparentes e gratuitos.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N7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2.1/2.2 — tiers (Premium)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tese custo×complexidade sustenta SE o preço rastrear fatores documentais objetivos (docs, período, rural, NTEP), nunca o valor do caso. A magnitude do Premium não é fatal se for custo-justificada.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🟡 Ajuste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Documentar a metodologia (rubrica auditável fator→tier); nenhum fator pode referenciar valor do benefício/êxito.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N8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8.6/8.7 — separação de marca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separação bidirecional é uma das defesas mais fortes: o MC não anuncia advogada; a advogada não usa o MC como argumento de captação; Marketplace só informado oralmente em E6. Escalonamento (48h→30d→descredenciar) proporcional.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4. O ponto que merece franqueza — a tensão interna (apontada pela revisão adversarial)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D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color w:val="9C2A2A"/>
              </w:rPr>
              <w:t xml:space="preserve">A questão central do firewall. </w:t>
            </w:r>
            <w:r>
              <w:t xml:space="preserve">O contrato ancora a defesa anti-captação (cl. 8) na ausência de exclusividade de leads; mas a Opção C instala exclusividade de fato da Dra. Melo na Crisálida. Declarações de não-exclusividade (10.1f, Anexo I) convivem com a exclusividade B2B no mesmo instrumento.</w:t>
            </w:r>
          </w:p>
        </w:tc>
      </w:tr>
    </w:tbl>
    <w:p>
      <w:pPr>
        <w:spacing w:after="108" w:line="274" w:lineRule="auto"/>
        <w:jc w:val="both"/>
      </w:pPr>
      <w:r>
        <w:t xml:space="preserve">Enquadramento (território da signatária; ofereço a leitura): são </w:t>
      </w:r>
      <w:r>
        <w:rPr>
          <w:b/>
          <w:bCs/>
        </w:rPr>
        <w:t xml:space="preserve">planos distintos</w:t>
      </w:r>
      <w:r>
        <w:t xml:space="preserve">. A exclusividade da Crisálida é um </w:t>
      </w:r>
      <w:r>
        <w:rPr>
          <w:b/>
          <w:bCs/>
        </w:rPr>
        <w:t xml:space="preserve">arranjo comercial B2B</w:t>
      </w:r>
      <w:r>
        <w:t xml:space="preserve"> com a parceira (vinculado ao Ψ₃), não </w:t>
      </w:r>
      <w:r>
        <w:rPr>
          <w:b/>
          <w:bCs/>
        </w:rPr>
        <w:t xml:space="preserve">roteamento exclusivo de leads</w:t>
      </w:r>
      <w:r>
        <w:t xml:space="preserve"> no sentido do Prov. 205/2021 — porque (i) o cidadão é sempre informado de que pode escolher qualquer advogado(a); (ii) não há comissão; (iii) o dossiê pertence ao cidadão, que o leva a quem quiser. A âncora anti-direcionamento é, corretamente, a </w:t>
      </w:r>
      <w:r>
        <w:rPr>
          <w:b/>
          <w:bCs/>
        </w:rPr>
        <w:t xml:space="preserve">livre escolha</w:t>
      </w:r>
      <w:r>
        <w:t xml:space="preserve">, não a contagem de parceiras (cl. 4.5/8.2). Para tornar isso inatacável, recomendo que, na Crisálida, o cidadão seja informado de forma </w:t>
      </w:r>
      <w:r>
        <w:rPr>
          <w:b/>
          <w:bCs/>
        </w:rPr>
        <w:t xml:space="preserve">expressa e destacada</w:t>
      </w:r>
      <w:r>
        <w:t xml:space="preserve"> de que (a) a Dra. Melo é a parceira exclusiva </w:t>
      </w:r>
      <w:r>
        <w:rPr>
          <w:i/>
          <w:iCs/>
        </w:rPr>
        <w:t xml:space="preserve">naquele momento</w:t>
      </w:r>
      <w:r>
        <w:t xml:space="preserve">, e (b) escolher qualquer outro(a) advogado(a) </w:t>
      </w:r>
      <w:r>
        <w:rPr>
          <w:b/>
          <w:bCs/>
        </w:rPr>
        <w:t xml:space="preserve">não lhe traz nenhuma desvantagem</w:t>
      </w:r>
      <w:r>
        <w:t xml:space="preserve"> no serviço já contratado. Com esse reforço, a convivência se sustenta; sem ele, a aparência de direcionamento fica exposta.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Errata C (Marketplace) — confirmação</w:t>
      </w:r>
    </w:p>
    <w:p>
      <w:pPr>
        <w:spacing w:after="108" w:line="274" w:lineRule="auto"/>
        <w:jc w:val="both"/>
      </w:pPr>
      <w:r>
        <w:t xml:space="preserve">A reescrita é </w:t>
      </w:r>
      <w:r>
        <w:rPr>
          <w:b/>
          <w:bCs/>
          <w:color w:val="1F6B3B"/>
        </w:rPr>
        <w:t xml:space="preserve">fiel à Opção C selada</w:t>
      </w:r>
      <w:r>
        <w:t xml:space="preserve"> (Saneamento 009b v1.3): nominal à Dra. Melo na Crisálida (até 31/12/2026), randomizada ≥3 a partir de 01/01/2027, sem predileção algorítmica, sempre precedida da livre escolha. Confirmo a redação, com o reforço de transparência acima.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5. Matriz de risco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26"/>
        <w:gridCol w:w="1200"/>
        <w:gridCol w:w="19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Eixo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Sever.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OAB — captação/direcionamento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Exclusividade Crisálida × aparência de lead dirigido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Média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Reforço de transparência (N2) + livre escolha destacada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OAB — taxa disfarçada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Tier Premium de alta magnitude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Média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Metodologia documentada custo×complexidade (N7)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Firewall (3 relações)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Desconsideração da separação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Baixa-Média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Substância: sem comissão, escolha livre, preço por complexidade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Tributário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Enquadramento ISS/NF (software × serviço)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Média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Confirmar com especialista (N1)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LGPD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Transferência via TTA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Consentimento granular + apagamento D+7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6. Opções e recomendação técnica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A — APTA COM AJUSTES (RECOMENDADA). </w:t>
      </w:r>
      <w:r>
        <w:t xml:space="preserve">Selar com N3, N4, N5, N6 e N8 sólidas e a Errata C confirmada, condicionada: ao reforço de transparência da exclusividade na Crisálida (N2); à metodologia documentada e auditável dos tiers (N7); e à confirmação do enquadramento tributário com especialista (N1).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B — apta sem ajustes. </w:t>
      </w:r>
      <w:r>
        <w:t xml:space="preserve">NÃO RECOMENDADA: deixa exposta a aparência de direcionamento (N2) e o ônus probatório da precificação (N7).</w:t>
      </w:r>
    </w:p>
    <w:p>
      <w:pPr>
        <w:spacing w:after="108" w:line="274" w:lineRule="auto"/>
        <w:jc w:val="both"/>
      </w:pPr>
      <w:r>
        <w:rPr>
          <w:b/>
          <w:bCs/>
          <w:color w:val="1F6B3B"/>
        </w:rPr>
        <w:t xml:space="preserve">Recomendação técnica: Opção A</w:t>
      </w:r>
      <w:r>
        <w:t xml:space="preserve">. O firewall é bem desenhado (sem comissão, soberania do dossiê, separação bidirecional de marca, independência técnica da advogada — EAOAB 7º I/31/32); os ajustes blindam os dois pontos de maior exposição. A decisão é da signatária.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7. Minuta da conclusão (texto para ratificar/retificar/assinar)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color w:val="1F6B3B"/>
              </w:rPr>
              <w:t xml:space="preserve">Conclusão ratificada: </w:t>
            </w:r>
            <w:r>
              <w:rPr>
                <w:color w:val="1F6B3B"/>
              </w:rPr>
              <w:t xml:space="preserve">“RATIFICO — APTA COM AJUSTES. Examinada a minuta Ψ₁ v1.4 à luz do Estatuto da Advocacia (arts. 7º I, 31, 32, 34 IV, 22), do Provimento CFOAB 205/2021, da LGPD (art. 7º I), do Código Civil (art. 884) e do entendimento tributário aplicável: considero APTA COM AJUSTES. O firewall OAB está bem construído — o Ψ₁ remunera produto, não cliente: sem comissão (cl. 8.3), com soberania do dossiê pelo cidadão (cl. 4.4/4.5), separação bidirecional de marca (cl. 8.6) e independência técnica da advogada (cl. 4.6). As notas N3 (foro), N4 (não-reembolso pós-entrega), N5 (três relações independentes), N6 (curadoria) e N8 (separação de marca) estão conformes. Como ajustes: na N2, reforçar a transparência da exclusividade na fase Crisálida, informando de modo expresso que a livre escolha de qualquer advogado(a) não acarreta desvantagem; na N7, documentar a metodologia de precificação por complexidade documental, vedado qualquer fator que referencie o valor do caso; na N1, confirmar o enquadramento tributário (ISS/NF) com especialista. Confirmo a redação da Errata C, fiel à Opção C selada. A exclusividade da Crisálida é arranjo comercial B2B, não roteamento exclusivo de leads, preservada a livre escolha do cidadão como âncora anti-direcionamento. Sob D &gt; C &gt; V, o instrumento mantém o MC na atividade-meio e protege a soberania do cidadão.”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8. Fontes citadas (com selo)</w:t>
      </w:r>
    </w:p>
    <w:p>
      <w:pPr>
        <w:spacing w:after="108" w:line="274" w:lineRule="auto"/>
        <w:jc w:val="both"/>
      </w:pPr>
      <w:r>
        <w:rPr>
          <w:sz w:val="19"/>
          <w:szCs w:val="19"/>
        </w:rPr>
        <w:t xml:space="preserve">EAOAB (Lei 8.906/94) arts. 7º I, 22, 31, 32, 34 IV — [VERIFICADO no Project]. Provimento CFOAB 205/2021 — [VERIFICADO no Project]. LGPD art. 7º I — [VERIFICADO no Project]. CC art. 884; CPC art. 63 — [VERIFICADO]. Lei 9.609/98; LC 116/2003 (ISS) — [A CONFERIR — tributário, com especialista]. Despacho Saneamento 009b v1.3 (Opção C / Errata C) e Contrato Ψ₃ ATIVO (nomenclatura) — [VERIFICADO — selados]. ADR-009b (TTA), ADR-014 (ZapSign), Router-Ethics 11.0 — [VERIFICADO — lidos].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9. Veredito da signatária</w:t>
      </w:r>
    </w:p>
    <w:p>
      <w:pPr>
        <w:spacing w:after="60" w:before="60"/>
      </w:pPr>
      <w:r>
        <w:rPr>
          <w:b/>
          <w:bCs/>
        </w:rPr>
        <w:t xml:space="preserve">Minuta Ψ₁ v1.4 (com erratas A–D já aplicadas pelo MC):</w:t>
      </w:r>
    </w:p>
    <w:p>
      <w:pPr>
        <w:spacing w:after="40"/>
      </w:pPr>
      <w:r>
        <w:rPr>
          <w:b/>
          <w:bCs/>
          <w:color w:val="1F6B3B"/>
          <w:sz w:val="23"/>
          <w:szCs w:val="23"/>
        </w:rPr>
        <w:t xml:space="preserve">☑ APTA COM AJUSTES</w:t>
      </w:r>
      <w:r>
        <w:t xml:space="preserve"> — selada com os ajustes abaixo; a redação final dos ajustes é execução do MC, conferida na entrega.</w:t>
      </w:r>
    </w:p>
    <w:p>
      <w:pPr>
        <w:spacing w:after="40"/>
      </w:pPr>
      <w:r>
        <w:rPr>
          <w:b/>
          <w:bCs/>
        </w:rPr>
        <w:t xml:space="preserve">Por nota: </w:t>
      </w:r>
      <w:r>
        <w:rPr>
          <w:color w:val="1F6B3B"/>
        </w:rPr>
        <w:t xml:space="preserve">N1 ☑ ajustar (confirmar enquadramento tributário com especialista) · N2 ☑ ajustar (transparência da exclusividade na Crisálida + livre escolha sem desvantagem) · N3 ☑ ok · N4 ☑ ok · N5 ☑ ok · N6 ☑ ok · N7 ☑ ajustar (metodologia de preço documentada/auditável; nenhum fator referencia o valor do caso) · N8 ☑ ok.</w:t>
      </w:r>
    </w:p>
    <w:p>
      <w:pPr>
        <w:spacing w:after="120"/>
      </w:pPr>
      <w:r>
        <w:rPr>
          <w:b/>
          <w:bCs/>
        </w:rPr>
        <w:t xml:space="preserve">Errata C (Marketplace · Opção C): </w:t>
      </w:r>
      <w:r>
        <w:rPr>
          <w:b/>
          <w:bCs/>
          <w:color w:val="1F6B3B"/>
        </w:rPr>
        <w:t xml:space="preserve">☑ redação confirmada</w:t>
      </w:r>
      <w:r>
        <w:t xml:space="preserve"> — fiel à Opção C selada (nominal Dra. Melo até 31/12/2026; randomizada ≥3 após; livre escolha como âncora).</w:t>
      </w:r>
    </w:p>
    <w:p>
      <w:pPr>
        <w:spacing w:after="120" w:before="40"/>
      </w:pPr>
      <w:r>
        <w:rPr>
          <w:b/>
          <w:bCs/>
        </w:rPr>
        <w:t xml:space="preserve">Observações da signatária:</w:t>
      </w:r>
    </w:p>
    <w:p>
      <w:pPr>
        <w:pBdr>
          <w:bottom w:val="single" w:color="BBBBBB" w:sz="6" w:space="1"/>
        </w:pBdr>
        <w:spacing w:after="150"/>
      </w:pPr>
    </w:p>
    <w:p>
      <w:pPr>
        <w:pBdr>
          <w:bottom w:val="single" w:color="BBBBBB" w:sz="6" w:space="1"/>
        </w:pBdr>
        <w:spacing w:after="150"/>
      </w:pPr>
    </w:p>
    <w:p>
      <w:pPr>
        <w:pBdr>
          <w:top w:val="single" w:color="000000" w:sz="6" w:space="6"/>
        </w:pBdr>
        <w:spacing w:before="22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Ratificado e firmado em 09/06/2026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A validação, sua ratificação/retificação/rejeição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Parecer R3 Ψ₁ v1.4 v1.1 RATIFICADO · D &gt; C &gt; V · Provérbios 31:8 · Independência do parecerista preservada (Lei 8.906/94, art. 18)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2"/>
        <w:szCs w:val="12"/>
      </w:rPr>
      <w:t xml:space="preserve">PARECER R3 — Ψ₁ v1.4 (LICENCIAMENTO B2B) · v1.1 RATIFICADO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2026-06-09T16:18:07.544Z</dcterms:created>
  <dcterms:modified xsi:type="dcterms:W3CDTF">2026-06-09T16:18:07.544Z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