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54"/>
      </w:tblGrid>
      <w:tr>
        <w:trPr>
          <w:trHeight w:val="14003" w:hRule="atLeast"/>
        </w:trPr>
        <w:tc>
          <w:tcPr>
            <w:tcW w:type="dxa" w:w="9354"/>
            <w:shd w:val="clear" w:color="auto" w:fill="2C3A4A"/>
            <w:vAlign w:val="center"/>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spacing w:after="480"/>
              <w:jc w:val="center"/>
            </w:pPr>
            <w:r>
              <w:rPr>
                <w:rFonts w:ascii="FreeSerif" w:hAnsi="FreeSerif"/>
                <w:b/>
                <w:caps/>
                <w:color w:val="FFFFFF"/>
                <w:sz w:val="49"/>
              </w:rPr>
              <w:t>LA PAIX, ON PEUT L'ÉVITER</w:t>
            </w:r>
          </w:p>
          <w:p>
            <w:pPr>
              <w:spacing w:after="800"/>
              <w:jc w:val="center"/>
            </w:pPr>
            <w:r>
              <w:rPr>
                <w:rFonts w:ascii="FreeSerif" w:hAnsi="FreeSerif"/>
                <w:i/>
                <w:color w:val="A07820"/>
                <w:sz w:val="26"/>
              </w:rPr>
              <w:t>Enquête sur la naissance de l'Alliance des États du Sahel</w:t>
            </w:r>
          </w:p>
          <w:p>
            <w:pPr>
              <w:spacing w:after="200"/>
              <w:jc w:val="center"/>
            </w:pPr>
            <w:r>
              <w:rPr>
                <w:rFonts w:ascii="FreeSerif" w:hAnsi="FreeSerif"/>
                <w:b/>
                <w:color w:val="FFFFFF"/>
                <w:sz w:val="34"/>
              </w:rPr>
              <w:t>BEN–H2O</w:t>
            </w:r>
          </w:p>
          <w:p>
            <w:pPr>
              <w:spacing w:after="1200"/>
              <w:jc w:val="center"/>
            </w:pPr>
            <w:r>
              <w:rPr>
                <w:rFonts w:ascii="FreeSerif" w:hAnsi="FreeSerif"/>
                <w:color w:val="A07820"/>
                <w:sz w:val="22"/>
              </w:rPr>
              <w:t>— 2026 —</w:t>
            </w:r>
          </w:p>
          <w:p>
            <w:pPr>
              <w:jc w:val="center"/>
            </w:pPr>
            <w:r>
              <w:rPr>
                <w:rFonts w:ascii="FreeSerif" w:hAnsi="FreeSerif"/>
                <w:color w:val="A07820"/>
                <w:sz w:val="18"/>
              </w:rPr>
              <w:t>© 2026 BEN–H2O — Tous droits réservés.</w:t>
            </w:r>
          </w:p>
        </w:tc>
      </w:tr>
    </w:tbl>
    <w:p>
      <w:r>
        <w:br w:type="page"/>
      </w: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headerReference w:type="default" r:id="rId9"/>
          <w:footerReference w:type="default" r:id="rId10"/>
          <w:headerReference w:type="first" r:id="rId11"/>
          <w:footerReference w:type="first" r:id="rId12"/>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Date</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Étape</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Élément</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Indicateur</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Niveau</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Terme officiel</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Indicateur</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Projet</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Ce qui s'est déversé vers le Sahel</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Réalité des corridors transsahariens</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Indicateur</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Grief</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Dispositif</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Donateur / année</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Dimension</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Indicateur</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pPr>
              <w:jc w:val="right"/>
            </w:pPr>
            <w:r>
              <w:rPr>
                <w:rFonts w:ascii="FreeSerif" w:hAnsi="FreeSerif"/>
                <w:i/>
                <w:color w:val="2C3A4A"/>
                <w:sz w:val="18"/>
              </w:rPr>
              <w:t>Fait documenté</w:t>
            </w:r>
          </w:p>
        </w:tc>
        <w:tc>
          <w:tcPr>
            <w:tcW w:type="dxa" w:w="4677"/>
            <w:tcBorders>
              <w:bottom w:val="none" w:sz="0" w:space="0" w:color="auto"/>
              <w:top w:val="none" w:sz="0" w:space="0" w:color="auto"/>
              <w:insideH w:val="none" w:sz="0" w:space="0" w:color="auto"/>
              <w:insideV w:val="none" w:sz="0" w:space="0" w:color="auto"/>
              <w:right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