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PAIX,</w:t>
      </w:r>
      <w:r>
        <w:t xml:space="preserve"> </w:t>
      </w:r>
      <w:r>
        <w:t xml:space="preserve">ON</w:t>
      </w:r>
      <w:r>
        <w:t xml:space="preserve"> </w:t>
      </w:r>
      <w:r>
        <w:t xml:space="preserve">PEUT</w:t>
      </w:r>
      <w:r>
        <w:t xml:space="preserve"> </w:t>
      </w:r>
      <w:r>
        <w:t xml:space="preserve">L’ÉVITER</w:t>
      </w:r>
    </w:p>
    <w:p>
      <w:pPr>
        <w:pStyle w:val="Subtitle"/>
      </w:pPr>
      <w:r>
        <w:t xml:space="preserve">Enquête</w:t>
      </w:r>
      <w:r>
        <w:t xml:space="preserve"> </w:t>
      </w:r>
      <w:r>
        <w:t xml:space="preserve">sur</w:t>
      </w:r>
      <w:r>
        <w:t xml:space="preserve"> </w:t>
      </w:r>
      <w:r>
        <w:t xml:space="preserve">la</w:t>
      </w:r>
      <w:r>
        <w:t xml:space="preserve"> </w:t>
      </w:r>
      <w:r>
        <w:t xml:space="preserve">naissance</w:t>
      </w:r>
      <w:r>
        <w:t xml:space="preserve"> </w:t>
      </w:r>
      <w:r>
        <w:t xml:space="preserve">de</w:t>
      </w:r>
      <w:r>
        <w:t xml:space="preserve"> </w:t>
      </w:r>
      <w:r>
        <w:t xml:space="preserve">l’Alliance</w:t>
      </w:r>
      <w:r>
        <w:t xml:space="preserve"> </w:t>
      </w:r>
      <w:r>
        <w:t xml:space="preserve">des</w:t>
      </w:r>
      <w:r>
        <w:t xml:space="preserve"> </w:t>
      </w:r>
      <w:r>
        <w:t xml:space="preserve">États</w:t>
      </w:r>
      <w:r>
        <w:t xml:space="preserve"> </w:t>
      </w:r>
      <w:r>
        <w:t xml:space="preserve">du</w:t>
      </w:r>
      <w:r>
        <w:t xml:space="preserve"> </w:t>
      </w:r>
      <w:r>
        <w:t xml:space="preserve">Sahel</w:t>
      </w:r>
    </w:p>
    <w:p>
      <w:pPr>
        <w:pStyle w:val="Author"/>
      </w:pPr>
      <w:r>
        <w:t xml:space="preserve">BEN–H2O</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pict>
          <v:rect style="width:0;height:1.5pt" o:hralign="center" o:hrstd="t" o:hr="t"/>
        </w:pict>
      </w:r>
    </w:p>
    <w:bookmarkStart w:id="20" w:name="avant-propos-méthode-sources-et-limites"/>
    <w:p>
      <w:pPr>
        <w:pStyle w:val="Heading1"/>
      </w:pPr>
      <w:r>
        <w:t xml:space="preserve">Avant-Propos — Méthode, Sources Et Limites</w:t>
      </w:r>
    </w:p>
    <w:p>
      <w:pPr>
        <w:pStyle w:val="FirstParagraph"/>
      </w:pPr>
      <w:r>
        <w:t xml:space="preserve">« Les carottes sont cuites pour la France. Regardez tout simplement ce qui se passe partout en Afrique et regardez la grogne qui ne fait que monter.»</w:t>
      </w:r>
    </w:p>
    <w:p>
      <w:pPr>
        <w:pStyle w:val="BodyText"/>
      </w:pPr>
      <w:r>
        <w:t xml:space="preserve">— Paul Elvira, Panafrican Média TV, 2 août 2022</w:t>
      </w:r>
    </w:p>
    <w:p>
      <w:pPr>
        <w:pStyle w:val="BodyText"/>
      </w:pPr>
      <w:r>
        <w:t xml:space="preserve">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pStyle w:val="BodyText"/>
      </w:pPr>
      <w:r>
        <w:t xml:space="preserve">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pPr>
        <w:pStyle w:val="BodyText"/>
      </w:pPr>
      <w:r>
        <w:t xml:space="preserve">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pPr>
        <w:pStyle w:val="BodyText"/>
      </w:pPr>
      <w:r>
        <w:t xml:space="preserve">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pPr>
        <w:pStyle w:val="BodyText"/>
      </w:pPr>
      <w:r>
        <w:t xml:space="preserve">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pPr>
        <w:pStyle w:val="BodyText"/>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pPr>
        <w:pStyle w:val="BodyText"/>
      </w:pPr>
      <w:r>
        <w:t xml:space="preserve">Tout commence dans une villa de Niamey, devant un tableau blanc où quelqu’un a écrit cinq mots.</w:t>
      </w:r>
    </w:p>
    <w:p>
      <w:r>
        <w:pict>
          <v:rect style="width:0;height:1.5pt" o:hralign="center" o:hrstd="t" o:hr="t"/>
        </w:pict>
      </w:r>
    </w:p>
    <w:bookmarkEnd w:id="20"/>
    <w:bookmarkStart w:id="21" w:name="prologue-la-villa-de-niamey"/>
    <w:p>
      <w:pPr>
        <w:pStyle w:val="Heading1"/>
      </w:pPr>
      <w:r>
        <w:t xml:space="preserve">Prologue — La Villa De Niamey</w:t>
      </w:r>
    </w:p>
    <w:p>
      <w:pPr>
        <w:pStyle w:val="FirstParagraph"/>
      </w:pPr>
      <w:r>
        <w:t xml:space="preserve">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pStyle w:val="BodyText"/>
      </w:pPr>
      <w:r>
        <w:t xml:space="preserve">La paix, on peut l’éviter.</w:t>
      </w:r>
    </w:p>
    <w:p>
      <w:pPr>
        <w:pStyle w:val="BodyText"/>
      </w:pPr>
      <w:r>
        <w:t xml:space="preserve">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pPr>
        <w:pStyle w:val="BodyText"/>
      </w:pPr>
      <w:r>
        <w:t xml:space="preserve">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pPr>
        <w:pStyle w:val="BodyText"/>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pPr>
        <w:pStyle w:val="BodyText"/>
      </w:pPr>
      <w:r>
        <w:t xml:space="preserve">Puis le Niger a fermé la villa. Il a expulsé l’armée française et l’armée américaine la même année, sans une goutte de sang. Et le ciel ne s’est pas effondré.</w:t>
      </w:r>
    </w:p>
    <w:p>
      <w:pPr>
        <w:pStyle w:val="BodyText"/>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pPr>
        <w:pStyle w:val="BodyText"/>
      </w:pPr>
      <w:r>
        <w:t xml:space="preserve">La paix des cimetières a été imposée trop longtemps. La paix juste reste à construire. La justice ne peut pas être évitée. La dignité, non. La liberté, jamais.</w:t>
      </w:r>
    </w:p>
    <w:p>
      <w:pPr>
        <w:pStyle w:val="BodyText"/>
      </w:pPr>
      <w:r>
        <w:t xml:space="preserve">Mais avant de juger ceux qui ont fermé la villa, il faut comprendre ce qu’ils ont brisé — et pourquoi personne n’avait osé le faire avant eux.</w:t>
      </w:r>
    </w:p>
    <w:p>
      <w:r>
        <w:pict>
          <v:rect style="width:0;height:1.5pt" o:hralign="center" o:hrstd="t" o:hr="t"/>
        </w:pict>
      </w:r>
    </w:p>
    <w:bookmarkEnd w:id="21"/>
    <w:bookmarkStart w:id="22" w:name="introduction-pourquoi-laes-change-tout"/>
    <w:p>
      <w:pPr>
        <w:pStyle w:val="Heading1"/>
      </w:pPr>
      <w:r>
        <w:t xml:space="preserve">Introduction — Pourquoi L’Aes Change Tout</w:t>
      </w:r>
    </w:p>
    <w:p>
      <w:pPr>
        <w:pStyle w:val="FirstParagraph"/>
      </w:pPr>
      <w:r>
        <w:t xml:space="preserve">« Nous ne pouvons pas laisser l’histoire de l’Afrique s’écrire par ceux qui l’ont pillée.»</w:t>
      </w:r>
    </w:p>
    <w:p>
      <w:pPr>
        <w:pStyle w:val="BodyText"/>
      </w:pPr>
      <w:r>
        <w:t xml:space="preserve">— Général Abdourahamane Tiani, CNSP Niger, août 2023</w:t>
      </w:r>
    </w:p>
    <w:p>
      <w:pPr>
        <w:pStyle w:val="BodyText"/>
      </w:pPr>
      <w:r>
        <w:t xml:space="preserve">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pPr>
        <w:pStyle w:val="BodyText"/>
      </w:pPr>
      <w:r>
        <w:t xml:space="preserve">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pPr>
        <w:pStyle w:val="BodyText"/>
      </w:pPr>
      <w:r>
        <w:t xml:space="preserve">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pPr>
        <w:pStyle w:val="BodyText"/>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pPr>
        <w:pStyle w:val="BodyText"/>
      </w:pPr>
      <w:r>
        <w:t xml:space="preserve">La rupture de 2020–2023 — Mali, Burkina Faso, Niger — est la première réponse institutionnelle à ce système depuis les indépendances. Ce livre ne l’analyse pas comme un accident africain. Il l’analyse comme une réponse historique à une domination historique.</w:t>
      </w:r>
    </w:p>
    <w:p>
      <w:pPr>
        <w:pStyle w:val="BodyText"/>
      </w:pPr>
      <w:r>
        <w:t xml:space="preserve">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pStyle w:val="BodyText"/>
      </w:pPr>
      <w:r>
        <w:t xml:space="preserve">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pStyle w:val="BodyText"/>
      </w:pPr>
      <w:r>
        <w:t xml:space="preserve">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pStyle w:val="BodyText"/>
      </w:pPr>
      <w:r>
        <w:t xml:space="preserve">« Un peuple sans connaissance de son histoire, de son origine et de sa culture est comme un arbre sans racines.»</w:t>
      </w:r>
    </w:p>
    <w:p>
      <w:pPr>
        <w:pStyle w:val="BodyText"/>
      </w:pPr>
      <w:r>
        <w:t xml:space="preserve">— Marcus Garvey</w:t>
      </w:r>
    </w:p>
    <w:p>
      <w:pPr>
        <w:pStyle w:val="BodyText"/>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r>
        <w:pict>
          <v:rect style="width:0;height:1.5pt" o:hralign="center" o:hrstd="t" o:hr="t"/>
        </w:pict>
      </w:r>
    </w:p>
    <w:bookmarkEnd w:id="22"/>
    <w:bookmarkStart w:id="28" w:name="chapitre-1-les-grands-empires"/>
    <w:p>
      <w:pPr>
        <w:pStyle w:val="Heading1"/>
      </w:pPr>
      <w:r>
        <w:t xml:space="preserve">Chapitre 1 — Les Grands Empires</w:t>
      </w:r>
    </w:p>
    <w:p>
      <w:pPr>
        <w:pStyle w:val="FirstParagraph"/>
      </w:pPr>
      <w:r>
        <w:t xml:space="preserve">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pStyle w:val="BodyText"/>
      </w:pPr>
      <w:r>
        <w:t xml:space="preserve">Cette scène, l’école coloniale ne l’a jamais racontée. Et ce silence n’est pas un oubli.</w:t>
      </w:r>
    </w:p>
    <w:bookmarkStart w:id="23" w:name="le-mensonge-fondateur"/>
    <w:p>
      <w:pPr>
        <w:pStyle w:val="Heading2"/>
      </w:pPr>
      <w:r>
        <w:t xml:space="preserve">Le mensonge fondateur</w:t>
      </w:r>
    </w:p>
    <w:p>
      <w:pPr>
        <w:pStyle w:val="FirstParagraph"/>
      </w:pPr>
      <w:r>
        <w:t xml:space="preserve">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pPr>
        <w:pStyle w:val="BodyText"/>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bookmarkEnd w:id="23"/>
    <w:bookmarkStart w:id="24" w:name="wagadou-le-premier-géant"/>
    <w:p>
      <w:pPr>
        <w:pStyle w:val="Heading2"/>
      </w:pPr>
      <w:r>
        <w:t xml:space="preserve">Wagadou, le premier géant</w:t>
      </w:r>
    </w:p>
    <w:p>
      <w:pPr>
        <w:pStyle w:val="FirstParagraph"/>
      </w:pPr>
      <w:r>
        <w:t xml:space="preserve">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pPr>
        <w:pStyle w:val="BodyText"/>
      </w:pPr>
      <w:r>
        <w:t xml:space="preserve">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bookmarkEnd w:id="24"/>
    <w:bookmarkStart w:id="25" w:name="le-mali-de-soundiata-et-de-mansa-moussa"/>
    <w:p>
      <w:pPr>
        <w:pStyle w:val="Heading2"/>
      </w:pPr>
      <w:r>
        <w:t xml:space="preserve">Le Mali de Soundiata et de Mansa Moussa</w:t>
      </w:r>
    </w:p>
    <w:p>
      <w:pPr>
        <w:pStyle w:val="FirstParagraph"/>
      </w:pPr>
      <w:r>
        <w:t xml:space="preserve">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bookmarkEnd w:id="25"/>
    <w:bookmarkStart w:id="26" w:name="songhaï-bornou-sokoto-la-continuité"/>
    <w:p>
      <w:pPr>
        <w:pStyle w:val="Heading2"/>
      </w:pPr>
      <w:r>
        <w:t xml:space="preserve">Songhaï, Bornou, Sokoto: la continuité</w:t>
      </w:r>
    </w:p>
    <w:p>
      <w:pPr>
        <w:pStyle w:val="FirstParagraph"/>
      </w:pPr>
      <w:r>
        <w:t xml:space="preserve">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pPr>
        <w:pStyle w:val="BodyText"/>
      </w:pPr>
      <w:r>
        <w:t xml:space="preserve">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p>
      <w:pPr>
        <w:pStyle w:val="BodyText"/>
      </w:pPr>
      <w:r>
        <w:t xml:space="preserve">LES GRANDS ÉTATS DU SAHEL PRÉCOLONIAL</w:t>
      </w:r>
    </w:p>
    <w:p>
      <w:pPr>
        <w:pStyle w:val="BodyText"/>
      </w:pPr>
      <w:r>
        <w:t xml:space="preserve">Empire du Ghana / Wagadou (IVe–XIe siècle): routes de l’or et du sel, système douanier sophistiqué.</w:t>
      </w:r>
    </w:p>
    <w:p>
      <w:pPr>
        <w:pStyle w:val="BodyText"/>
      </w:pPr>
      <w:r>
        <w:t xml:space="preserve">Empire du Mali (XIIIe–XVe siècle): fondé par Soundiata Keïta (Kirina, 1235); Charte du Mandé (1236) ; Mansa Moussa fait s’effondrer le cours de l’or au Caire (1324).</w:t>
      </w:r>
    </w:p>
    <w:p>
      <w:pPr>
        <w:pStyle w:val="BodyText"/>
      </w:pPr>
      <w:r>
        <w:t xml:space="preserve">Empire Songhaï (XVe–XVIe siècle): université de Sankoré (~25 000 étudiants); Tombouctou, env. 100 000 habitants.</w:t>
      </w:r>
    </w:p>
    <w:p>
      <w:pPr>
        <w:pStyle w:val="BodyText"/>
      </w:pPr>
      <w:r>
        <w:t xml:space="preserve">Sultanat du Bornou / Kanem (IXe–XIXe siècle): correspondances diplomatiques avec l’Égypte et l’Empire ottoman.</w:t>
      </w:r>
    </w:p>
    <w:p>
      <w:pPr>
        <w:pStyle w:val="BodyText"/>
      </w:pPr>
      <w:r>
        <w:t xml:space="preserve">Califat de Sokoto (1804–1903): l’une des plus grandes entités politiques africaines, référent actuel des populations haoussa-peules.</w:t>
      </w:r>
    </w:p>
    <w:p>
      <w:pPr>
        <w:pStyle w:val="BodyText"/>
      </w:pPr>
      <w:r>
        <w:t xml:space="preserve">Ces empires sont absents des manuels scolaires africains postcoloniaux, rédigés sur le modèle français.</w:t>
      </w:r>
    </w:p>
    <w:bookmarkEnd w:id="26"/>
    <w:bookmarkStart w:id="27" w:name="ni-paradis-perdu-ni-page-blanche"/>
    <w:p>
      <w:pPr>
        <w:pStyle w:val="Heading2"/>
      </w:pPr>
      <w:r>
        <w:t xml:space="preserve">Ni paradis perdu, ni page blanche</w:t>
      </w:r>
    </w:p>
    <w:p>
      <w:pPr>
        <w:pStyle w:val="FirstParagraph"/>
      </w:pPr>
      <w:r>
        <w:t xml:space="preserve">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pStyle w:val="BodyText"/>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pPr>
        <w:pStyle w:val="BodyText"/>
      </w:pPr>
      <w:r>
        <w:t xml:space="preserve">Mais la puissance d’une civilisation ne se mesure pas seulement à ses armées et à son or — et c’est dans les bibliothèques de Tombouctou, parmi des centaines de milliers de manuscrits, que le Sahel a laissé sa preuve la plus irréfutable.</w:t>
      </w:r>
    </w:p>
    <w:p>
      <w:r>
        <w:pict>
          <v:rect style="width:0;height:1.5pt" o:hralign="center" o:hrstd="t" o:hr="t"/>
        </w:pict>
      </w:r>
    </w:p>
    <w:bookmarkEnd w:id="27"/>
    <w:bookmarkEnd w:id="28"/>
    <w:bookmarkStart w:id="32" w:name="chapitre-2-les-civilisations-du-sahel"/>
    <w:p>
      <w:pPr>
        <w:pStyle w:val="Heading1"/>
      </w:pPr>
      <w:r>
        <w:t xml:space="preserve">Chapitre 2 — Les Civilisations Du Sahel</w:t>
      </w:r>
    </w:p>
    <w:p>
      <w:pPr>
        <w:pStyle w:val="FirstParagraph"/>
      </w:pPr>
      <w:r>
        <w:t xml:space="preserve">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pStyle w:val="BodyText"/>
      </w:pPr>
      <w:r>
        <w:t xml:space="preserve">Pourquoi un physicien-historien a-t-il dû consacrer sa vie à prouver que l’Afrique avait une histoire? Parce que tout, dans le savoir dominant, avait été organisé pour la lui retirer. Ce chapitre raconte ce que ce savoir a effacé.</w:t>
      </w:r>
    </w:p>
    <w:bookmarkStart w:id="29" w:name="tombouctou-la-ville-bibliothèque"/>
    <w:p>
      <w:pPr>
        <w:pStyle w:val="Heading2"/>
      </w:pPr>
      <w:r>
        <w:t xml:space="preserve">Tombouctou, la ville-bibliothèque</w:t>
      </w:r>
    </w:p>
    <w:p>
      <w:pPr>
        <w:pStyle w:val="FirstParagraph"/>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bookmarkEnd w:id="29"/>
    <w:bookmarkStart w:id="30" w:name="X0a7a8c78e019537a8bde640469a8498915f3e0b"/>
    <w:p>
      <w:pPr>
        <w:pStyle w:val="Heading2"/>
      </w:pPr>
      <w:r>
        <w:t xml:space="preserve">La Charte du Mandé : des droits proclamés en 1236</w:t>
      </w:r>
    </w:p>
    <w:p>
      <w:pPr>
        <w:pStyle w:val="FirstParagraph"/>
      </w:pPr>
      <w:r>
        <w:t xml:space="preserve">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p>
      <w:pPr>
        <w:pStyle w:val="BodyText"/>
      </w:pPr>
      <w:r>
        <w:t xml:space="preserve">CE QUE LE SAHEL A PRODUIT</w:t>
      </w:r>
    </w:p>
    <w:p>
      <w:pPr>
        <w:pStyle w:val="BodyText"/>
      </w:pPr>
      <w:r>
        <w:t xml:space="preserve">Charte du Mandé / Kouroukan Fouga (1236) : sacralité de la vie, égalité, interdiction de réduire en esclavage — l’une des premières déclarations de droits de l’histoire.</w:t>
      </w:r>
    </w:p>
    <w:p>
      <w:pPr>
        <w:pStyle w:val="BodyText"/>
      </w:pPr>
      <w:r>
        <w:t xml:space="preserve">Université de Sankoré, Tombouctou (XVe siècle): jusqu’à 25 000 étudiants; ville d’environ 100 000 habitants.</w:t>
      </w:r>
    </w:p>
    <w:p>
      <w:pPr>
        <w:pStyle w:val="BodyText"/>
      </w:pPr>
      <w:r>
        <w:t xml:space="preserve">Manuscrits de Tombouctou: plusieurs centaines de milliers de textes — médecine, mathématiques, philosophie, droit.</w:t>
      </w:r>
    </w:p>
    <w:p>
      <w:pPr>
        <w:pStyle w:val="BodyText"/>
      </w:pPr>
      <w:r>
        <w:t xml:space="preserve">Cheikh Anta Diop:</w:t>
      </w:r>
      <w:r>
        <w:t xml:space="preserve"> </w:t>
      </w:r>
      <w:r>
        <w:rPr>
          <w:iCs/>
          <w:i/>
        </w:rPr>
        <w:t xml:space="preserve">Nations nègres et culture</w:t>
      </w:r>
      <w:r>
        <w:t xml:space="preserve"> </w:t>
      </w:r>
      <w:r>
        <w:t xml:space="preserve">(1954), laboratoire de datation carbone de Dakar, colloque UNESCO du Caire (1974).</w:t>
      </w:r>
    </w:p>
    <w:bookmarkEnd w:id="30"/>
    <w:bookmarkStart w:id="31" w:name="X585bcb18cb8eb6b181fe7338ca107d37ada211b"/>
    <w:p>
      <w:pPr>
        <w:pStyle w:val="Heading2"/>
      </w:pPr>
      <w:r>
        <w:t xml:space="preserve">Hérodote, Diop et la preuve par convergence</w:t>
      </w:r>
    </w:p>
    <w:p>
      <w:pPr>
        <w:pStyle w:val="FirstParagraph"/>
      </w:pPr>
      <w:r>
        <w:t xml:space="preserve">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pPr>
        <w:pStyle w:val="BodyText"/>
      </w:pPr>
      <w:r>
        <w:t xml:space="preserve">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pPr>
        <w:pStyle w:val="BodyText"/>
      </w:pPr>
      <w:r>
        <w:t xml:space="preserve">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r>
        <w:pict>
          <v:rect style="width:0;height:1.5pt" o:hralign="center" o:hrstd="t" o:hr="t"/>
        </w:pict>
      </w:r>
    </w:p>
    <w:bookmarkEnd w:id="31"/>
    <w:bookmarkEnd w:id="32"/>
    <w:bookmarkStart w:id="37" w:name="chapitre-3-la-conquête-coloniale"/>
    <w:p>
      <w:pPr>
        <w:pStyle w:val="Heading1"/>
      </w:pPr>
      <w:r>
        <w:t xml:space="preserve">Chapitre 3 — La Conquête Coloniale</w:t>
      </w:r>
    </w:p>
    <w:p>
      <w:pPr>
        <w:pStyle w:val="FirstParagraph"/>
      </w:pPr>
      <w:r>
        <w:t xml:space="preserve">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bookmarkStart w:id="33" w:name="X0172a1572c2ec621640fae24797059c57ab65f7"/>
    <w:p>
      <w:pPr>
        <w:pStyle w:val="Heading2"/>
      </w:pPr>
      <w:r>
        <w:t xml:space="preserve">Une opération chirurgicale sur le corps africain</w:t>
      </w:r>
    </w:p>
    <w:p>
      <w:pPr>
        <w:pStyle w:val="FirstParagraph"/>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pPr>
        <w:pStyle w:val="BodyText"/>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bookmarkEnd w:id="33"/>
    <w:bookmarkStart w:id="34" w:name="la-règle-du-jeu-l-occupation-effective"/>
    <w:p>
      <w:pPr>
        <w:pStyle w:val="Heading2"/>
      </w:pPr>
      <w:r>
        <w:t xml:space="preserve">La règle du jeu: l’« occupation effective»</w:t>
      </w:r>
    </w:p>
    <w:p>
      <w:pPr>
        <w:pStyle w:val="FirstParagraph"/>
      </w:pPr>
      <w:r>
        <w:t xml:space="preserve">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pPr>
        <w:pStyle w:val="BodyText"/>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bookmarkEnd w:id="34"/>
    <w:bookmarkStart w:id="35" w:name="le-piège-des-micro-états"/>
    <w:p>
      <w:pPr>
        <w:pStyle w:val="Heading2"/>
      </w:pPr>
      <w:r>
        <w:t xml:space="preserve">Le piège des micro-États</w:t>
      </w:r>
    </w:p>
    <w:p>
      <w:pPr>
        <w:pStyle w:val="FirstParagraph"/>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pStyle w:val="BodyText"/>
      </w:pPr>
      <w:r>
        <w:t xml:space="preserve">BERLIN, 1884-1885</w:t>
      </w:r>
    </w:p>
    <w:p>
      <w:pPr>
        <w:pStyle w:val="BodyText"/>
      </w:pPr>
      <w:r>
        <w:t xml:space="preserve">15 novembre 1884: ouverture de la conférence dans la résidence du chancelier Bismarck, à Berlin.</w:t>
      </w:r>
    </w:p>
    <w:p>
      <w:pPr>
        <w:pStyle w:val="BodyText"/>
      </w:pPr>
      <w:r>
        <w:t xml:space="preserve">Quatorze puissances européennes et les États-Unis autour de la table; aucun représentant africain.</w:t>
      </w:r>
    </w:p>
    <w:p>
      <w:pPr>
        <w:pStyle w:val="BodyText"/>
      </w:pPr>
      <w:r>
        <w:t xml:space="preserve">26 février 1885: clôture — l’Afrique est découpée en zones d’influence, ses fleuves ouverts à la navigation européenne.</w:t>
      </w:r>
    </w:p>
    <w:p>
      <w:pPr>
        <w:pStyle w:val="BodyText"/>
      </w:pPr>
      <w:r>
        <w:t xml:space="preserve">Première conférence internationale de l’histoire consacrée exclusivement à un continent absent des débats.</w:t>
      </w:r>
    </w:p>
    <w:bookmarkEnd w:id="35"/>
    <w:bookmarkStart w:id="36" w:name="avant-berlin-après-berlin"/>
    <w:p>
      <w:pPr>
        <w:pStyle w:val="Heading2"/>
      </w:pPr>
      <w:r>
        <w:t xml:space="preserve">Avant Berlin, après Berlin</w:t>
      </w:r>
    </w:p>
    <w:p>
      <w:pPr>
        <w:pStyle w:val="FirstParagraph"/>
      </w:pPr>
      <w:r>
        <w:t xml:space="preserve">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pPr>
        <w:pStyle w:val="BodyText"/>
      </w:pPr>
      <w:r>
        <w:t xml:space="preserve">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pPr>
        <w:pStyle w:val="BodyText"/>
      </w:pPr>
      <w:r>
        <w:t xml:space="preserve">Voilà le décor planté à Berlin: un continent nié, découpé, terrorisé. Mais les cartes du chancelier Bismarck avaient oublié un paramètre — les peuples qu’elles découpaient allaient se battre, les armes à la main, pendant des décennies.</w:t>
      </w:r>
    </w:p>
    <w:p>
      <w:r>
        <w:pict>
          <v:rect style="width:0;height:1.5pt" o:hralign="center" o:hrstd="t" o:hr="t"/>
        </w:pict>
      </w:r>
    </w:p>
    <w:bookmarkEnd w:id="36"/>
    <w:bookmarkEnd w:id="37"/>
    <w:bookmarkStart w:id="42" w:name="chapitre-4-les-résistances-oubliées"/>
    <w:p>
      <w:pPr>
        <w:pStyle w:val="Heading1"/>
      </w:pPr>
      <w:r>
        <w:t xml:space="preserve">Chapitre 4 — Les Résistances Oubliées</w:t>
      </w:r>
    </w:p>
    <w:p>
      <w:pPr>
        <w:pStyle w:val="FirstParagraph"/>
      </w:pPr>
      <w:r>
        <w:t xml:space="preserve">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bookmarkStart w:id="38" w:name="seize-ans-face-à-la-france"/>
    <w:p>
      <w:pPr>
        <w:pStyle w:val="Heading2"/>
      </w:pPr>
      <w:r>
        <w:t xml:space="preserve">Seize ans face à la France</w:t>
      </w:r>
    </w:p>
    <w:p>
      <w:pPr>
        <w:pStyle w:val="FirstParagraph"/>
      </w:pPr>
      <w:r>
        <w:t xml:space="preserve">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pStyle w:val="BodyText"/>
      </w:pPr>
      <w:r>
        <w:t xml:space="preserve">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bookmarkEnd w:id="38"/>
    <w:bookmarkStart w:id="39" w:name="ceux-qui-ont-dit-non"/>
    <w:p>
      <w:pPr>
        <w:pStyle w:val="Heading2"/>
      </w:pPr>
      <w:r>
        <w:t xml:space="preserve">Ceux qui ont dit non</w:t>
      </w:r>
    </w:p>
    <w:p>
      <w:pPr>
        <w:pStyle w:val="FirstParagraph"/>
      </w:pPr>
      <w:r>
        <w:t xml:space="preserve">Samory n’était pas seul. La conquête a rencontré, partout au Sahel, des hommes qui ont préféré la guerre, et parfois la mort, à la reddition.</w:t>
      </w:r>
    </w:p>
    <w:p>
      <w:pPr>
        <w:pStyle w:val="BodyText"/>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p>
      <w:pPr>
        <w:pStyle w:val="BodyText"/>
      </w:pPr>
      <w:r>
        <w:t xml:space="preserve">LES FIGURES DE LA RÉSISTANCE SAHÉLIENNE</w:t>
      </w:r>
    </w:p>
    <w:p>
      <w:pPr>
        <w:pStyle w:val="BodyText"/>
      </w:pPr>
      <w:r>
        <w:t xml:space="preserve">El Hadj Omar Tall: fondateur de la théocratie toucouleur (Mali, Guinée, Sénégal actuels); mène la résistance islamique jusqu’à sa disparition, acculé dans une grotte au nord du Mali (1864).</w:t>
      </w:r>
    </w:p>
    <w:p>
      <w:pPr>
        <w:pStyle w:val="BodyText"/>
      </w:pPr>
      <w:r>
        <w:t xml:space="preserve">Samory Touré (vers 1830–1900): empire du Wassoulou; seize ans de résistance armée; capturé en 1898, déporté au Gabon où il meurt.</w:t>
      </w:r>
    </w:p>
    <w:p>
      <w:pPr>
        <w:pStyle w:val="BodyText"/>
      </w:pPr>
      <w:r>
        <w:t xml:space="preserve">Babemba Traoré: roi du Kenédougou; se suicide à Sikasso en 1898 plutôt que de se rendre.</w:t>
      </w:r>
    </w:p>
    <w:p>
      <w:pPr>
        <w:pStyle w:val="BodyText"/>
      </w:pPr>
      <w:r>
        <w:t xml:space="preserve">Rabah Fadlallah: conquérant du Bornou; résiste jusqu’à sa mort à la bataille de Kousseri (1900).</w:t>
      </w:r>
    </w:p>
    <w:p>
      <w:pPr>
        <w:pStyle w:val="BodyText"/>
      </w:pPr>
      <w:r>
        <w:t xml:space="preserve">Tous absents des manuels scolaires postcoloniaux; tous présents dans les discours des dirigeants de l’AES.</w:t>
      </w:r>
    </w:p>
    <w:bookmarkEnd w:id="39"/>
    <w:bookmarkStart w:id="40" w:name="une-résistance-qui-ne-séteint-jamais"/>
    <w:p>
      <w:pPr>
        <w:pStyle w:val="Heading2"/>
      </w:pPr>
      <w:r>
        <w:t xml:space="preserve">Une résistance qui ne s’éteint jamais</w:t>
      </w:r>
    </w:p>
    <w:p>
      <w:pPr>
        <w:pStyle w:val="FirstParagraph"/>
      </w:pPr>
      <w:r>
        <w:t xml:space="preserve">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bookmarkEnd w:id="40"/>
    <w:bookmarkStart w:id="41" w:name="le-double-effacement"/>
    <w:p>
      <w:pPr>
        <w:pStyle w:val="Heading2"/>
      </w:pPr>
      <w:r>
        <w:t xml:space="preserve">Le double effacement</w:t>
      </w:r>
    </w:p>
    <w:p>
      <w:pPr>
        <w:pStyle w:val="FirstParagraph"/>
      </w:pPr>
      <w:r>
        <w:t xml:space="preserve">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pPr>
        <w:pStyle w:val="BodyText"/>
      </w:pPr>
      <w:r>
        <w:t xml:space="preserve">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pPr>
        <w:pStyle w:val="BodyText"/>
      </w:pPr>
      <w:r>
        <w:t xml:space="preserve">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pPr>
        <w:pStyle w:val="BodyText"/>
      </w:pPr>
      <w:r>
        <w:t xml:space="preserve">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pStyle w:val="BodyText"/>
      </w:pPr>
      <w:r>
        <w:t xml:space="preserve">L’Afrique d’avant la conquête avait des empires, des universités, des monnaies. La Partie I l’a montré. Reste alors une énigme: comment un continent aussi riche a-t-il pu devenir, en quelques décennies, le plus dépendant du monde?</w:t>
      </w:r>
    </w:p>
    <w:p>
      <w:pPr>
        <w:pStyle w:val="BodyText"/>
      </w:pPr>
      <w:r>
        <w:t xml:space="preserve">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pStyle w:val="BodyText"/>
      </w:pPr>
      <w:r>
        <w:t xml:space="preserve">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pStyle w:val="BodyText"/>
      </w:pPr>
      <w:r>
        <w:t xml:space="preserve">Nulle improvisation. Une construction.</w:t>
      </w:r>
    </w:p>
    <w:p>
      <w:r>
        <w:pict>
          <v:rect style="width:0;height:1.5pt" o:hralign="center" o:hrstd="t" o:hr="t"/>
        </w:pict>
      </w:r>
    </w:p>
    <w:bookmarkEnd w:id="41"/>
    <w:bookmarkEnd w:id="42"/>
    <w:bookmarkStart w:id="47" w:name="X08c41ee918250330b1b039043afe2e2b2cf2c2e"/>
    <w:p>
      <w:pPr>
        <w:pStyle w:val="Heading1"/>
      </w:pPr>
      <w:r>
        <w:t xml:space="preserve">Chapitre 5 — 1960: Les Indépendances Inachevées</w:t>
      </w:r>
    </w:p>
    <w:p>
      <w:pPr>
        <w:pStyle w:val="FirstParagraph"/>
      </w:pPr>
      <w:r>
        <w:t xml:space="preserve">« Nous préférons la pauvreté dans la liberté à l’opulence dans l’esclavage.»</w:t>
      </w:r>
    </w:p>
    <w:p>
      <w:pPr>
        <w:pStyle w:val="BodyText"/>
      </w:pPr>
      <w:r>
        <w:t xml:space="preserve">— Ahmed Sékou Touré, devant le général de Gaulle, Conakry, 25 août 1958</w:t>
      </w:r>
    </w:p>
    <w:p>
      <w:pPr>
        <w:pStyle w:val="BodyText"/>
      </w:pPr>
      <w:r>
        <w:t xml:space="preserve">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pPr>
        <w:pStyle w:val="BodyText"/>
      </w:pPr>
      <w:r>
        <w:t xml:space="preserve">Mais dans les bureaux de Paris, une autre histoire s’écrit au même moment. Et c’est elle qui va gouverner les soixante années suivantes.</w:t>
      </w:r>
    </w:p>
    <w:bookmarkStart w:id="43" w:name="lhomme-de-lombre"/>
    <w:p>
      <w:pPr>
        <w:pStyle w:val="Heading2"/>
      </w:pPr>
      <w:r>
        <w:t xml:space="preserve">L’homme de l’ombre</w:t>
      </w:r>
    </w:p>
    <w:p>
      <w:pPr>
        <w:pStyle w:val="FirstParagraph"/>
      </w:pPr>
      <w:r>
        <w:t xml:space="preserve">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pPr>
        <w:pStyle w:val="BodyText"/>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pPr>
        <w:pStyle w:val="BodyText"/>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bookmarkEnd w:id="43"/>
    <w:bookmarkStart w:id="44" w:name="le-pays-qui-a-dit-non"/>
    <w:p>
      <w:pPr>
        <w:pStyle w:val="Heading2"/>
      </w:pPr>
      <w:r>
        <w:t xml:space="preserve">Le pays qui a dit non</w:t>
      </w:r>
    </w:p>
    <w:p>
      <w:pPr>
        <w:pStyle w:val="FirstParagraph"/>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pPr>
        <w:pStyle w:val="BodyText"/>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bookmarkEnd w:id="44"/>
    <w:bookmarkStart w:id="45" w:name="le-sort-des-pionniers"/>
    <w:p>
      <w:pPr>
        <w:pStyle w:val="Heading2"/>
      </w:pPr>
      <w:r>
        <w:t xml:space="preserve">Le sort des pionniers</w:t>
      </w:r>
    </w:p>
    <w:p>
      <w:pPr>
        <w:pStyle w:val="FirstParagraph"/>
      </w:pPr>
      <w:r>
        <w:t xml:space="preserve">Ce que risquaient ceux qui prenaient l’indépendance au sérieux, quatre destins suffisent à le dire.</w:t>
      </w:r>
    </w:p>
    <w:p>
      <w:pPr>
        <w:pStyle w:val="BodyText"/>
      </w:pPr>
      <w:r>
        <w:t xml:space="preserve">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pPr>
        <w:pStyle w:val="BodyText"/>
      </w:pPr>
      <w:r>
        <w:t xml:space="preserve">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pPr>
        <w:pStyle w:val="BodyText"/>
      </w:pPr>
      <w:r>
        <w:t xml:space="preserve">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pPr>
        <w:pStyle w:val="BodyText"/>
      </w:pPr>
      <w:r>
        <w:t xml:space="preserve">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pPr>
        <w:pStyle w:val="BodyText"/>
      </w:pPr>
      <w:r>
        <w:t xml:space="preserve">Quatre pionniers. Deux assassinés, deux renversés. Aucun n’a achevé son mandat. La leçon, elle, a été parfaitement reçue par les survivants.</w:t>
      </w:r>
    </w:p>
    <w:p>
      <w:pPr>
        <w:pStyle w:val="BodyText"/>
      </w:pPr>
      <w:r>
        <w:t xml:space="preserve">LES INDÉPENDANCES ET LEUR BILAN, SOIXANTE ANS APRÈS</w:t>
      </w:r>
    </w:p>
    <w:p>
      <w:pPr>
        <w:pStyle w:val="BodyText"/>
      </w:pPr>
      <w:r>
        <w:t xml:space="preserve">Sénégal: 4 avril 1960 — Niger: 3 août 1960 — Burkina Faso (ex-Haute-Volta): 5 août 1960 — Tchad: 11 août 1960 — Mali: 22 septembre 1960 — Mauritanie: 28 novembre 1960</w:t>
      </w:r>
    </w:p>
    <w:p>
      <w:pPr>
        <w:pStyle w:val="BodyText"/>
      </w:pPr>
      <w:r>
        <w:t xml:space="preserve">Guinée: 2 octobre 1958 — seul territoire à avoir voté non au referendum</w:t>
      </w:r>
    </w:p>
    <w:p>
      <w:pPr>
        <w:pStyle w:val="BodyText"/>
      </w:pPr>
      <w:r>
        <w:t xml:space="preserve">Soixante ans plus tard: le Niger est 189e sur 191 à l’indice de développement humain, le Burkina Faso 184e, le Mali 185e (PNUD, 2023). Les trois pays de l’AES figurent dans les cinq derniers rangs mondiaux.</w:t>
      </w:r>
    </w:p>
    <w:bookmarkEnd w:id="45"/>
    <w:bookmarkStart w:id="46" w:name="des-indépendances-javellisées"/>
    <w:p>
      <w:pPr>
        <w:pStyle w:val="Heading2"/>
      </w:pPr>
      <w:r>
        <w:t xml:space="preserve">Des indépendances « javellisées»</w:t>
      </w:r>
    </w:p>
    <w:p>
      <w:pPr>
        <w:pStyle w:val="FirstParagraph"/>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pPr>
        <w:pStyle w:val="BodyText"/>
      </w:pPr>
      <w:r>
        <w:t xml:space="preserve">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pPr>
        <w:pStyle w:val="BodyText"/>
      </w:pPr>
      <w:r>
        <w:t xml:space="preserve">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(Parole panafricaniste, Panafricanisme TV, 1ᵉʳ mars 2023).</w:t>
      </w:r>
    </w:p>
    <w:p>
      <w:pPr>
        <w:pStyle w:val="BodyText"/>
      </w:pPr>
      <w:r>
        <w:t xml:space="preserve">Reste à comprendre ce qui, exactement, a été verrouillé en 1960. Pour cela, il faut ouvrir les livres de comptes — car c’est dans les chiffres, bien plus que dans les discours, que le pacte colonial s’est camouflé.</w:t>
      </w:r>
    </w:p>
    <w:p>
      <w:r>
        <w:pict>
          <v:rect style="width:0;height:1.5pt" o:hralign="center" o:hrstd="t" o:hr="t"/>
        </w:pict>
      </w:r>
    </w:p>
    <w:bookmarkEnd w:id="46"/>
    <w:bookmarkEnd w:id="47"/>
    <w:bookmarkStart w:id="52" w:name="chapitre-6-le-pacte-néocolonial"/>
    <w:p>
      <w:pPr>
        <w:pStyle w:val="Heading1"/>
      </w:pPr>
      <w:r>
        <w:t xml:space="preserve">Chapitre 6 — Le Pacte Néocolonial</w:t>
      </w:r>
    </w:p>
    <w:p>
      <w:pPr>
        <w:pStyle w:val="FirstParagraph"/>
      </w:pPr>
      <w:r>
        <w:t xml:space="preserve">« Il faut bien constater qu’une grande part de l’argent dans nos portefeuilles vient précisément de l’exploitation de l’Afrique pendant des siècles. Il faut avoir le sens commun, la justice, pour rendre aux Africains ce qu’on leur a pris.»</w:t>
      </w:r>
    </w:p>
    <w:p>
      <w:pPr>
        <w:pStyle w:val="BodyText"/>
      </w:pPr>
      <w:r>
        <w:t xml:space="preserve">— Jacques Chirac, ancien président de la République française</w:t>
      </w:r>
    </w:p>
    <w:p>
      <w:pPr>
        <w:pStyle w:val="BodyText"/>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pPr>
        <w:pStyle w:val="BodyText"/>
      </w:pPr>
      <w:r>
        <w:t xml:space="preserve">Cet aveu n’est pas une anecdote. C’est la description, par l’un de ses opérateurs, d’un système. Ce chapitre en démonte l’architecture: un pacte colonial qui n’a jamais été aboli en 1960 — seulement camouflé.</w:t>
      </w:r>
    </w:p>
    <w:bookmarkStart w:id="48" w:name="une-naissance-fiscale"/>
    <w:p>
      <w:pPr>
        <w:pStyle w:val="Heading2"/>
      </w:pPr>
      <w:r>
        <w:t xml:space="preserve">Une naissance fiscale</w:t>
      </w:r>
    </w:p>
    <w:p>
      <w:pPr>
        <w:pStyle w:val="FirstParagraph"/>
      </w:pPr>
      <w:r>
        <w:t xml:space="preserve">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pPr>
        <w:pStyle w:val="BodyText"/>
      </w:pPr>
      <w:r>
        <w:t xml:space="preserve">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pPr>
        <w:pStyle w:val="BodyText"/>
      </w:pPr>
      <w:r>
        <w:t xml:space="preserve">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pPr>
        <w:pStyle w:val="BodyText"/>
      </w:pPr>
      <w:r>
        <w:t xml:space="preserve">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bookmarkEnd w:id="48"/>
    <w:bookmarkStart w:id="49" w:name="le-monopole-comme-principe"/>
    <w:p>
      <w:pPr>
        <w:pStyle w:val="Heading2"/>
      </w:pPr>
      <w:r>
        <w:t xml:space="preserve">Le monopole comme principe</w:t>
      </w:r>
    </w:p>
    <w:p>
      <w:pPr>
        <w:pStyle w:val="FirstParagraph"/>
      </w:pPr>
      <w:r>
        <w:t xml:space="preserve">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pPr>
        <w:pStyle w:val="BodyText"/>
      </w:pPr>
      <w:r>
        <w:t xml:space="preserve">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pPr>
        <w:pStyle w:val="BodyText"/>
      </w:pPr>
      <w:r>
        <w:t xml:space="preserve">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bookmarkEnd w:id="49"/>
    <w:bookmarkStart w:id="50" w:name="X0789accc52ca70b4c3e3c726540b81bdc37c473"/>
    <w:p>
      <w:pPr>
        <w:pStyle w:val="Heading2"/>
      </w:pPr>
      <w:r>
        <w:t xml:space="preserve">La chaîne du pillage, racontée par ses maillons</w:t>
      </w:r>
    </w:p>
    <w:p>
      <w:pPr>
        <w:pStyle w:val="FirstParagraph"/>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pPr>
        <w:pStyle w:val="BodyText"/>
      </w:pPr>
      <w:r>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pPr>
        <w:pStyle w:val="BodyText"/>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p>
      <w:pPr>
        <w:pStyle w:val="BodyText"/>
      </w:pPr>
      <w:r>
        <w:t xml:space="preserve">LE CIRCUIT DU PILLAGE, DE L’EXTRACTION AU FINANCEMENT POLITIQUE</w:t>
      </w:r>
    </w:p>
    <w:p>
      <w:pPr>
        <w:pStyle w:val="BodyText"/>
      </w:pPr>
      <w:r>
        <w:t xml:space="preserve">Extraction des ressources africaines à prix décoté (4 $ pour un pétrole revendu 80 $)</w:t>
      </w:r>
    </w:p>
    <w:p>
      <w:pPr>
        <w:pStyle w:val="BodyText"/>
      </w:pPr>
      <w:r>
        <w:t xml:space="preserve">Cargaisons non déclarées, chiffres invérifiables par les États producteurs</w:t>
      </w:r>
    </w:p>
    <w:p>
      <w:pPr>
        <w:pStyle w:val="BodyText"/>
      </w:pPr>
      <w:r>
        <w:t xml:space="preserve">Financement politique par mallettes (Bourgi) et réseaux offshore</w:t>
      </w:r>
    </w:p>
    <w:p>
      <w:pPr>
        <w:pStyle w:val="BodyText"/>
      </w:pPr>
      <w:r>
        <w:t xml:space="preserve">Financement retour: des campagnes électorales françaises payées par les chefs d’État africains</w:t>
      </w:r>
    </w:p>
    <w:p>
      <w:pPr>
        <w:pStyle w:val="BodyText"/>
      </w:pPr>
      <w:r>
        <w:t xml:space="preserve">Double impunité: les États africains ne peuvent pas vérifier, les tribunaux français regardent ailleurs</w:t>
      </w:r>
    </w:p>
    <w:p>
      <w:pPr>
        <w:pStyle w:val="BodyText"/>
      </w:pPr>
      <w:r>
        <w:t xml:space="preserve">(Sources: Le Floch-Prigent, Lissouba, Koulibaly, Bourgi, Pasqua; Le Monde, 2018)</w:t>
      </w:r>
    </w:p>
    <w:bookmarkEnd w:id="50"/>
    <w:bookmarkStart w:id="51" w:name="quand-ladversaire-avoue"/>
    <w:p>
      <w:pPr>
        <w:pStyle w:val="Heading2"/>
      </w:pPr>
      <w:r>
        <w:t xml:space="preserve">Quand l’adversaire avoue</w:t>
      </w:r>
    </w:p>
    <w:p>
      <w:pPr>
        <w:pStyle w:val="FirstParagraph"/>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pPr>
        <w:pStyle w:val="BodyText"/>
      </w:pPr>
      <w:r>
        <w:t xml:space="preserve">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pStyle w:val="BodyText"/>
      </w:pPr>
      <w:r>
        <w:t xml:space="preserve">Mallettes, monopoles, cargaisons fantômes: aucun de ces leviers ne tiendrait pourtant sans le verrou central du dispositif — la monnaie elle-même, et c’est elle qu’il faut maintenant regarder en face.</w:t>
      </w:r>
    </w:p>
    <w:p>
      <w:r>
        <w:pict>
          <v:rect style="width:0;height:1.5pt" o:hralign="center" o:hrstd="t" o:hr="t"/>
        </w:pict>
      </w:r>
    </w:p>
    <w:bookmarkEnd w:id="51"/>
    <w:bookmarkEnd w:id="52"/>
    <w:bookmarkStart w:id="57" w:name="chapitre-7-le-franc-cfa"/>
    <w:p>
      <w:pPr>
        <w:pStyle w:val="Heading1"/>
      </w:pPr>
      <w:r>
        <w:t xml:space="preserve">Chapitre 7 — Le Franc Cfa</w:t>
      </w:r>
    </w:p>
    <w:p>
      <w:pPr>
        <w:pStyle w:val="FirstParagraph"/>
      </w:pPr>
      <w:r>
        <w:t xml:space="preserve">« La monnaie est la mère des souverainetés. Vous ne pouvez pas être souverain si vous n’avez pas de monnaie.»</w:t>
      </w:r>
    </w:p>
    <w:p>
      <w:pPr>
        <w:pStyle w:val="BodyText"/>
      </w:pPr>
      <w:r>
        <w:t xml:space="preserve">— Dr Douma Jean-René, Panafrican Média TV, 10 mai 2026</w:t>
      </w:r>
    </w:p>
    <w:p>
      <w:pPr>
        <w:pStyle w:val="BodyText"/>
      </w:pPr>
      <w:r>
        <w:t xml:space="preserve">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pStyle w:val="BodyText"/>
      </w:pPr>
      <w:r>
        <w:t xml:space="preserve">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bookmarkStart w:id="53" w:name="Xdc117af97418602b87ac1cb026a97580c71f95a"/>
    <w:p>
      <w:pPr>
        <w:pStyle w:val="Heading2"/>
      </w:pPr>
      <w:r>
        <w:t xml:space="preserve">Le compte d’opérations, ou la souveraineté en dépôt</w:t>
      </w:r>
    </w:p>
    <w:p>
      <w:pPr>
        <w:pStyle w:val="FirstParagraph"/>
      </w:pPr>
      <w:r>
        <w:t xml:space="preserve">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pPr>
        <w:pStyle w:val="BodyText"/>
      </w:pPr>
      <w:r>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p>
      <w:pPr>
        <w:pStyle w:val="BodyText"/>
      </w:pPr>
      <w:r>
        <w:t xml:space="preserve">LE COMPTE D’OPÉRATIONS EN CLAIR</w:t>
      </w:r>
    </w:p>
    <w:p>
      <w:pPr>
        <w:pStyle w:val="BodyText"/>
      </w:pPr>
      <w:r>
        <w:t xml:space="preserve">Le principe: la France « garantit» la convertibilité du franc CFA en euros</w:t>
      </w:r>
    </w:p>
    <w:p>
      <w:pPr>
        <w:pStyle w:val="BodyText"/>
      </w:pPr>
      <w:r>
        <w:t xml:space="preserve">Le prix: 50 % des réserves de change des États membres déposées au Trésor français (100 % de 1945 à 1975)</w:t>
      </w:r>
    </w:p>
    <w:p>
      <w:pPr>
        <w:pStyle w:val="BodyText"/>
      </w:pPr>
      <w:r>
        <w:t xml:space="preserve">La conséquence: Paris voit passer tous les flux d’exportation, peut les bloquer, et fixe le taux de change</w:t>
      </w:r>
    </w:p>
    <w:p>
      <w:pPr>
        <w:pStyle w:val="BodyText"/>
      </w:pPr>
      <w:r>
        <w:t xml:space="preserve">L’échelle: quinze pays africains utilisent aujourd’hui cette monnaie fabriquée et contrôlée en France</w:t>
      </w:r>
    </w:p>
    <w:bookmarkEnd w:id="53"/>
    <w:bookmarkStart w:id="54" w:name="le-prix-de-la-sortie"/>
    <w:p>
      <w:pPr>
        <w:pStyle w:val="Heading2"/>
      </w:pPr>
      <w:r>
        <w:t xml:space="preserve">Le prix de la sortie</w:t>
      </w:r>
    </w:p>
    <w:p>
      <w:pPr>
        <w:pStyle w:val="FirstParagraph"/>
      </w:pPr>
      <w:r>
        <w:t xml:space="preserve">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pPr>
        <w:pStyle w:val="BodyText"/>
      </w:pPr>
      <w:r>
        <w:t xml:space="preserve">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pPr>
        <w:pStyle w:val="BodyText"/>
      </w:pPr>
      <w:r>
        <w:t xml:space="preserve">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w:t>
      </w:r>
      <w:r>
        <w:t xml:space="preserve"> </w:t>
      </w:r>
      <w:r>
        <w:t xml:space="preserve">“</w:t>
      </w:r>
      <w:r>
        <w:t xml:space="preserve">nous ne nous opposons pas à la fin du franc CFA — c’est aux Africains de décider</w:t>
      </w:r>
      <w:r>
        <w:t xml:space="preserve">”</w:t>
      </w:r>
      <w:r>
        <w:t xml:space="preserve">,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bookmarkEnd w:id="54"/>
    <w:bookmarkStart w:id="55" w:name="les-contre-exemples-qui-dérangent"/>
    <w:p>
      <w:pPr>
        <w:pStyle w:val="Heading2"/>
      </w:pPr>
      <w:r>
        <w:t xml:space="preserve">Les contre-exemples qui dérangent</w:t>
      </w:r>
    </w:p>
    <w:p>
      <w:pPr>
        <w:pStyle w:val="FirstParagraph"/>
      </w:pPr>
      <w:r>
        <w:t xml:space="preserve">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pPr>
        <w:pStyle w:val="BodyText"/>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BodyText"/>
      </w:pPr>
      <w:r>
        <w:t xml:space="preserve">La Guinée, souvent brandée comme l’argument décisif contre la souveraineté monétaire — «regardez où elle est, hors du CFA!» —, n’est pas l’exemple d’une monnaie souveraine qui aurait échoué seule. C’est l’exemple d’une économie sabotée méthodiquement dès sa naissance: faux billets du SDECE, exilés armés, insurrections financées, complots d’élimination du président, coffres de la BCEAO vidés le jour du 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pPr>
        <w:pStyle w:val="BodyText"/>
      </w:pPr>
      <w:r>
        <w:t xml:space="preserve">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bookmarkEnd w:id="55"/>
    <w:bookmarkStart w:id="56" w:name="une-arme-toujours-chargée"/>
    <w:p>
      <w:pPr>
        <w:pStyle w:val="Heading2"/>
      </w:pPr>
      <w:r>
        <w:t xml:space="preserve">Une arme toujours chargée</w:t>
      </w:r>
    </w:p>
    <w:p>
      <w:pPr>
        <w:pStyle w:val="FirstParagraph"/>
      </w:pPr>
      <w:r>
        <w:t xml:space="preserve">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pPr>
        <w:pStyle w:val="BodyText"/>
      </w:pPr>
      <w:r>
        <w:t xml:space="preserve">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r>
        <w:pict>
          <v:rect style="width:0;height:1.5pt" o:hralign="center" o:hrstd="t" o:hr="t"/>
        </w:pict>
      </w:r>
    </w:p>
    <w:bookmarkEnd w:id="56"/>
    <w:bookmarkEnd w:id="57"/>
    <w:bookmarkStart w:id="62" w:name="chapitre-8-les-ressources-stratégiques"/>
    <w:p>
      <w:pPr>
        <w:pStyle w:val="Heading1"/>
      </w:pPr>
      <w:r>
        <w:t xml:space="preserve">Chapitre 8 — Les Ressources Stratégiques</w:t>
      </w:r>
    </w:p>
    <w:p>
      <w:pPr>
        <w:pStyle w:val="FirstParagraph"/>
      </w:pPr>
      <w:r>
        <w:t xml:space="preserve">« Des firmes privées tentaculaires exploitant aujourd’hui 80 % des gigantesques gisements africains, et dont les bénéfices sont rapatriés dans des paradis fiscaux.»</w:t>
      </w:r>
    </w:p>
    <w:p>
      <w:pPr>
        <w:pStyle w:val="BodyText"/>
      </w:pPr>
      <w:r>
        <w:t xml:space="preserve">— André Chassaigne, député, Assemblée nationale française, décembre 2013</w:t>
      </w:r>
    </w:p>
    <w:p>
      <w:pPr>
        <w:pStyle w:val="BodyText"/>
      </w:pPr>
      <w:r>
        <w:t xml:space="preserve">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pPr>
        <w:pStyle w:val="BodyText"/>
      </w:pPr>
      <w:r>
        <w:t xml:space="preserve">Cinquante ans durant, ce partage-là a été la règle pour tout ce que le Sahel produit de stratégique: l’uranium, l’or, le pétrole. Ce chapitre en fait l’inventaire.</w:t>
      </w:r>
    </w:p>
    <w:bookmarkStart w:id="58" w:name="le-paradoxe-absolu-luranium"/>
    <w:p>
      <w:pPr>
        <w:pStyle w:val="Heading2"/>
      </w:pPr>
      <w:r>
        <w:t xml:space="preserve">Le paradoxe absolu: l’uranium</w:t>
      </w:r>
    </w:p>
    <w:p>
      <w:pPr>
        <w:pStyle w:val="FirstParagraph"/>
      </w:pPr>
      <w:r>
        <w:t xml:space="preserve">Les chiffres ne viennent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pPr>
        <w:pStyle w:val="BodyText"/>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pPr>
        <w:pStyle w:val="BodyText"/>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p>
      <w:pPr>
        <w:pStyle w:val="BodyText"/>
      </w:pPr>
      <w:r>
        <w:t xml:space="preserve">NIGER: L’INVENTAIRE D’UN PARADOXE</w:t>
      </w:r>
    </w:p>
    <w:p>
      <w:pPr>
        <w:pStyle w:val="BodyText"/>
      </w:pPr>
      <w:r>
        <w:t xml:space="preserve">35 % des importations françaises d’uranium concentré en 2020 (Haut Comité pour la transparence nucléaire)</w:t>
      </w:r>
    </w:p>
    <w:p>
      <w:pPr>
        <w:pStyle w:val="BodyText"/>
      </w:pPr>
      <w:r>
        <w:t xml:space="preserve">Prix historiquement payé: 30 à 40 % sous le cours mondial (ONG Sherpa, 2013)</w:t>
      </w:r>
    </w:p>
    <w:p>
      <w:pPr>
        <w:pStyle w:val="BodyText"/>
      </w:pPr>
      <w:r>
        <w:t xml:space="preserve">Contamination radioactive des eaux d’Arlit documentée (Greenpeace, 2010)</w:t>
      </w:r>
    </w:p>
    <w:p>
      <w:pPr>
        <w:pStyle w:val="BodyText"/>
      </w:pPr>
      <w:r>
        <w:t xml:space="preserve">Accès à l’électricité: moins de 20 % de la population (Banque mondiale, 2022); IDH: 189e sur 191 (PNUD)</w:t>
      </w:r>
    </w:p>
    <w:p>
      <w:pPr>
        <w:pStyle w:val="BodyText"/>
      </w:pPr>
      <w:r>
        <w:t xml:space="preserve">Après la transition de 2023: recettes pétrolières +218 % (2020-2024), couverture des besoins domestiques passée de 20 % à 60 %</w:t>
      </w:r>
    </w:p>
    <w:bookmarkEnd w:id="58"/>
    <w:bookmarkStart w:id="59" w:name="Xc009670626312344f92f3de2678e7879c2c0b9d"/>
    <w:p>
      <w:pPr>
        <w:pStyle w:val="Heading2"/>
      </w:pPr>
      <w:r>
        <w:t xml:space="preserve">L’or du Mali: la renégociation qui fait jurisprudence</w:t>
      </w:r>
    </w:p>
    <w:p>
      <w:pPr>
        <w:pStyle w:val="FirstParagraph"/>
      </w:pPr>
      <w:r>
        <w:t xml:space="preserve">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pPr>
        <w:pStyle w:val="BodyText"/>
      </w:pPr>
      <w:r>
        <w:t xml:space="preserve">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bookmarkEnd w:id="59"/>
    <w:bookmarkStart w:id="60" w:name="le-pétrole-60-30-10"/>
    <w:p>
      <w:pPr>
        <w:pStyle w:val="Heading2"/>
      </w:pPr>
      <w:r>
        <w:t xml:space="preserve">Le pétrole: 60-30-10</w:t>
      </w:r>
    </w:p>
    <w:p>
      <w:pPr>
        <w:pStyle w:val="FirstParagraph"/>
      </w:pPr>
      <w:r>
        <w:t xml:space="preserve">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pPr>
        <w:pStyle w:val="BodyText"/>
      </w:pPr>
      <w:r>
        <w:t xml:space="preserve">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bookmarkEnd w:id="60"/>
    <w:bookmarkStart w:id="61" w:name="X3d9ea32088a35f52849f2803f8e14fb7113c491"/>
    <w:p>
      <w:pPr>
        <w:pStyle w:val="Heading2"/>
      </w:pPr>
      <w:r>
        <w:t xml:space="preserve">Ce que change la rupture: la preuve par les chiffres</w:t>
      </w:r>
    </w:p>
    <w:p>
      <w:pPr>
        <w:pStyle w:val="FirstParagraph"/>
      </w:pPr>
      <w:r>
        <w:t xml:space="preserve">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pPr>
        <w:pStyle w:val="BodyText"/>
      </w:pPr>
      <w:r>
        <w:t xml:space="preserve">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pPr>
        <w:pStyle w:val="BodyText"/>
      </w:pPr>
      <w:r>
        <w:t xml:space="preserve">Une question demeure, et elle est vertigineuse: comment un pillage aussi documenté a-t-il pu durer six décennies sans provoquer de rupture? Parce qu’on l’a enveloppé dans le plus efficace des camouflages — un mot doux, presque tendre, qui s’appelle « l’aide».</w:t>
      </w:r>
    </w:p>
    <w:p>
      <w:r>
        <w:pict>
          <v:rect style="width:0;height:1.5pt" o:hralign="center" o:hrstd="t" o:hr="t"/>
        </w:pict>
      </w:r>
    </w:p>
    <w:bookmarkEnd w:id="61"/>
    <w:bookmarkEnd w:id="62"/>
    <w:bookmarkStart w:id="67" w:name="Xd7672e28495a8afd48128e61f389ce666320f22"/>
    <w:p>
      <w:pPr>
        <w:pStyle w:val="Heading1"/>
      </w:pPr>
      <w:r>
        <w:t xml:space="preserve">Chapitre 9 — L’Aide, La Dette, Les Assassins Financiers</w:t>
      </w:r>
    </w:p>
    <w:p>
      <w:pPr>
        <w:pStyle w:val="FirstParagraph"/>
      </w:pPr>
      <w:r>
        <w:t xml:space="preserve">« L’aide publique au développement est une arnaque qui sert surtout à donner bonne conscience aux donateurs, qui savent très bien l’utilisation tordue que nos chefs d’État font de cet argent.»</w:t>
      </w:r>
    </w:p>
    <w:p>
      <w:pPr>
        <w:pStyle w:val="BodyText"/>
      </w:pPr>
      <w:r>
        <w:t xml:space="preserve">— Nathalie Yamb, chronique Afrique Résurrection, novembre 2022</w:t>
      </w:r>
    </w:p>
    <w:p>
      <w:pPr>
        <w:pStyle w:val="BodyText"/>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pPr>
        <w:pStyle w:val="BodyText"/>
      </w:pPr>
      <w:r>
        <w:t xml:space="preserve">Il n’y a aucune fatalité de la pauvreté dans cette scène. Il y a du pillage organisé, suivi d’une facture. Ce chapitre raconte comment la facture est devenue un système.</w:t>
      </w:r>
    </w:p>
    <w:bookmarkStart w:id="63" w:name="X7a7551ac03d33ac906a6746f09476f7e5aed165"/>
    <w:p>
      <w:pPr>
        <w:pStyle w:val="Heading2"/>
      </w:pPr>
      <w:r>
        <w:t xml:space="preserve">La dette odieuse: un concept juridique, pas un slogan</w:t>
      </w:r>
    </w:p>
    <w:p>
      <w:pPr>
        <w:pStyle w:val="FirstParagraph"/>
      </w:pPr>
      <w:r>
        <w:t xml:space="preserve">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pPr>
        <w:pStyle w:val="BodyText"/>
      </w:pPr>
      <w:r>
        <w:t xml:space="preserve">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pPr>
        <w:pStyle w:val="BodyText"/>
      </w:pPr>
      <w:r>
        <w:t xml:space="preserve">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bookmarkEnd w:id="63"/>
    <w:bookmarkStart w:id="64" w:name="laide-comme-thermomètre-de-lobéissance"/>
    <w:p>
      <w:pPr>
        <w:pStyle w:val="Heading2"/>
      </w:pPr>
      <w:r>
        <w:t xml:space="preserve">L’aide comme thermomètre de l’obéissance</w:t>
      </w:r>
    </w:p>
    <w:p>
      <w:pPr>
        <w:pStyle w:val="FirstParagraph"/>
      </w:pPr>
      <w:r>
        <w:t xml:space="preserve">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pPr>
        <w:pStyle w:val="BodyText"/>
      </w:pPr>
      <w:r>
        <w:t xml:space="preserve">La meilleure preuve que l’aide est un instrument politique? Sa courbe épouse exactement celle de l’obéissance.</w:t>
      </w:r>
    </w:p>
    <w:p>
      <w:pPr>
        <w:pStyle w:val="BodyText"/>
      </w:pPr>
      <w:r>
        <w:t xml:space="preserve">AIDE FRANÇAISE AU MALI: CHRONOLOGIE D’UN CHANTAGE</w:t>
      </w:r>
    </w:p>
    <w:p>
      <w:pPr>
        <w:pStyle w:val="BodyText"/>
      </w:pPr>
      <w:r>
        <w:t xml:space="preserve">2017-2021: 587 millions d’euros au total (385 milliards FCFA)</w:t>
      </w:r>
    </w:p>
    <w:p>
      <w:pPr>
        <w:pStyle w:val="BodyText"/>
      </w:pPr>
      <w:r>
        <w:t xml:space="preserve">2018-2019: montant multiplié par sept (de 30 à 205 millions d’euros) — les années où Bamako obéit</w:t>
      </w:r>
    </w:p>
    <w:p>
      <w:pPr>
        <w:pStyle w:val="BodyText"/>
      </w:pPr>
      <w:r>
        <w:t xml:space="preserve">2020-2021: montant divisé par trois (de 110 à 39 millions d’euros) — les années de resistance</w:t>
      </w:r>
    </w:p>
    <w:p>
      <w:pPr>
        <w:pStyle w:val="BodyText"/>
      </w:pPr>
      <w:r>
        <w:t xml:space="preserve">Août 2022: expulsion de Barkhane — suspension de l’aide</w:t>
      </w:r>
    </w:p>
    <w:p>
      <w:pPr>
        <w:pStyle w:val="BodyText"/>
      </w:pPr>
      <w:r>
        <w:t xml:space="preserve">Novembre 2022: suspension totale</w:t>
      </w:r>
    </w:p>
    <w:p>
      <w:pPr>
        <w:pStyle w:val="BodyText"/>
      </w:pPr>
      <w:r>
        <w:t xml:space="preserve">La variabilité du montant est un thermomètre de l’obéissance politique</w:t>
      </w:r>
    </w:p>
    <w:p>
      <w:pPr>
        <w:pStyle w:val="BodyText"/>
      </w:pPr>
      <w:r>
        <w:t xml:space="preserve">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pPr>
        <w:pStyle w:val="BodyText"/>
      </w:pPr>
      <w:r>
        <w:t xml:space="preserve">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bookmarkEnd w:id="64"/>
    <w:bookmarkStart w:id="65" w:name="les-confessions-dun-assassin-financier"/>
    <w:p>
      <w:pPr>
        <w:pStyle w:val="Heading2"/>
      </w:pPr>
      <w:r>
        <w:t xml:space="preserve">Les confessions d’un assassin financier</w:t>
      </w:r>
    </w:p>
    <w:p>
      <w:pPr>
        <w:pStyle w:val="FirstParagraph"/>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Les Confessions d’un assassin financier (2004), décrit de l’intérieur un système qui utilise le FMI et la Banque mondiale non comme des outils de développement, mais comme des armes de conquête économique.</w:t>
      </w:r>
    </w:p>
    <w:p>
      <w:pPr>
        <w:pStyle w:val="BodyText"/>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pPr>
        <w:pStyle w:val="BodyText"/>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pPr>
        <w:pStyle w:val="BodyText"/>
      </w:pPr>
      <w:r>
        <w:t xml:space="preserve">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pPr>
        <w:pStyle w:val="BodyText"/>
      </w:pPr>
      <w:r>
        <w:t xml:space="preserve">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bookmarkEnd w:id="65"/>
    <w:bookmarkStart w:id="66" w:name="X402ce20b89b268510d78cb0bcc93816d02c4e2f"/>
    <w:p>
      <w:pPr>
        <w:pStyle w:val="Heading2"/>
      </w:pPr>
      <w:r>
        <w:t xml:space="preserve">La grille de lecture du Sahel — et la réponse des tracteurs</w:t>
      </w:r>
    </w:p>
    <w:p>
      <w:pPr>
        <w:pStyle w:val="FirstParagraph"/>
      </w:pPr>
      <w:r>
        <w:t xml:space="preserve">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pPr>
        <w:pStyle w:val="BodyText"/>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pPr>
        <w:pStyle w:val="BodyText"/>
      </w:pPr>
      <w:r>
        <w:t xml:space="preserve">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r>
        <w:pict>
          <v:rect style="width:0;height:1.5pt" o:hralign="center" o:hrstd="t" o:hr="t"/>
        </w:pict>
      </w:r>
    </w:p>
    <w:bookmarkEnd w:id="66"/>
    <w:bookmarkEnd w:id="67"/>
    <w:bookmarkStart w:id="75" w:name="chapitre-10-les-réseaux-dinfluence"/>
    <w:p>
      <w:pPr>
        <w:pStyle w:val="Heading1"/>
      </w:pPr>
      <w:r>
        <w:t xml:space="preserve">Chapitre 10 — Les Réseaux D’Influence</w:t>
      </w:r>
    </w:p>
    <w:p>
      <w:pPr>
        <w:pStyle w:val="FirstParagraph"/>
      </w:pPr>
      <w:r>
        <w:t xml:space="preserve">« Il se trouve toujours des Africains pour poignarder leurs frères afin de faire plaisir à l’homme blanc.»</w:t>
      </w:r>
    </w:p>
    <w:p>
      <w:pPr>
        <w:pStyle w:val="BodyText"/>
      </w:pPr>
      <w:r>
        <w:t xml:space="preserve">— Nathalie Yamb, janvier 2022</w:t>
      </w:r>
    </w:p>
    <w:p>
      <w:pPr>
        <w:pStyle w:val="BodyText"/>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w:t>
      </w:r>
    </w:p>
    <w:p>
      <w:pPr>
        <w:pStyle w:val="BodyText"/>
      </w:pPr>
      <w:r>
        <w:t xml:space="preserve">Nous y reviendrons en détail à la fin de ce chapitre, car cet enregistrement est une pièce unique: le système de domination saisi en flagrant délit de fonctionnement. C’est tout l’objet de ce chapitre: comprendre comment l’empire tient quand les armées s’en vont. La réponse tient en quatre mots: une pyramide, un lexique, une organisation régionale, des hommes.</w:t>
      </w:r>
    </w:p>
    <w:bookmarkStart w:id="68" w:name="la-pyramide-cinq-étages-de-domination"/>
    <w:p>
      <w:pPr>
        <w:pStyle w:val="Heading2"/>
      </w:pPr>
      <w:r>
        <w:t xml:space="preserve">La pyramide: cinq étages de domination</w:t>
      </w:r>
    </w:p>
    <w:p>
      <w:pPr>
        <w:pStyle w:val="FirstParagraph"/>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p>
      <w:pPr>
        <w:pStyle w:val="BodyText"/>
      </w:pPr>
      <w:r>
        <w:t xml:space="preserve">LA PYRAMIDE DE DOMINATION (DR YAMB NTIMBA)</w:t>
      </w:r>
    </w:p>
    <w:p>
      <w:pPr>
        <w:pStyle w:val="BodyText"/>
      </w:pPr>
      <w:r>
        <w:t xml:space="preserve">Niveau 5 — Ontologique: faire croire aux dominés à leur propre infériorité; structurer l’environnement mental</w:t>
      </w:r>
    </w:p>
    <w:p>
      <w:pPr>
        <w:pStyle w:val="BodyText"/>
      </w:pPr>
      <w:r>
        <w:t xml:space="preserve">Niveau 4 — Culturel et médiatique: RFI, France 24, TV5, ONG; la « démocratie» comme label décerné ou retiré</w:t>
      </w:r>
    </w:p>
    <w:p>
      <w:pPr>
        <w:pStyle w:val="BodyText"/>
      </w:pPr>
      <w:r>
        <w:t xml:space="preserve">Niveau 3 — Informationnel: opérations d’influence numérique et influenceurs rémunérés (détaillées au chapitre 14)</w:t>
      </w:r>
    </w:p>
    <w:p>
      <w:pPr>
        <w:pStyle w:val="BodyText"/>
      </w:pPr>
      <w:r>
        <w:t xml:space="preserve">Niveau 2 — Économique: franc CFA, BCEAO, FMI, mécanisme de la dette (chapitres 7 et 9)</w:t>
      </w:r>
    </w:p>
    <w:p>
      <w:pPr>
        <w:pStyle w:val="BodyText"/>
      </w:pPr>
      <w:r>
        <w:t xml:space="preserve">Niveau 1 — Militaire: bases, opérations, et leurs prolongements clandestins (Partie III)</w:t>
      </w:r>
    </w:p>
    <w:p>
      <w:pPr>
        <w:pStyle w:val="BodyText"/>
      </w:pPr>
      <w:r>
        <w:t xml:space="preserve">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bookmarkEnd w:id="68"/>
    <w:bookmarkStart w:id="69" w:name="le-lexique-nommer-les-choses-à-lenvers"/>
    <w:p>
      <w:pPr>
        <w:pStyle w:val="Heading2"/>
      </w:pPr>
      <w:r>
        <w:t xml:space="preserve">Le lexique: nommer les choses à l’envers</w:t>
      </w:r>
    </w:p>
    <w:p>
      <w:pPr>
        <w:pStyle w:val="FirstParagraph"/>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p>
      <w:pPr>
        <w:pStyle w:val="BodyText"/>
      </w:pPr>
      <w:r>
        <w:t xml:space="preserve">DÉCONSTRUCTION DU LEXIQUE IMPÉRIAL</w:t>
      </w:r>
    </w:p>
    <w:p>
      <w:pPr>
        <w:pStyle w:val="BodyText"/>
      </w:pPr>
      <w:r>
        <w:t xml:space="preserve">« Opération de stabilisation» = intervention militaire non autorisée par le peuple concerné</w:t>
      </w:r>
    </w:p>
    <w:p>
      <w:pPr>
        <w:pStyle w:val="BodyText"/>
      </w:pPr>
      <w:r>
        <w:t xml:space="preserve">« Partenariat sécuritaire» = présence militaire avec droit de regard sur les ressources</w:t>
      </w:r>
    </w:p>
    <w:p>
      <w:pPr>
        <w:pStyle w:val="BodyText"/>
      </w:pPr>
      <w:r>
        <w:t xml:space="preserve">« Aide au développement» = prêts conditionnés à l’ouverture des marchés</w:t>
      </w:r>
    </w:p>
    <w:p>
      <w:pPr>
        <w:pStyle w:val="BodyText"/>
      </w:pPr>
      <w:r>
        <w:t xml:space="preserve">« Coup d’État» = renversement d’un régime pro-français; « transition légitime» = changement favorable à Paris</w:t>
      </w:r>
    </w:p>
    <w:p>
      <w:pPr>
        <w:pStyle w:val="BodyText"/>
      </w:pPr>
      <w:r>
        <w:t xml:space="preserve">« Ingratitude africaine» = refus de la servitude</w:t>
      </w:r>
    </w:p>
    <w:p>
      <w:pPr>
        <w:pStyle w:val="BodyText"/>
      </w:pPr>
      <w:r>
        <w:t xml:space="preserve">« Désinformation» = tout récit défavorable aux intérêts français</w:t>
      </w:r>
    </w:p>
    <w:p>
      <w:pPr>
        <w:pStyle w:val="BodyText"/>
      </w:pPr>
      <w:r>
        <w:t xml:space="preserve">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pPr>
        <w:pStyle w:val="BodyText"/>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bookmarkEnd w:id="69"/>
    <w:bookmarkStart w:id="70" w:name="linstrument-régional-la-cedeao"/>
    <w:p>
      <w:pPr>
        <w:pStyle w:val="Heading2"/>
      </w:pPr>
      <w:r>
        <w:t xml:space="preserve">L’instrument régional: la CEDEAO</w:t>
      </w:r>
    </w:p>
    <w:p>
      <w:pPr>
        <w:pStyle w:val="FirstParagraph"/>
      </w:pPr>
      <w:r>
        <w:t xml:space="preserve">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pPr>
        <w:pStyle w:val="BodyText"/>
      </w:pPr>
      <w:r>
        <w:t xml:space="preserve">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pPr>
        <w:pStyle w:val="BodyText"/>
      </w:pPr>
      <w:r>
        <w:t xml:space="preserve">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bookmarkEnd w:id="70"/>
    <w:bookmarkStart w:id="71" w:name="les-hommes-lélite-compradore"/>
    <w:p>
      <w:pPr>
        <w:pStyle w:val="Heading2"/>
      </w:pPr>
      <w:r>
        <w:t xml:space="preserve">Les hommes: l’élite compradore</w:t>
      </w:r>
    </w:p>
    <w:p>
      <w:pPr>
        <w:pStyle w:val="FirstParagraph"/>
      </w:pPr>
      <w:r>
        <w:t xml:space="preserve">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pPr>
        <w:pStyle w:val="BodyText"/>
      </w:pPr>
      <w:r>
        <w:t xml:space="preserve">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pPr>
        <w:pStyle w:val="BodyText"/>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bookmarkEnd w:id="71"/>
    <w:bookmarkStart w:id="72" w:name="X3f4be79262d8d11fe51d7aa2e658197ac03f039"/>
    <w:p>
      <w:pPr>
        <w:pStyle w:val="Heading2"/>
      </w:pPr>
      <w:r>
        <w:t xml:space="preserve">La loi des valets: Mobutu, Compaoré, Ouattara</w:t>
      </w:r>
    </w:p>
    <w:p>
      <w:pPr>
        <w:pStyle w:val="FirstParagraph"/>
      </w:pPr>
      <w:r>
        <w:t xml:space="preserve">Que gagne-t-on à servir l’Empire? Trois portraits répondent, et leur convergence vaut démonstration (Dr Rufin Viclère Mabiala).</w:t>
      </w:r>
    </w:p>
    <w:p>
      <w:pPr>
        <w:pStyle w:val="BodyText"/>
      </w:pPr>
      <w:r>
        <w:t xml:space="preserve">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pPr>
        <w:pStyle w:val="BodyText"/>
      </w:pPr>
      <w:r>
        <w:t xml:space="preserve">Blaise Compaoré, ensuite: vingt-sept ans de pouvoir au Burkina Faso, l’assassin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depuis sa visite à Ouagadougou en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pPr>
        <w:pStyle w:val="BodyText"/>
      </w:pPr>
      <w:r>
        <w:t xml:space="preserve">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intérêts.» L’Occident utilise, puis jette.</w:t>
      </w:r>
    </w:p>
    <w:p>
      <w:pPr>
        <w:pStyle w:val="BodyText"/>
      </w:pPr>
      <w:r>
        <w:t xml:space="preserve">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w:t>
      </w:r>
      <w:r>
        <w:t xml:space="preserve"> </w:t>
      </w:r>
      <w:r>
        <w:t xml:space="preserve">“</w:t>
      </w:r>
      <w:r>
        <w:t xml:space="preserve">Tu vas dire ça mais ne fais pas ça</w:t>
      </w:r>
      <w:r>
        <w:t xml:space="preserve">”</w:t>
      </w:r>
      <w:r>
        <w:t xml:space="preserve">» (Festin Panafricain,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séquence révèle n’est pas nouveau dans sa logique — c’est la loi de Mabiala appliquée aux transitions militaires: quand le valet tombe, l’Empire installe le suivant. Le critère de continuité n’est pas dynastique; il est systémique.</w:t>
      </w:r>
    </w:p>
    <w:bookmarkEnd w:id="72"/>
    <w:bookmarkStart w:id="73" w:name="X0aa7c570dd9b010fcf756143620129a216733a2"/>
    <w:p>
      <w:pPr>
        <w:pStyle w:val="Heading2"/>
      </w:pPr>
      <w:r>
        <w:t xml:space="preserve">Les biens mal acquis: la fortune compradore devant les juges</w:t>
      </w:r>
    </w:p>
    <w:p>
      <w:pPr>
        <w:pStyle w:val="FirstParagraph"/>
      </w:pPr>
      <w:r>
        <w:t xml:space="preserve">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pPr>
        <w:pStyle w:val="BodyText"/>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millions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plus de 200 millions d’euros.</w:t>
      </w:r>
    </w:p>
    <w:p>
      <w:pPr>
        <w:pStyle w:val="BodyText"/>
      </w:pPr>
      <w:r>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tout.» Jugement définitif en 2019: deux ans avec sursis. «Anecdotique comme peine, dit Jean-Philippe, mais c’était surtout la confirmation de tout ce qu’on avait saisi. C’était la première. Si ça avait été négatif, les autres enquêtes auraient eu du plomb dans l’aile.» Première enquête, premier jugement, premier précédent: posé.</w:t>
      </w:r>
    </w:p>
    <w:p>
      <w:pPr>
        <w:pStyle w:val="BodyText"/>
      </w:pPr>
      <w:r>
        <w:t xml:space="preserve">Mais la procédure ne doit pas masquer la disproportion. François Ndengwe la pose en termes arithmétiques: les trois patrimoines cumulés représentent environ 160 millions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pPr>
        <w:pStyle w:val="BodyText"/>
      </w:pPr>
      <w:r>
        <w:t xml:space="preserve">La disproportion est plus profonde encore.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pPr>
        <w:pStyle w:val="BodyText"/>
      </w:pPr>
      <w:r>
        <w:t xml:space="preserve">Catherine Pierce, administratrice de Transparency International France, n’esquive pas la critique — elle en change le périmètre: «Nous n’attaquons pas le comportement des chefs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pPr>
        <w:pStyle w:val="BodyText"/>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fonction?» (reportage télévisé, Malabo). À Paris, les avocats de la défense invoquent l’immunité ratione personae — juridiquement sérieuse — et la déstabilisation politique. Mais l’argument le plus révélateur est celui-ci: «Il ne faut pas rendre cet argent à la République tant que les dirigeants politiques sont en place.»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pPr>
        <w:pStyle w:val="BodyText"/>
      </w:pPr>
      <w:r>
        <w:t xml:space="preserve">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pPr>
        <w:pStyle w:val="BodyText"/>
      </w:pPr>
      <w:r>
        <w:t xml:space="preserve">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bookmarkEnd w:id="73"/>
    <w:bookmarkStart w:id="74" w:name="Xbf160bc7b5e159d0beb15ce782436953ee057c5"/>
    <w:p>
      <w:pPr>
        <w:pStyle w:val="Heading2"/>
      </w:pPr>
      <w:r>
        <w:t xml:space="preserve">L’audio du 17 février 2022: le système en flagrant délit</w:t>
      </w:r>
    </w:p>
    <w:p>
      <w:pPr>
        <w:pStyle w:val="FirstParagraph"/>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pPr>
        <w:pStyle w:val="BodyText"/>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pPr>
        <w:pStyle w:val="BodyText"/>
      </w:pPr>
      <w:r>
        <w:t xml:space="preserve">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pPr>
        <w:pStyle w:val="BodyText"/>
      </w:pPr>
      <w:r>
        <w:t xml:space="preserve">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pStyle w:val="BodyText"/>
      </w:pPr>
      <w:r>
        <w:t xml:space="preserve">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r>
        <w:pict>
          <v:rect style="width:0;height:1.5pt" o:hralign="center" o:hrstd="t" o:hr="t"/>
        </w:pict>
      </w:r>
    </w:p>
    <w:bookmarkEnd w:id="74"/>
    <w:bookmarkEnd w:id="75"/>
    <w:bookmarkStart w:id="84" w:name="chapitre-11-la-crise-libyenne"/>
    <w:p>
      <w:pPr>
        <w:pStyle w:val="Heading1"/>
      </w:pPr>
      <w:r>
        <w:t xml:space="preserve">Chapitre 11 — La Crise Libyenne</w:t>
      </w:r>
    </w:p>
    <w:p>
      <w:pPr>
        <w:pStyle w:val="FirstParagraph"/>
      </w:pPr>
      <w:r>
        <w:t xml:space="preserve">« Il est des cycles inévitables dans l’histoire sociale: c’est désormais au tour de la race noire de prévaloir dans le monde.»</w:t>
      </w:r>
    </w:p>
    <w:p>
      <w:pPr>
        <w:pStyle w:val="BodyText"/>
      </w:pPr>
      <w:r>
        <w:t xml:space="preserve">— Mouammar Kadhafi</w:t>
      </w:r>
    </w:p>
    <w:p>
      <w:pPr>
        <w:pStyle w:val="BodyText"/>
      </w:pPr>
      <w:r>
        <w:t xml:space="preserve">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bookmarkStart w:id="76" w:name="lenfant-du-désert"/>
    <w:p>
      <w:pPr>
        <w:pStyle w:val="Heading2"/>
      </w:pPr>
      <w:r>
        <w:t xml:space="preserve">L’enfant du désert</w:t>
      </w:r>
    </w:p>
    <w:p>
      <w:pPr>
        <w:pStyle w:val="FirstParagraph"/>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Vie et mort de Mouammar Kadhafi: quelle leçon pour l’Afrique (Éditions Afrédit). On suivra ici son fil.</w:t>
      </w:r>
    </w:p>
    <w:p>
      <w:pPr>
        <w:pStyle w:val="BodyText"/>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totalitaire.»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pPr>
        <w:pStyle w:val="BodyText"/>
      </w:pPr>
      <w:r>
        <w:t xml:space="preserve">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bookmarkEnd w:id="76"/>
    <w:bookmarkStart w:id="77" w:name="largent-du-panafricanisme"/>
    <w:p>
      <w:pPr>
        <w:pStyle w:val="Heading2"/>
      </w:pPr>
      <w:r>
        <w:t xml:space="preserve">L’argent du panafricanisme</w:t>
      </w:r>
    </w:p>
    <w:p>
      <w:pPr>
        <w:pStyle w:val="FirstParagraph"/>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manière pacifique — et l’Afrique l’adopte, jusqu’à lui décerner des titres de chef traditionnel.</w:t>
      </w:r>
    </w:p>
    <w:p>
      <w:pPr>
        <w:pStyle w:val="BodyText"/>
      </w:pPr>
      <w:r>
        <w:t xml:space="preserve">Mais l’essentiel, pour Pondi, n’est pas dans les titres: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p>
      <w:pPr>
        <w:pStyle w:val="BodyText"/>
      </w:pPr>
      <w:r>
        <w:t xml:space="preserve">L’EMPREINTE AFRICAINE DE KADHAFI (2000-2010)</w:t>
      </w:r>
    </w:p>
    <w:p>
      <w:pPr>
        <w:pStyle w:val="BodyText"/>
      </w:pPr>
      <w:r>
        <w:t xml:space="preserve">Malibya: environ 100 000 hectares de terres agricoles aménagées au Mali</w:t>
      </w:r>
    </w:p>
    <w:p>
      <w:pPr>
        <w:pStyle w:val="BodyText"/>
      </w:pPr>
      <w:r>
        <w:t xml:space="preserve">Oilibya: plus de 200 stations-service réparties à travers le continent</w:t>
      </w:r>
    </w:p>
    <w:p>
      <w:pPr>
        <w:pStyle w:val="BodyText"/>
      </w:pPr>
      <w:r>
        <w:t xml:space="preserve">Afriqiyah Airways: une compagnie « low cost» pour faire voyager les Africains à prix réduit</w:t>
      </w:r>
    </w:p>
    <w:p>
      <w:pPr>
        <w:pStyle w:val="BodyText"/>
      </w:pPr>
      <w:r>
        <w:t xml:space="preserve">RASCOM: un satellite de communication libérant l’Afrique de la location des satellites occidentaux</w:t>
      </w:r>
    </w:p>
    <w:p>
      <w:pPr>
        <w:pStyle w:val="BodyText"/>
      </w:pPr>
      <w:r>
        <w:t xml:space="preserve">Plus de 20 milliards de dollars investis sur la période — davantage que la Banque mondiale ou le FMI</w:t>
      </w:r>
    </w:p>
    <w:bookmarkEnd w:id="77"/>
    <w:bookmarkStart w:id="78" w:name="larchitecte-de-lunion-africaine"/>
    <w:p>
      <w:pPr>
        <w:pStyle w:val="Heading2"/>
      </w:pPr>
      <w:r>
        <w:t xml:space="preserve">L’architecte de l’Union africaine</w:t>
      </w:r>
    </w:p>
    <w:p>
      <w:pPr>
        <w:pStyle w:val="FirstParagraph"/>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pPr>
        <w:pStyle w:val="BodyText"/>
      </w:pPr>
      <w:r>
        <w:t xml:space="preserve">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bookmarkEnd w:id="78"/>
    <w:bookmarkStart w:id="79" w:name="quatre-leçons-pour-lafrique"/>
    <w:p>
      <w:pPr>
        <w:pStyle w:val="Heading2"/>
      </w:pPr>
      <w:r>
        <w:t xml:space="preserve">Quatre leçons pour l’Afrique</w:t>
      </w:r>
    </w:p>
    <w:p>
      <w:pPr>
        <w:pStyle w:val="FirstParagraph"/>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pPr>
        <w:pStyle w:val="BodyText"/>
      </w:pPr>
      <w:r>
        <w:t xml:space="preserve">Cette dernière leçon n’est pas abstraite. Sept mois de frappes l’ont écrite dans la chair d’un homme et dans le destin d’un pays. Il faut maintenant raconter comment.</w:t>
      </w:r>
    </w:p>
    <w:bookmarkEnd w:id="79"/>
    <w:bookmarkStart w:id="80" w:name="X703d0343aa1e03cb1727f7878a6b5bd314ad942"/>
    <w:p>
      <w:pPr>
        <w:pStyle w:val="Heading2"/>
      </w:pPr>
      <w:r>
        <w:t xml:space="preserve">Mars-octobre 2011: chronologie d’une destruction</w:t>
      </w:r>
    </w:p>
    <w:p>
      <w:pPr>
        <w:pStyle w:val="FirstParagraph"/>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témoignage est de première main. Reste un fait que nul ne conteste: la vitesse à laquelle des manifestations sont devenues une guerre civile internationalisée.</w:t>
      </w:r>
    </w:p>
    <w:p>
      <w:pPr>
        <w:pStyle w:val="BodyText"/>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Assad. Détail qui ne s’invente pas: l’expression « printemps arabe» est elle-même le titre d’un livre de l’écrivain français Jacques Benoist-Méchin, paru en 1959 et consacré à la vague nationaliste de Nasser. Recyclée un demi-siècle plus tard, elle a paré d’un parfum d’émancipation une séquence d’une autre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pPr>
        <w:pStyle w:val="BodyText"/>
      </w:pPr>
      <w:r>
        <w:t xml:space="preserve">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pPr>
        <w:pStyle w:val="BodyText"/>
      </w:pPr>
      <w:r>
        <w:t xml:space="preserve">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pPr>
        <w:pStyle w:val="BodyText"/>
      </w:pPr>
      <w:r>
        <w:t xml:space="preserve">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bookmarkEnd w:id="80"/>
    <w:bookmarkStart w:id="81" w:name="les-hommes-de-la-chute"/>
    <w:p>
      <w:pPr>
        <w:pStyle w:val="Heading2"/>
      </w:pPr>
      <w:r>
        <w:t xml:space="preserve">Les hommes de la chute</w:t>
      </w:r>
    </w:p>
    <w:p>
      <w:pPr>
        <w:pStyle w:val="FirstParagraph"/>
      </w:pPr>
      <w:r>
        <w:t xml:space="preserve">Une fois le mandat de protection mué en guerre de renversement, restait à savoir qui prendrait le pays. Trois hommes disent la nature réelle de la rébellion que la coalition a portée au pouvoir.</w:t>
      </w:r>
    </w:p>
    <w:p>
      <w:pPr>
        <w:pStyle w:val="BodyText"/>
      </w:pPr>
      <w:r>
        <w:t xml:space="preserve">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pStyle w:val="BodyText"/>
      </w:pPr>
      <w:r>
        <w:t xml:space="preserve">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pPr>
        <w:pStyle w:val="BodyText"/>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pPr>
        <w:pStyle w:val="BodyText"/>
      </w:pPr>
      <w:r>
        <w:t xml:space="preserve">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bookmarkEnd w:id="81"/>
    <w:bookmarkStart w:id="82" w:name="lislamiste-utile"/>
    <w:p>
      <w:pPr>
        <w:pStyle w:val="Heading2"/>
      </w:pPr>
      <w:r>
        <w:t xml:space="preserve">L’islamiste utile</w:t>
      </w:r>
    </w:p>
    <w:p>
      <w:pPr>
        <w:pStyle w:val="FirstParagraph"/>
      </w:pPr>
      <w:r>
        <w:t xml:space="preserve">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pPr>
        <w:pStyle w:val="BodyText"/>
      </w:pPr>
      <w:r>
        <w:t xml:space="preserve">La preuve libyenne est limpide. Abdelhakim Belhadj, qu’on a vu sortir des geôles pour devenir gouverneur de Tripoli, en est l’archétype: jihadiste traqué hier, allié utile aujourd’hui, gouverneur demain, exportateur de 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pPr>
        <w:pStyle w:val="BodyText"/>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C’est une lecture partisane.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bookmarkEnd w:id="82"/>
    <w:bookmarkStart w:id="83" w:name="les-arsenaux-se-dispersent"/>
    <w:p>
      <w:pPr>
        <w:pStyle w:val="Heading2"/>
      </w:pPr>
      <w:r>
        <w:t xml:space="preserve">Les arsenaux se dispersent</w:t>
      </w:r>
    </w:p>
    <w:p>
      <w:pPr>
        <w:pStyle w:val="FirstParagraph"/>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p>
      <w:pPr>
        <w:pStyle w:val="BodyText"/>
      </w:pPr>
      <w:r>
        <w:t xml:space="preserve">LA LIBYE APRÈS 2011: CE QUI S’EST DÉVERSÉ VERS LE SAHEL</w:t>
      </w:r>
    </w:p>
    <w:p>
      <w:pPr>
        <w:pStyle w:val="BodyText"/>
      </w:pPr>
      <w:r>
        <w:t xml:space="preserve">Des dizaines de milliers de tonnes d’armes issues des arsenaux libyens (missiles, lance-roquettes, armes automatiques, blindés)</w:t>
      </w:r>
    </w:p>
    <w:p>
      <w:pPr>
        <w:pStyle w:val="BodyText"/>
      </w:pPr>
      <w:r>
        <w:t xml:space="preserve">Des combattants aguerris, notamment touareg, rentrant vers le nord du Mali</w:t>
      </w:r>
    </w:p>
    <w:p>
      <w:pPr>
        <w:pStyle w:val="BodyText"/>
      </w:pPr>
      <w:r>
        <w:t xml:space="preserve">Un État effondré, incapable de contrôler ses 4 000 kilomètres de frontières sahariennes</w:t>
      </w:r>
    </w:p>
    <w:p>
      <w:pPr>
        <w:pStyle w:val="BodyText"/>
      </w:pPr>
      <w:r>
        <w:t xml:space="preserve">Le Fezzan livré à lui-même, transformé en base arrière régionale</w:t>
      </w:r>
    </w:p>
    <w:p>
      <w:pPr>
        <w:pStyle w:val="BodyText"/>
      </w:pPr>
      <w:r>
        <w:t xml:space="preserve">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pPr>
        <w:pStyle w:val="BodyText"/>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pPr>
        <w:pStyle w:val="BodyText"/>
      </w:pPr>
      <w:r>
        <w:t xml:space="preserve">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r>
        <w:pict>
          <v:rect style="width:0;height:1.5pt" o:hralign="center" o:hrstd="t" o:hr="t"/>
        </w:pict>
      </w:r>
    </w:p>
    <w:bookmarkEnd w:id="83"/>
    <w:bookmarkEnd w:id="84"/>
    <w:bookmarkStart w:id="90" w:name="chapitre-12-lexplosion-du-terrorisme"/>
    <w:p>
      <w:pPr>
        <w:pStyle w:val="Heading1"/>
      </w:pPr>
      <w:r>
        <w:t xml:space="preserve">Chapitre 12 — L’Explosion Du Terrorisme</w:t>
      </w:r>
    </w:p>
    <w:p>
      <w:pPr>
        <w:pStyle w:val="FirstParagraph"/>
      </w:pPr>
      <w:r>
        <w:t xml:space="preserve">« Azawad est une fabrication politique.»</w:t>
      </w:r>
    </w:p>
    <w:p>
      <w:pPr>
        <w:pStyle w:val="BodyText"/>
      </w:pPr>
      <w:r>
        <w:t xml:space="preserve">— André Bourgeot, chercheur au CNRS, spécialiste du Sahel</w:t>
      </w:r>
    </w:p>
    <w:p>
      <w:pPr>
        <w:pStyle w:val="BodyText"/>
      </w:pPr>
      <w:r>
        <w:t xml:space="preserve">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bookmarkStart w:id="85" w:name="la-greffe-algérienne"/>
    <w:p>
      <w:pPr>
        <w:pStyle w:val="Heading2"/>
      </w:pPr>
      <w:r>
        <w:t xml:space="preserve">La greffe algérienne</w:t>
      </w:r>
    </w:p>
    <w:p>
      <w:pPr>
        <w:pStyle w:val="FirstParagraph"/>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pPr>
        <w:pStyle w:val="BodyText"/>
      </w:pPr>
      <w:r>
        <w:t xml:space="preserve">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pPr>
        <w:pStyle w:val="BodyText"/>
      </w:pPr>
      <w:r>
        <w:t xml:space="preserve">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bookmarkEnd w:id="85"/>
    <w:bookmarkStart w:id="86" w:name="lazawad-ou-la-fabrication-dune-cause"/>
    <w:p>
      <w:pPr>
        <w:pStyle w:val="Heading2"/>
      </w:pPr>
      <w:r>
        <w:t xml:space="preserve">2012: l’Azawad, ou la fabrication d’une cause</w:t>
      </w:r>
    </w:p>
    <w:p>
      <w:pPr>
        <w:pStyle w:val="FirstParagraph"/>
      </w:pPr>
      <w:r>
        <w:t xml:space="preserve">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pPr>
        <w:pStyle w:val="BodyText"/>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l’incendie de la même année que les panafricanistes, la cause cesse d’être une opinion.</w:t>
      </w:r>
    </w:p>
    <w:p>
      <w:pPr>
        <w:pStyle w:val="BodyText"/>
      </w:pPr>
      <w:r>
        <w:t xml:space="preserve">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bookmarkEnd w:id="86"/>
    <w:bookmarkStart w:id="87" w:name="X77ce966ead8a4cdcbebc2f2271c4d5342100bb7"/>
    <w:p>
      <w:pPr>
        <w:pStyle w:val="Heading2"/>
      </w:pPr>
      <w:r>
        <w:t xml:space="preserve">Une armée de misère, gérée par un noyau dur</w:t>
      </w:r>
    </w:p>
    <w:p>
      <w:pPr>
        <w:pStyle w:val="FirstParagraph"/>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pPr>
        <w:pStyle w:val="BodyText"/>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pPr>
        <w:pStyle w:val="BodyText"/>
      </w:pPr>
      <w:r>
        <w:t xml:space="preserve">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BodyText"/>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Amadou Koufa,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w:t>
      </w:r>
    </w:p>
    <w:bookmarkEnd w:id="87"/>
    <w:bookmarkStart w:id="88" w:name="les-corridors-invisibles"/>
    <w:p>
      <w:pPr>
        <w:pStyle w:val="Heading2"/>
      </w:pPr>
      <w:r>
        <w:t xml:space="preserve">Les corridors invisibles</w:t>
      </w:r>
    </w:p>
    <w:p>
      <w:pPr>
        <w:pStyle w:val="FirstParagraph"/>
      </w:pPr>
      <w:r>
        <w:t xml:space="preserve">La fabrique du terrorisme n’est pas seulement idéologique et financière. Elle est géographique. Une cartographie diffusée en mai 2026 par le canal d’analyse militaire</w:t>
      </w:r>
      <w:r>
        <w:t xml:space="preserve"> </w:t>
      </w:r>
      <w:r>
        <w:t xml:space="preserve">@RYBAR_AFRICA</w:t>
      </w:r>
      <w:r>
        <w:t xml:space="preserve"> </w:t>
      </w:r>
      <w:r>
        <w:t xml:space="preserve">documente les sentiers nomades transsahariens empruntés par les groupes armés, et recoupe les données de terrain d’ACLED ainsi que les constats des autorités maliennes. Trois réalités s’en dégagent.</w:t>
      </w:r>
    </w:p>
    <w:p>
      <w:pPr>
        <w:pStyle w:val="BodyText"/>
      </w:pPr>
      <w:r>
        <w:t xml:space="preserve">LES TROIS RÉALITÉS DES CORRIDORS TRANSSAHARIENS</w:t>
      </w:r>
    </w:p>
    <w:p>
      <w:pPr>
        <w:pStyle w:val="BodyText"/>
      </w:pPr>
      <w:r>
        <w:t xml:space="preserve">Les zones sous contrôle des groupes armés — nord et centre du Mali, corridor Mali-Niger, franges burkinabè — correspondent aux zones restées hors de portée des armées nationales pendant la décennie Barkhane</w:t>
      </w:r>
    </w:p>
    <w:p>
      <w:pPr>
        <w:pStyle w:val="BodyText"/>
      </w:pPr>
      <w:r>
        <w:t xml:space="preserve">Les sentiers nomades traversent l’Algérie et la Mauritanie presque de bout en bout, reliant les zones de combat maliennes aux bases arrière proches de la Méditerranée</w:t>
      </w:r>
    </w:p>
    <w:p>
      <w:pPr>
        <w:pStyle w:val="BodyText"/>
      </w:pPr>
      <w:r>
        <w:t xml:space="preserve">Ces routes préexistent à la colonisation: Berlin 1884-1885 a tracé des frontières, les pistes du désert, elles, n’ont jamais changé</w:t>
      </w:r>
    </w:p>
    <w:p>
      <w:pPr>
        <w:pStyle w:val="BodyText"/>
      </w:pPr>
      <w:r>
        <w:t xml:space="preserve">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pPr>
        <w:pStyle w:val="BodyText"/>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pPr>
        <w:pStyle w:val="BodyText"/>
      </w:pPr>
      <w:r>
        <w:t xml:space="preserve">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bookmarkEnd w:id="88"/>
    <w:bookmarkStart w:id="89" w:name="la-greffe-syrienne-laprès-damas-au-sahel"/>
    <w:p>
      <w:pPr>
        <w:pStyle w:val="Heading2"/>
      </w:pPr>
      <w:r>
        <w:t xml:space="preserve">La greffe syrienne: l’après-Damas au Sahel</w:t>
      </w:r>
    </w:p>
    <w:p>
      <w:pPr>
        <w:pStyle w:val="FirstParagraph"/>
      </w:pPr>
      <w:r>
        <w:t xml:space="preserve">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pPr>
        <w:pStyle w:val="BodyText"/>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pPr>
        <w:pStyle w:val="BodyText"/>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pPr>
        <w:pStyle w:val="BodyText"/>
      </w:pPr>
      <w:r>
        <w:t xml:space="preserve">C’est précisément au nom de cette instabilité — fabriquée ailleurs, transplantée, armée par l’effondrement libyen — que la France allait, en janvier 2013, lancer la plus longue opération militaire de son histoire récente: il est temps d’en faire l’autopsie.</w:t>
      </w:r>
    </w:p>
    <w:p>
      <w:r>
        <w:pict>
          <v:rect style="width:0;height:1.5pt" o:hralign="center" o:hrstd="t" o:hr="t"/>
        </w:pict>
      </w:r>
    </w:p>
    <w:bookmarkEnd w:id="89"/>
    <w:bookmarkEnd w:id="90"/>
    <w:bookmarkStart w:id="96" w:name="Xe60224a594e3da75436a2c2597f7a5a1f9bdc60"/>
    <w:p>
      <w:pPr>
        <w:pStyle w:val="Heading1"/>
      </w:pPr>
      <w:r>
        <w:t xml:space="preserve">Chapitre 13 — Serval, Barkhane Et Leurs Limites</w:t>
      </w:r>
    </w:p>
    <w:p>
      <w:pPr>
        <w:pStyle w:val="FirstParagraph"/>
      </w:pPr>
      <w:r>
        <w:t xml:space="preserve">« Il faut rester, il faut le faire savoir, il faut exiger du Vietnam qu’il se donne à fond à cette lutte. À ce prix, la victoire est assurée.»</w:t>
      </w:r>
    </w:p>
    <w:p>
      <w:pPr>
        <w:pStyle w:val="BodyText"/>
      </w:pPr>
      <w:r>
        <w:t xml:space="preserve">— Jacques Foccart, 1955, après Dien Bien Phu (Turpin, 2015)</w:t>
      </w:r>
    </w:p>
    <w:p>
      <w:pPr>
        <w:pStyle w:val="BodyText"/>
      </w:pPr>
      <w:r>
        <w:t xml:space="preserve">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bookmarkStart w:id="91" w:name="le-péché-originel-juridique-de-serval"/>
    <w:p>
      <w:pPr>
        <w:pStyle w:val="Heading2"/>
      </w:pPr>
      <w:r>
        <w:t xml:space="preserve">Le péché originel juridique de Serval</w:t>
      </w:r>
    </w:p>
    <w:p>
      <w:pPr>
        <w:pStyle w:val="FirstParagraph"/>
      </w:pPr>
      <w:r>
        <w:t xml:space="preserve">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pPr>
        <w:pStyle w:val="BodyText"/>
      </w:pPr>
      <w:r>
        <w:t xml:space="preserve">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bookmarkEnd w:id="91"/>
    <w:bookmarkStart w:id="92" w:name="la-guerre-secrète-davant-la-guerre"/>
    <w:p>
      <w:pPr>
        <w:pStyle w:val="Heading2"/>
      </w:pPr>
      <w:r>
        <w:t xml:space="preserve">La guerre secrète d’avant la guerre</w:t>
      </w:r>
    </w:p>
    <w:p>
      <w:pPr>
        <w:pStyle w:val="FirstParagraph"/>
      </w:pPr>
      <w:r>
        <w:t xml:space="preserve">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pPr>
        <w:pStyle w:val="BodyText"/>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pPr>
        <w:pStyle w:val="BodyText"/>
      </w:pPr>
      <w:r>
        <w:t xml:space="preserve">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bookmarkEnd w:id="92"/>
    <w:bookmarkStart w:id="93" w:name="barkhane-les-chiffres-du-verdict"/>
    <w:p>
      <w:pPr>
        <w:pStyle w:val="Heading2"/>
      </w:pPr>
      <w:r>
        <w:t xml:space="preserve">Barkhane: les chiffres du verdict</w:t>
      </w:r>
    </w:p>
    <w:p>
      <w:pPr>
        <w:pStyle w:val="FirstParagraph"/>
      </w:pPr>
      <w:r>
        <w:t xml:space="preserve">En août 2014, Serval devient Barkhane. Le dispositif s’étend sur cinq pays.</w:t>
      </w:r>
    </w:p>
    <w:p>
      <w:pPr>
        <w:pStyle w:val="BodyText"/>
      </w:pPr>
      <w:r>
        <w:t xml:space="preserve">BARKHANE EN CHIFFRES</w:t>
      </w:r>
    </w:p>
    <w:p>
      <w:pPr>
        <w:pStyle w:val="BodyText"/>
      </w:pPr>
      <w:r>
        <w:t xml:space="preserve">Zone d’opération: 5 millions de km² — dix fois la France</w:t>
      </w:r>
    </w:p>
    <w:p>
      <w:pPr>
        <w:pStyle w:val="BodyText"/>
      </w:pPr>
      <w:r>
        <w:t xml:space="preserve">Effectifs: jusqu’à 5 500 hommes</w:t>
      </w:r>
    </w:p>
    <w:p>
      <w:pPr>
        <w:pStyle w:val="BodyText"/>
      </w:pPr>
      <w:r>
        <w:t xml:space="preserve">Coût: environ 1 milliard d’euros par an, soit 1,3 milliard de francs CFA par jour; plus de 5 milliards cumulés entre 2014 et 2022 (Cour des comptes, 2020)</w:t>
      </w:r>
    </w:p>
    <w:p>
      <w:pPr>
        <w:pStyle w:val="BodyText"/>
      </w:pPr>
      <w:r>
        <w:t xml:space="preserve">Résultat: nombre d’attaques jihadistes multiplié par trois entre 2014 et 2021 (ACLED, 2022)</w:t>
      </w:r>
    </w:p>
    <w:p>
      <w:pPr>
        <w:pStyle w:val="BodyText"/>
      </w:pPr>
      <w:r>
        <w:t xml:space="preserve">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pPr>
        <w:pStyle w:val="BodyText"/>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pPr>
        <w:pStyle w:val="BodyText"/>
      </w:pPr>
      <w:r>
        <w:t xml:space="preserve">Deuxième preuve: Gao, 2014. L’armée française tient Iyad Ag Ghali à portée de frappe. François Hollande stoppe l’opération « pour ne pas fâcher l’Algérie». Ag Ghali est aujourd’hui l’émir du JNIM, responsable du blocus de Bamako en 2025. La décision de 2014 a un bilan.</w:t>
      </w:r>
    </w:p>
    <w:p>
      <w:pPr>
        <w:pStyle w:val="BodyText"/>
      </w:pPr>
      <w:r>
        <w:t xml:space="preserve">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pPr>
        <w:pStyle w:val="BodyText"/>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bookmarkEnd w:id="93"/>
    <w:bookmarkStart w:id="94" w:name="X504b08ba97cd2175daae7d7521f1ffd8e35c928"/>
    <w:p>
      <w:pPr>
        <w:pStyle w:val="Heading2"/>
      </w:pPr>
      <w:r>
        <w:t xml:space="preserve">L’OCRS: la vraie raison, nommée à la tribune de l’ONU</w:t>
      </w:r>
    </w:p>
    <w:p>
      <w:pPr>
        <w:pStyle w:val="FirstParagraph"/>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Le Monde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pPr>
        <w:pStyle w:val="BodyText"/>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bookmarkEnd w:id="94"/>
    <w:bookmarkStart w:id="95" w:name="le-prix-du-sang-comptabilité-véritable"/>
    <w:p>
      <w:pPr>
        <w:pStyle w:val="Heading2"/>
      </w:pPr>
      <w:r>
        <w:t xml:space="preserve">Le prix du sang, comptabilité véritable</w:t>
      </w:r>
    </w:p>
    <w:p>
      <w:pPr>
        <w:pStyle w:val="FirstParagraph"/>
      </w:pPr>
      <w:r>
        <w:t xml:space="preserve">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p>
      <w:pPr>
        <w:pStyle w:val="BodyText"/>
      </w:pPr>
      <w:r>
        <w:t xml:space="preserve">LES 58 MORTS DE BARKHANE: LA DÉCOMPOSITION (DONNÉES DU MINISTÈRE FRANÇAIS DES ARMÉES, COMPILÉES PAR N. YAMB, 2025)</w:t>
      </w:r>
    </w:p>
    <w:p>
      <w:pPr>
        <w:pStyle w:val="BodyText"/>
      </w:pPr>
      <w:r>
        <w:t xml:space="preserve">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p>
      <w:pPr>
        <w:pStyle w:val="BodyText"/>
      </w:pPr>
      <w:r>
        <w:t xml:space="preserve">13 morts dans la collision de deux hélicoptères français, à la suite d’un différend interne entre équipes</w:t>
      </w:r>
    </w:p>
    <w:p>
      <w:pPr>
        <w:pStyle w:val="BodyText"/>
      </w:pPr>
      <w:r>
        <w:t xml:space="preserve">2 tués par leurs propres camarades</w:t>
      </w:r>
    </w:p>
    <w:p>
      <w:pPr>
        <w:pStyle w:val="BodyText"/>
      </w:pPr>
      <w:r>
        <w:t xml:space="preserve">15 morts au combat réels</w:t>
      </w:r>
    </w:p>
    <w:p>
      <w:pPr>
        <w:pStyle w:val="BodyText"/>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pPr>
        <w:pStyle w:val="BodyText"/>
      </w:pPr>
      <w:r>
        <w:t xml:space="preserve">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pPr>
        <w:pStyle w:val="BodyText"/>
      </w:pPr>
      <w:r>
        <w:t xml:space="preserve">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pPr>
        <w:pStyle w:val="BodyText"/>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pPr>
        <w:pStyle w:val="BodyText"/>
      </w:pPr>
      <w:r>
        <w:t xml:space="preserve">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r>
        <w:pict>
          <v:rect style="width:0;height:1.5pt" o:hralign="center" o:hrstd="t" o:hr="t"/>
        </w:pict>
      </w:r>
    </w:p>
    <w:bookmarkEnd w:id="95"/>
    <w:bookmarkEnd w:id="96"/>
    <w:bookmarkStart w:id="103" w:name="chapitre-14-la-bataille-de-linformation"/>
    <w:p>
      <w:pPr>
        <w:pStyle w:val="Heading1"/>
      </w:pPr>
      <w:r>
        <w:t xml:space="preserve">Chapitre 14 — La Bataille De L’Information</w:t>
      </w:r>
    </w:p>
    <w:p>
      <w:pPr>
        <w:pStyle w:val="FirstParagraph"/>
      </w:pPr>
      <w:r>
        <w:t xml:space="preserve">« La guerre n’est pas seulement les armes, les images, les atrocités. C’est aussi et avant tout une guerre de communication. Parce que qui contrôle l’information contrôle la stratégie.»</w:t>
      </w:r>
    </w:p>
    <w:p>
      <w:pPr>
        <w:pStyle w:val="BodyText"/>
      </w:pPr>
      <w:r>
        <w:t xml:space="preserve">— Jules Domche, Vox Africa, mai 2026</w:t>
      </w:r>
    </w:p>
    <w:p>
      <w:pPr>
        <w:pStyle w:val="BodyText"/>
      </w:pPr>
      <w:r>
        <w:t xml:space="preserve">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w:t>
      </w:r>
      <w:r>
        <w:t xml:space="preserve"> </w:t>
      </w:r>
      <w:r>
        <w:t xml:space="preserve">“</w:t>
      </w:r>
      <w:r>
        <w:t xml:space="preserve">Je veux croire que la France est mauvaise. Mais ce que je vois, c’est qu’ils ont construit cette autoroute, qu’ils ont permis l’électricité dans cet hôpital. En fait, tout ce que je vois concrètement, c’est que la France nous aime et nous aide.</w:t>
      </w:r>
      <w:r>
        <w:t xml:space="preserve">”</w:t>
      </w:r>
      <w:r>
        <w:t xml:space="preserve">»</w:t>
      </w:r>
    </w:p>
    <w:p>
      <w:pPr>
        <w:pStyle w:val="BodyText"/>
      </w:pPr>
      <w:r>
        <w:t xml:space="preserve">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bookmarkStart w:id="97" w:name="premier-front-les-médias"/>
    <w:p>
      <w:pPr>
        <w:pStyle w:val="Heading2"/>
      </w:pPr>
      <w:r>
        <w:t xml:space="preserve">Premier front: les médias</w:t>
      </w:r>
    </w:p>
    <w:p>
      <w:pPr>
        <w:pStyle w:val="FirstParagraph"/>
      </w:pPr>
      <w:r>
        <w:t xml:space="preserve">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pPr>
        <w:pStyle w:val="BodyText"/>
      </w:pPr>
      <w:r>
        <w:t xml:space="preserve">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BodyText"/>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pStyle w:val="BodyText"/>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pouvoir.»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a appris à les piloter, dans des pays dont l’État peine à faire homologuer un appareil civil? — avant de renvoyer à l’aveu du renseignement militaire ukrainien après Tinzawaten (chapitre 12). Pour l’AES, la « fabrique du terrorisme» n’est pas une thèse: c’est un dossier.</w:t>
      </w:r>
    </w:p>
    <w:p>
      <w:pPr>
        <w:pStyle w:val="BodyText"/>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pPr>
        <w:pStyle w:val="BodyText"/>
      </w:pPr>
      <w:r>
        <w:t xml:space="preserve">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bookmarkEnd w:id="97"/>
    <w:bookmarkStart w:id="98" w:name="deuxième-front-le-numérique"/>
    <w:p>
      <w:pPr>
        <w:pStyle w:val="Heading2"/>
      </w:pPr>
      <w:r>
        <w:t xml:space="preserve">Deuxième front: le numérique</w:t>
      </w:r>
    </w:p>
    <w:p>
      <w:pPr>
        <w:pStyle w:val="FirstParagraph"/>
      </w:pPr>
      <w:r>
        <w:t xml:space="preserve">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pPr>
        <w:pStyle w:val="BodyText"/>
      </w:pPr>
      <w:r>
        <w:t xml:space="preserve">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BodyText"/>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pPr>
        <w:pStyle w:val="BodyText"/>
      </w:pPr>
      <w:r>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BodyText"/>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bookmarkEnd w:id="98"/>
    <w:bookmarkStart w:id="99" w:name="troisième-front-lhumanitaire"/>
    <w:p>
      <w:pPr>
        <w:pStyle w:val="Heading2"/>
      </w:pPr>
      <w:r>
        <w:t xml:space="preserve">Troisième front: l’humanitaire</w:t>
      </w:r>
    </w:p>
    <w:p>
      <w:pPr>
        <w:pStyle w:val="FirstParagraph"/>
      </w:pPr>
      <w:r>
        <w:t xml:space="preserve">«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pPr>
        <w:pStyle w:val="BodyText"/>
      </w:pPr>
      <w:r>
        <w:t xml:space="preserve">Mais le front humanitaire a une pointe plus acérée: les organisations de défense des droits humains.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pPr>
        <w:pStyle w:val="BodyText"/>
      </w:pPr>
      <w:r>
        <w:t xml:space="preserve">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pStyle w:val="BodyText"/>
      </w:pPr>
      <w:r>
        <w:t xml:space="preserve">LES SEPT USAGES SIMULTANÉS D’UN RAPPORT D’ONG (DÉCRYPTAGE DE N. YAMB, AVRIL 2026)</w:t>
      </w:r>
    </w:p>
    <w:p>
      <w:pPr>
        <w:pStyle w:val="BodyText"/>
      </w:pPr>
      <w:r>
        <w:t xml:space="preserve">Diplomatique: des munitions dans les enceintes multilaterals</w:t>
      </w:r>
    </w:p>
    <w:p>
      <w:pPr>
        <w:pStyle w:val="BodyText"/>
      </w:pPr>
      <w:r>
        <w:t xml:space="preserve">Judiciaire: un dossier prêt à l’emploi pour la CPI</w:t>
      </w:r>
    </w:p>
    <w:p>
      <w:pPr>
        <w:pStyle w:val="BodyText"/>
      </w:pPr>
      <w:r>
        <w:t xml:space="preserve">Économique: la dégradation de la note souveraine du pays visé</w:t>
      </w:r>
    </w:p>
    <w:p>
      <w:pPr>
        <w:pStyle w:val="BodyText"/>
      </w:pPr>
      <w:r>
        <w:t xml:space="preserve">Médiatique: l’alimentation d’un récit hostile</w:t>
      </w:r>
    </w:p>
    <w:p>
      <w:pPr>
        <w:pStyle w:val="BodyText"/>
      </w:pPr>
      <w:r>
        <w:t xml:space="preserve">Psychologique: semer des fissures au sein de l’armée burkinabè</w:t>
      </w:r>
    </w:p>
    <w:p>
      <w:pPr>
        <w:pStyle w:val="BodyText"/>
      </w:pPr>
      <w:r>
        <w:t xml:space="preserve">Sanctions: justifier gels d’avoirs et mesures ciblées</w:t>
      </w:r>
    </w:p>
    <w:p>
      <w:pPr>
        <w:pStyle w:val="BodyText"/>
      </w:pPr>
      <w:r>
        <w:t xml:space="preserve">Dissuasion: adresser un message aux autres dirigeants de l’AES</w:t>
      </w:r>
    </w:p>
    <w:p>
      <w:pPr>
        <w:pStyle w:val="BodyText"/>
      </w:pPr>
      <w:r>
        <w:t xml:space="preserve">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bookmarkEnd w:id="99"/>
    <w:bookmarkStart w:id="100" w:name="quatrième-front-le-judiciaire"/>
    <w:p>
      <w:pPr>
        <w:pStyle w:val="Heading2"/>
      </w:pPr>
      <w:r>
        <w:t xml:space="preserve">Quatrième front: le judiciaire</w:t>
      </w:r>
    </w:p>
    <w:p>
      <w:pPr>
        <w:pStyle w:val="FirstParagraph"/>
      </w:pPr>
      <w:r>
        <w:t xml:space="preserve">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pStyle w:val="BodyText"/>
      </w:pPr>
      <w:r>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Des exactions graves et documentées.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pPr>
        <w:pStyle w:val="BodyText"/>
      </w:pPr>
      <w:r>
        <w:t xml:space="preserve">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bookmarkEnd w:id="100"/>
    <w:bookmarkStart w:id="101" w:name="larme-transversale-le-label-terroriste"/>
    <w:p>
      <w:pPr>
        <w:pStyle w:val="Heading2"/>
      </w:pPr>
      <w:r>
        <w:t xml:space="preserve">L’arme transversale: le label « terroriste»</w:t>
      </w:r>
    </w:p>
    <w:p>
      <w:pPr>
        <w:pStyle w:val="FirstParagraph"/>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bookmarkEnd w:id="101"/>
    <w:bookmarkStart w:id="102" w:name="X5852649b7e22cfe4b66d19054ee91ab5913953e"/>
    <w:p>
      <w:pPr>
        <w:pStyle w:val="Heading2"/>
      </w:pPr>
      <w:r>
        <w:t xml:space="preserve">La Coupe du monde 2026: la géopolitique du sport mise à nu</w:t>
      </w:r>
    </w:p>
    <w:p>
      <w:pPr>
        <w:pStyle w:val="FirstParagraph"/>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pPr>
        <w:pStyle w:val="BodyText"/>
      </w:pPr>
      <w:r>
        <w:t xml:space="preserve">Un tournoi sans peuple.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w:t>
      </w:r>
    </w:p>
    <w:p>
      <w:pPr>
        <w:pStyle w:val="BodyText"/>
      </w:pPr>
      <w:r>
        <w:t xml:space="preserve">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(Batenguène, 14 juin 2026.)</w:t>
      </w:r>
    </w:p>
    <w:p>
      <w:pPr>
        <w:pStyle w:val="BodyText"/>
      </w:pPr>
      <w:r>
        <w:t xml:space="preserve">La mécanique financière.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pPr>
        <w:pStyle w:val="BodyText"/>
      </w:pPr>
      <w:r>
        <w:t xml:space="preserve">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pPr>
        <w:pStyle w:val="BodyText"/>
      </w:pPr>
      <w:r>
        <w:t xml:space="preserve">Le starcisme, ou la marchandise qui ne réfléchit pas.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réfléchir.»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pPr>
        <w:pStyle w:val="BodyText"/>
      </w:pPr>
      <w:r>
        <w:t xml:space="preserve">Le paradoxe Trump, ou le bâton offert.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pPr>
        <w:pStyle w:val="BodyText"/>
      </w:pPr>
      <w:r>
        <w:t xml:space="preserve">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r>
        <w:pict>
          <v:rect style="width:0;height:1.5pt" o:hralign="center" o:hrstd="t" o:hr="t"/>
        </w:pict>
      </w:r>
    </w:p>
    <w:bookmarkEnd w:id="102"/>
    <w:bookmarkEnd w:id="103"/>
    <w:bookmarkStart w:id="109" w:name="X69dbe69f463c66eb0b7633da7963c548639eef8"/>
    <w:p>
      <w:pPr>
        <w:pStyle w:val="Heading1"/>
      </w:pPr>
      <w:r>
        <w:t xml:space="preserve">Chapitre 15 — Ce Que La France Admet En Privé</w:t>
      </w:r>
    </w:p>
    <w:p>
      <w:pPr>
        <w:pStyle w:val="FirstParagraph"/>
      </w:pPr>
      <w:r>
        <w:t xml:space="preserve">« Nous avons besoin de l’Afrique plus que l’Afrique n’a besoin de nous.»</w:t>
      </w:r>
    </w:p>
    <w:p>
      <w:pPr>
        <w:pStyle w:val="BodyText"/>
      </w:pPr>
      <w:r>
        <w:t xml:space="preserve">— Commission parlementaire française, rapport sur les relations France-Afrique</w:t>
      </w:r>
    </w:p>
    <w:p>
      <w:pPr>
        <w:pStyle w:val="BodyText"/>
      </w:pPr>
      <w:r>
        <w:t xml:space="preserve">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pPr>
        <w:pStyle w:val="BodyText"/>
      </w:pPr>
      <w:r>
        <w:t xml:space="preserve">Ce chapitre est court, et c’est voulu. Il n’a pas besoin d’être long: c’est le réquisitoire écrit par l’accusé lui-même. Car il y a un paradoxe au cœur de la relation franco-africaine: les aveux les plus accablants ne viennent ni des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bookmarkStart w:id="104" w:name="laveu-parlementaire-domination"/>
    <w:p>
      <w:pPr>
        <w:pStyle w:val="Heading2"/>
      </w:pPr>
      <w:r>
        <w:t xml:space="preserve">L’aveu parlementaire: « domination»</w:t>
      </w:r>
    </w:p>
    <w:p>
      <w:pPr>
        <w:pStyle w:val="FirstParagraph"/>
      </w:pPr>
      <w:r>
        <w:t xml:space="preserve">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pPr>
        <w:pStyle w:val="BodyText"/>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bookmarkEnd w:id="104"/>
    <w:bookmarkStart w:id="105" w:name="laveu-doctrinal-le-rapport-védrine"/>
    <w:p>
      <w:pPr>
        <w:pStyle w:val="Heading2"/>
      </w:pPr>
      <w:r>
        <w:t xml:space="preserve">L’aveu doctrinal: le rapport Védrine</w:t>
      </w:r>
    </w:p>
    <w:p>
      <w:pPr>
        <w:pStyle w:val="FirstParagraph"/>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pPr>
        <w:pStyle w:val="BodyText"/>
      </w:pPr>
      <w:r>
        <w:t xml:space="preserve">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bookmarkEnd w:id="105"/>
    <w:bookmarkStart w:id="106" w:name="Xd64090dd44bdee84876d5ba88c5981d753fa952"/>
    <w:p>
      <w:pPr>
        <w:pStyle w:val="Heading2"/>
      </w:pPr>
      <w:r>
        <w:t xml:space="preserve">L’aveu du renseignement: le diagnostic Juillet</w:t>
      </w:r>
    </w:p>
    <w:p>
      <w:pPr>
        <w:pStyle w:val="FirstParagraph"/>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BodyText"/>
      </w:pPr>
      <w:r>
        <w:t xml:space="preserve">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bookmarkEnd w:id="106"/>
    <w:bookmarkStart w:id="107" w:name="X810ccce087ebefb4b629827818309e412b7a676"/>
    <w:p>
      <w:pPr>
        <w:pStyle w:val="Heading2"/>
      </w:pPr>
      <w:r>
        <w:t xml:space="preserve">L’aveu du stratège: « pour les intérêts de la France »</w:t>
      </w:r>
    </w:p>
    <w:p>
      <w:pPr>
        <w:pStyle w:val="FirstParagraph"/>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échec.» L’ancien patron des armées, sous lequel Barkhane fut conduite, parle d’échec. Le mot, dans sa bouche, n’est pas une opinion de plus: c’est un constat dressé de l’intérieur.</w:t>
      </w:r>
    </w:p>
    <w:p>
      <w:pPr>
        <w:pStyle w:val="BodyText"/>
      </w:pPr>
      <w:r>
        <w:t xml:space="preserve">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pPr>
        <w:pStyle w:val="BodyText"/>
      </w:pPr>
      <w:r>
        <w:t xml:space="preserve">Lecointre lâche pourtant la phrase qui dissout tous les alibis., « on ne fait pas la guerre pour la démocratie mais pour les intérêts de la France». La formule ruine la justification officielle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pPr>
        <w:pStyle w:val="BodyText"/>
      </w:pPr>
      <w:r>
        <w:t xml:space="preserve">Le même stratège dessine enfin l’avenir, et il glace: « Je suis persuadé que dans quelques années — dix ans, moins, ou plus — nous aurons l’obligation de retourner aider ces pays africains.»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des solutions durables.»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bookmarkEnd w:id="107"/>
    <w:bookmarkStart w:id="108" w:name="ils-savaient"/>
    <w:p>
      <w:pPr>
        <w:pStyle w:val="Heading2"/>
      </w:pPr>
      <w:r>
        <w:t xml:space="preserve">Ils savaient</w:t>
      </w:r>
    </w:p>
    <w:p>
      <w:pPr>
        <w:pStyle w:val="FirstParagraph"/>
      </w:pPr>
      <w:r>
        <w:t xml:space="preserve">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pPr>
        <w:pStyle w:val="BodyText"/>
      </w:pPr>
      <w:r>
        <w:t xml:space="preserve">Le réquisitoire était donc rédigé, signé et archivé par la France elle-même; il ne manquait plus que des hommes pour en tirer les conséquences — et c’est très exactement ce qui se produisit, un matin d’août 2020, dans une garnison appelée Kati.</w:t>
      </w:r>
    </w:p>
    <w:p>
      <w:pPr>
        <w:pStyle w:val="BodyText"/>
      </w:pPr>
      <w:r>
        <w:t xml:space="preserve">Trois capitales. Trois nuits. Trois ruptures.</w:t>
      </w:r>
    </w:p>
    <w:p>
      <w:pPr>
        <w:pStyle w:val="BodyText"/>
      </w:pPr>
      <w:r>
        <w:t xml:space="preserve">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pPr>
        <w:pStyle w:val="BodyText"/>
      </w:pPr>
      <w:r>
        <w:t xml:space="preserve">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pStyle w:val="BodyText"/>
      </w:pPr>
      <w:r>
        <w:t xml:space="preserve">Tout commence à Kati, dans une caserne malienne, à quatre heures du matin.</w:t>
      </w:r>
    </w:p>
    <w:p>
      <w:r>
        <w:pict>
          <v:rect style="width:0;height:1.5pt" o:hralign="center" o:hrstd="t" o:hr="t"/>
        </w:pict>
      </w:r>
    </w:p>
    <w:bookmarkEnd w:id="108"/>
    <w:bookmarkEnd w:id="109"/>
    <w:bookmarkStart w:id="116" w:name="chapitre-16-mali-la-première-rupture"/>
    <w:p>
      <w:pPr>
        <w:pStyle w:val="Heading1"/>
      </w:pPr>
      <w:r>
        <w:t xml:space="preserve">Chapitre 16 — Mali: La Première Rupture</w:t>
      </w:r>
    </w:p>
    <w:p>
      <w:pPr>
        <w:pStyle w:val="FirstParagraph"/>
      </w:pPr>
      <w:r>
        <w:t xml:space="preserve">« Le Mali est et restera Un et Indivisible.»</w:t>
      </w:r>
    </w:p>
    <w:p>
      <w:pPr>
        <w:pStyle w:val="BodyText"/>
      </w:pPr>
      <w:r>
        <w:t xml:space="preserve">— Assimi Goïta, à l’issue de la prise de Kidal, 14 novembre 2023</w:t>
      </w:r>
    </w:p>
    <w:p>
      <w:pPr>
        <w:pStyle w:val="BodyText"/>
      </w:pPr>
      <w:r>
        <w:t xml:space="preserve">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pPr>
        <w:pStyle w:val="BodyText"/>
      </w:pPr>
      <w:r>
        <w:t xml:space="preserve">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bookmarkStart w:id="110" w:name="Xf1a449704cd9a033c0a253855bfce489fb05775"/>
    <w:p>
      <w:pPr>
        <w:pStyle w:val="Heading2"/>
      </w:pPr>
      <w:r>
        <w:t xml:space="preserve">Un effondrement annoncé sept ans plus tôt</w:t>
      </w:r>
    </w:p>
    <w:p>
      <w:pPr>
        <w:pStyle w:val="FirstParagraph"/>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pPr>
        <w:pStyle w:val="BodyText"/>
      </w:pPr>
      <w:r>
        <w:t xml:space="preserve">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bookmarkEnd w:id="110"/>
    <w:bookmarkStart w:id="111" w:name="kidal-mai-2013-le-soldat-refoulé"/>
    <w:p>
      <w:pPr>
        <w:pStyle w:val="Heading2"/>
      </w:pPr>
      <w:r>
        <w:t xml:space="preserve">Kidal, mai 2013: le soldat refoulé</w:t>
      </w:r>
    </w:p>
    <w:p>
      <w:pPr>
        <w:pStyle w:val="FirstParagraph"/>
      </w:pPr>
      <w:r>
        <w:t xml:space="preserve">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pPr>
        <w:pStyle w:val="BodyText"/>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bookmarkEnd w:id="111"/>
    <w:bookmarkStart w:id="112" w:name="X6f33d53738f457e4f3b22ce6276ed1661e4f6a4"/>
    <w:p>
      <w:pPr>
        <w:pStyle w:val="Heading2"/>
      </w:pPr>
      <w:r>
        <w:t xml:space="preserve">Le deuxième acte et la jonction avec la rue</w:t>
      </w:r>
    </w:p>
    <w:p>
      <w:pPr>
        <w:pStyle w:val="FirstParagraph"/>
      </w:pPr>
      <w:r>
        <w:t xml:space="preserve">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pStyle w:val="BodyText"/>
      </w:pPr>
      <w:r>
        <w:t xml:space="preserve">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pStyle w:val="BodyText"/>
      </w:pPr>
      <w:r>
        <w:t xml:space="preserve">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bookmarkEnd w:id="112"/>
    <w:bookmarkStart w:id="113" w:name="lépreuve-les-49-mercenaires-de-laéroport"/>
    <w:p>
      <w:pPr>
        <w:pStyle w:val="Heading2"/>
      </w:pPr>
      <w:r>
        <w:t xml:space="preserve">L’épreuve: les 49 « mercenaires» de l’aéroport</w:t>
      </w:r>
    </w:p>
    <w:p>
      <w:pPr>
        <w:pStyle w:val="FirstParagraph"/>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w:t>
      </w:r>
    </w:p>
    <w:p>
      <w:pPr>
        <w:pStyle w:val="BodyText"/>
      </w:pPr>
      <w:r>
        <w:t xml:space="preserve">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bookmarkEnd w:id="113"/>
    <w:bookmarkStart w:id="114" w:name="novembre-2023-kidal"/>
    <w:p>
      <w:pPr>
        <w:pStyle w:val="Heading2"/>
      </w:pPr>
      <w:r>
        <w:t xml:space="preserve">14 novembre 2023: Kidal</w:t>
      </w:r>
    </w:p>
    <w:p>
      <w:pPr>
        <w:pStyle w:val="FirstParagraph"/>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pPr>
        <w:pStyle w:val="BodyText"/>
      </w:pPr>
      <w:r>
        <w:t xml:space="preserve">La boucle malienne est bouclée — mais la rupture, elle, ne fait que commencer. Car pendant que Bamako reprenait son nord, un capitaine de trente-cinq ans, à Ouagadougou, était en train de transformer la rupture en doctrine.</w:t>
      </w:r>
    </w:p>
    <w:bookmarkEnd w:id="114"/>
    <w:bookmarkStart w:id="115" w:name="Xb10a8d3b2a95495b985db3ef88df503e55db52d"/>
    <w:p>
      <w:pPr>
        <w:pStyle w:val="Heading2"/>
      </w:pPr>
      <w:r>
        <w:t xml:space="preserve">Le 5e anniversaire: bilan d’une transition en guerre</w:t>
      </w:r>
    </w:p>
    <w:p>
      <w:pPr>
        <w:pStyle w:val="FirstParagraph"/>
      </w:pPr>
      <w:r>
        <w:t xml:space="preserve">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pPr>
        <w:pStyle w:val="BodyText"/>
      </w:pPr>
      <w:r>
        <w:t xml:space="preserve">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pPr>
        <w:pStyle w:val="BodyText"/>
      </w:pPr>
      <w:r>
        <w:t xml:space="preserve">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pPr>
        <w:pStyle w:val="BodyText"/>
      </w:pPr>
      <w:r>
        <w:t xml:space="preserve">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pPr>
        <w:pStyle w:val="BodyText"/>
      </w:pPr>
      <w:r>
        <w:t xml:space="preserve">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r>
        <w:pict>
          <v:rect style="width:0;height:1.5pt" o:hralign="center" o:hrstd="t" o:hr="t"/>
        </w:pict>
      </w:r>
    </w:p>
    <w:bookmarkEnd w:id="115"/>
    <w:bookmarkEnd w:id="116"/>
    <w:bookmarkStart w:id="120" w:name="X1fc25550fc426ee4091ab4731b9a07b2dd07fa5"/>
    <w:p>
      <w:pPr>
        <w:pStyle w:val="Heading1"/>
      </w:pPr>
      <w:r>
        <w:t xml:space="preserve">Chapitre 17 — Burkina Faso: La Doctrine Traoré</w:t>
      </w:r>
    </w:p>
    <w:p>
      <w:pPr>
        <w:pStyle w:val="FirstParagraph"/>
      </w:pPr>
      <w:r>
        <w:t xml:space="preserve">« Les impérialistes ont décidé que nous devions mourir. Nous, nous avons décidé de vivre. C’est tout le débat.»</w:t>
      </w:r>
    </w:p>
    <w:p>
      <w:pPr>
        <w:pStyle w:val="BodyText"/>
      </w:pPr>
      <w:r>
        <w:t xml:space="preserve">— Capitaine Ibrahim Traoré, 2023</w:t>
      </w:r>
    </w:p>
    <w:p>
      <w:pPr>
        <w:pStyle w:val="BodyText"/>
      </w:pPr>
      <w:r>
        <w:t xml:space="preserve">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pPr>
        <w:pStyle w:val="BodyText"/>
      </w:pPr>
      <w:r>
        <w:t xml:space="preserve">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bookmarkStart w:id="117" w:name="plus-dangereux-que-les-bases"/>
    <w:p>
      <w:pPr>
        <w:pStyle w:val="Heading2"/>
      </w:pPr>
      <w:r>
        <w:t xml:space="preserve">« Plus dangereux que les bases»</w:t>
      </w:r>
    </w:p>
    <w:p>
      <w:pPr>
        <w:pStyle w:val="FirstParagraph"/>
      </w:pPr>
      <w:r>
        <w:t xml:space="preserve">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pPr>
        <w:pStyle w:val="BodyText"/>
      </w:pPr>
      <w:r>
        <w:t xml:space="preserve">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pStyle w:val="BodyText"/>
      </w:pPr>
      <w:r>
        <w:t xml:space="preserve">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Et quand l’Arabie saoudite propose de financer 200 mosquées, Traoré refuse: « Donnez-nous des écoles, des hôpitaux et des emplois.»</w:t>
      </w:r>
    </w:p>
    <w:p>
      <w:pPr>
        <w:pStyle w:val="BodyText"/>
      </w:pPr>
      <w:r>
        <w:t xml:space="preserve">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bookmarkEnd w:id="117"/>
    <w:bookmarkStart w:id="118" w:name="Xd968cf05452167e91e2f3f0e0b2e7af8d1d4070"/>
    <w:p>
      <w:pPr>
        <w:pStyle w:val="Heading2"/>
      </w:pPr>
      <w:r>
        <w:t xml:space="preserve">La bataille des casernes: cinq milliards pour une trahison</w:t>
      </w:r>
    </w:p>
    <w:p>
      <w:pPr>
        <w:pStyle w:val="FirstParagraph"/>
      </w:pPr>
      <w:r>
        <w:t xml:space="preserve">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pPr>
        <w:pStyle w:val="BodyText"/>
      </w:pPr>
      <w:r>
        <w:t xml:space="preserve">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pPr>
        <w:pStyle w:val="BodyText"/>
      </w:pPr>
      <w:r>
        <w:t xml:space="preserve">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pStyle w:val="BodyText"/>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bookmarkEnd w:id="118"/>
    <w:bookmarkStart w:id="119" w:name="X3401a172b812205c50e0f84e5653ac347b9a0c8"/>
    <w:p>
      <w:pPr>
        <w:pStyle w:val="Heading2"/>
      </w:pPr>
      <w:r>
        <w:t xml:space="preserve">« Préparez-vous à la guerre de haute intensité»</w:t>
      </w:r>
    </w:p>
    <w:p>
      <w:pPr>
        <w:pStyle w:val="FirstParagraph"/>
      </w:pPr>
      <w:r>
        <w:t xml:space="preserve">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pPr>
        <w:pStyle w:val="BodyText"/>
      </w:pPr>
      <w:r>
        <w:t xml:space="preserve">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pStyle w:val="BodyText"/>
      </w:pPr>
      <w:r>
        <w:t xml:space="preserve">Restait le troisième — le plus stratégique de tous, celui où dormaient les soldats français, les drones américains et l’uranium des centrales nucléaires: le Niger, dernier verrou du dispositif occidental au Sahel.</w:t>
      </w:r>
    </w:p>
    <w:p>
      <w:r>
        <w:pict>
          <v:rect style="width:0;height:1.5pt" o:hralign="center" o:hrstd="t" o:hr="t"/>
        </w:pict>
      </w:r>
    </w:p>
    <w:bookmarkEnd w:id="119"/>
    <w:bookmarkEnd w:id="120"/>
    <w:bookmarkStart w:id="125" w:name="chapitre-18-niger-le-verrou-final"/>
    <w:p>
      <w:pPr>
        <w:pStyle w:val="Heading1"/>
      </w:pPr>
      <w:r>
        <w:t xml:space="preserve">Chapitre 18 — Niger: Le Verrou Final</w:t>
      </w:r>
    </w:p>
    <w:p>
      <w:pPr>
        <w:pStyle w:val="FirstParagraph"/>
      </w:pPr>
      <w:r>
        <w:t xml:space="preserve">« Il n’est plus question que nos États soient la vache à lait de la France.» — Général Abdourahamane Tiani, RTN, 12 février 2024</w:t>
      </w:r>
    </w:p>
    <w:p>
      <w:pPr>
        <w:pStyle w:val="BodyText"/>
      </w:pPr>
      <w:r>
        <w:t xml:space="preserve">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p>
      <w:pPr>
        <w:pStyle w:val="BodyText"/>
      </w:pPr>
      <w:r>
        <w:t xml:space="preserve">CE QUE L’OCCIDENT PERDAIT AVEC LE NIGER (JUILLET 2023)</w:t>
      </w:r>
    </w:p>
    <w:p>
      <w:pPr>
        <w:pStyle w:val="BodyText"/>
      </w:pPr>
      <w:r>
        <w:t xml:space="preserve">Base aérienne de Niamey: environ 1 500 soldats français</w:t>
      </w:r>
    </w:p>
    <w:p>
      <w:pPr>
        <w:pStyle w:val="BodyText"/>
      </w:pPr>
      <w:r>
        <w:t xml:space="preserve">Base 201 d’Agadez: environ 1 000 soldats américains et des drones Reaper MQ-9 — la seule base de drones américains en Afrique de l’Ouest</w:t>
      </w:r>
    </w:p>
    <w:p>
      <w:pPr>
        <w:pStyle w:val="BodyText"/>
      </w:pPr>
      <w:r>
        <w:t xml:space="preserve">Uranium: 35 % des importations françaises d’uranium concentré (2020)</w:t>
      </w:r>
    </w:p>
    <w:p>
      <w:pPr>
        <w:pStyle w:val="BodyText"/>
      </w:pPr>
      <w:r>
        <w:t xml:space="preserve">Accord UE-Niger de 2015 sur les flux migratoires transsahariens — le verrou migratoire de l’Europe</w:t>
      </w:r>
    </w:p>
    <w:p>
      <w:pPr>
        <w:pStyle w:val="BodyText"/>
      </w:pPr>
      <w:r>
        <w:t xml:space="preserve">La dernière grande base arrière occidentale au Sahel après les départs du Mali et du Burkina</w:t>
      </w:r>
    </w:p>
    <w:p>
      <w:pPr>
        <w:pStyle w:val="BodyText"/>
      </w:pPr>
      <w:r>
        <w:t xml:space="preserve">Perdre le Niger, c’était perdre d’un coup l’intégralité du dispositif sahélien occidental. C’est exactement ce qui va se produire — et sans qu’une seule goutte de sang soit versée.</w:t>
      </w:r>
    </w:p>
    <w:bookmarkStart w:id="121" w:name="le-c-17-qui-rebrousse-chemin"/>
    <w:p>
      <w:pPr>
        <w:pStyle w:val="Heading2"/>
      </w:pPr>
      <w:r>
        <w:t xml:space="preserve">Le C-17 qui rebrousse chemin</w:t>
      </w:r>
    </w:p>
    <w:p>
      <w:pPr>
        <w:pStyle w:val="FirstParagraph"/>
      </w:pPr>
      <w:r>
        <w:t xml:space="preserve">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pPr>
        <w:pStyle w:val="BodyText"/>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bookmarkEnd w:id="121"/>
    <w:bookmarkStart w:id="122" w:name="Xa8478ae91d22bf5af7818b1d1488f975f9bc2e0"/>
    <w:p>
      <w:pPr>
        <w:pStyle w:val="Heading2"/>
      </w:pPr>
      <w:r>
        <w:t xml:space="preserve">Le dossier d’Agadez: l’accord que les Nigériens n’avaient pas le droit de connaître</w:t>
      </w:r>
    </w:p>
    <w:p>
      <w:pPr>
        <w:pStyle w:val="FirstParagraph"/>
      </w:pPr>
      <w:r>
        <w:t xml:space="preserve">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pStyle w:val="BodyText"/>
      </w:pPr>
      <w:r>
        <w:t xml:space="preserve">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pPr>
        <w:pStyle w:val="BodyText"/>
      </w:pPr>
      <w:r>
        <w:t xml:space="preserve">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bookmarkEnd w:id="122"/>
    <w:bookmarkStart w:id="123" w:name="reprendre-le-sous-sol-imouraren"/>
    <w:p>
      <w:pPr>
        <w:pStyle w:val="Heading2"/>
      </w:pPr>
      <w:r>
        <w:t xml:space="preserve">Reprendre le sous-sol: Imouraren</w:t>
      </w:r>
    </w:p>
    <w:p>
      <w:pPr>
        <w:pStyle w:val="FirstParagraph"/>
      </w:pPr>
      <w:r>
        <w:t xml:space="preserve">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pPr>
        <w:pStyle w:val="BodyText"/>
      </w:pPr>
      <w:r>
        <w:t xml:space="preserve">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pPr>
        <w:pStyle w:val="BodyText"/>
      </w:pPr>
      <w:r>
        <w:t xml:space="preserve">Et la rupture paie, vite: les recettes pétrolières du Niger bondissent de 218 % entre 2020 (64,1 milliards de FCFA) et 2024 (204 milliards), tandis que la couverture des besoins domestiques passe de 20 % à 60 % (ministre Sahabi Oumarou, 24 février 2025).</w:t>
      </w:r>
    </w:p>
    <w:bookmarkEnd w:id="123"/>
    <w:bookmarkStart w:id="124" w:name="le-discours-du-12-février-2024"/>
    <w:p>
      <w:pPr>
        <w:pStyle w:val="Heading2"/>
      </w:pPr>
      <w:r>
        <w:t xml:space="preserve">Le discours du 12 février 2024</w:t>
      </w:r>
    </w:p>
    <w:p>
      <w:pPr>
        <w:pStyle w:val="FirstParagraph"/>
      </w:pPr>
      <w:r>
        <w:t xml:space="preserve">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pPr>
        <w:pStyle w:val="BodyText"/>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Cette phrase condense en deux lignes toute la logique de domination que ce livre documente.</w:t>
      </w:r>
    </w:p>
    <w:p>
      <w:pPr>
        <w:pStyle w:val="BodyText"/>
      </w:pPr>
      <w:r>
        <w:t xml:space="preserve">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pPr>
        <w:pStyle w:val="BodyText"/>
      </w:pPr>
      <w:r>
        <w:t xml:space="preserve">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r>
        <w:pict>
          <v:rect style="width:0;height:1.5pt" o:hralign="center" o:hrstd="t" o:hr="t"/>
        </w:pict>
      </w:r>
    </w:p>
    <w:bookmarkEnd w:id="124"/>
    <w:bookmarkEnd w:id="125"/>
    <w:bookmarkStart w:id="129" w:name="chapitre-19-la-naissance-de-laes"/>
    <w:p>
      <w:pPr>
        <w:pStyle w:val="Heading1"/>
      </w:pPr>
      <w:r>
        <w:t xml:space="preserve">Chapitre 19 — La Naissance De L’Aes</w:t>
      </w:r>
    </w:p>
    <w:p>
      <w:pPr>
        <w:pStyle w:val="FirstParagraph"/>
      </w:pPr>
      <w:r>
        <w:t xml:space="preserve">« Avec ou sans vous, nous allons avancer.»</w:t>
      </w:r>
    </w:p>
    <w:p>
      <w:pPr>
        <w:pStyle w:val="BodyText"/>
      </w:pPr>
      <w:r>
        <w:t xml:space="preserve">— Abdoulaye Diop, ministre malien des Affaires étrangères</w:t>
      </w:r>
    </w:p>
    <w:p>
      <w:pPr>
        <w:pStyle w:val="BodyText"/>
      </w:pPr>
      <w:r>
        <w:t xml:space="preserve">Bamako, 16 septembre 2023. Trois hommes se penchent sur un document de quelques pages. Le general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pPr>
        <w:pStyle w:val="BodyText"/>
      </w:pPr>
      <w:r>
        <w:t xml:space="preserve">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p>
      <w:pPr>
        <w:pStyle w:val="BodyText"/>
      </w:pPr>
      <w:r>
        <w:t xml:space="preserve">CHARTE DU LIPTAKO-GOURMA — DISPOSITIONS ESSENTIELLES</w:t>
      </w:r>
    </w:p>
    <w:p>
      <w:pPr>
        <w:pStyle w:val="BodyText"/>
      </w:pPr>
      <w:r>
        <w:t xml:space="preserve">Article 1: toute agression contre l’un des membres est une agression contre tous</w:t>
      </w:r>
    </w:p>
    <w:p>
      <w:pPr>
        <w:pStyle w:val="BodyText"/>
      </w:pPr>
      <w:r>
        <w:t xml:space="preserve">Souveraineté pleine sur les ressources naturelles nationales</w:t>
      </w:r>
    </w:p>
    <w:p>
      <w:pPr>
        <w:pStyle w:val="BodyText"/>
      </w:pPr>
      <w:r>
        <w:t xml:space="preserve">Droit de choisir ses partenaires militaires et diplomatiques sans tutelle extérieure</w:t>
      </w:r>
    </w:p>
    <w:p>
      <w:pPr>
        <w:pStyle w:val="BodyText"/>
      </w:pPr>
      <w:r>
        <w:t xml:space="preserve">Libre circulation des personnes entre les trois États membres</w:t>
      </w:r>
    </w:p>
    <w:p>
      <w:pPr>
        <w:pStyle w:val="BodyText"/>
      </w:pPr>
      <w:r>
        <w:t xml:space="preserve">Création d’une Force unifiée de l’AES, installée le 21 décembre 2025</w:t>
      </w:r>
    </w:p>
    <w:p>
      <w:pPr>
        <w:pStyle w:val="BodyText"/>
      </w:pPr>
      <w:r>
        <w:t xml:space="preserve">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bookmarkStart w:id="126" w:name="de-lalliance-à-la-confédération"/>
    <w:p>
      <w:pPr>
        <w:pStyle w:val="Heading2"/>
      </w:pPr>
      <w:r>
        <w:t xml:space="preserve">De l’alliance à la Confédération</w:t>
      </w:r>
    </w:p>
    <w:p>
      <w:pPr>
        <w:pStyle w:val="FirstParagraph"/>
      </w:pPr>
      <w:r>
        <w:t xml:space="preserve">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pPr>
        <w:pStyle w:val="BodyText"/>
      </w:pPr>
      <w:r>
        <w:t xml:space="preserve">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pPr>
        <w:pStyle w:val="BodyText"/>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bookmarkEnd w:id="126"/>
    <w:bookmarkStart w:id="127" w:name="Xc94744f315f08b8504bf599877c1c39a8d348da"/>
    <w:p>
      <w:pPr>
        <w:pStyle w:val="Heading2"/>
      </w:pPr>
      <w:r>
        <w:t xml:space="preserve">Une légitimité plus ancienne que l’AES elle-même</w:t>
      </w:r>
    </w:p>
    <w:p>
      <w:pPr>
        <w:pStyle w:val="FirstParagraph"/>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pPr>
        <w:pStyle w:val="BodyText"/>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bookmarkEnd w:id="127"/>
    <w:bookmarkStart w:id="128" w:name="une-réalité-irréversible"/>
    <w:p>
      <w:pPr>
        <w:pStyle w:val="Heading2"/>
      </w:pPr>
      <w:r>
        <w:t xml:space="preserve">« Une réalité irréversible»</w:t>
      </w:r>
    </w:p>
    <w:p>
      <w:pPr>
        <w:pStyle w:val="FirstParagraph"/>
      </w:pPr>
      <w:r>
        <w:t xml:space="preserve">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pPr>
        <w:pStyle w:val="BodyText"/>
      </w:pPr>
      <w:r>
        <w:t xml:space="preserve">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r>
        <w:pict>
          <v:rect style="width:0;height:1.5pt" o:hralign="center" o:hrstd="t" o:hr="t"/>
        </w:pict>
      </w:r>
    </w:p>
    <w:bookmarkEnd w:id="128"/>
    <w:bookmarkEnd w:id="129"/>
    <w:bookmarkStart w:id="138" w:name="chapitre-20-la-guerre-proxy"/>
    <w:p>
      <w:pPr>
        <w:pStyle w:val="Heading1"/>
      </w:pPr>
      <w:r>
        <w:t xml:space="preserve">Chapitre 20 — La Guerre Proxy</w:t>
      </w:r>
    </w:p>
    <w:p>
      <w:pPr>
        <w:pStyle w:val="FirstParagraph"/>
      </w:pPr>
      <w:r>
        <w:t xml:space="preserve">« On est dans la froide réalité du terrain. Des ex-légionnaires francophones travaillent avec le GUR ukrainien. Le verrou semble levé.»</w:t>
      </w:r>
    </w:p>
    <w:p>
      <w:pPr>
        <w:pStyle w:val="BodyText"/>
      </w:pPr>
      <w:r>
        <w:t xml:space="preserve">— George Malbruno, citant une source sécuritaire française, RTL, 9 mai 2026</w:t>
      </w:r>
    </w:p>
    <w:p>
      <w:pPr>
        <w:pStyle w:val="BodyText"/>
      </w:pPr>
      <w:r>
        <w:t xml:space="preserve">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pPr>
        <w:pStyle w:val="BodyText"/>
      </w:pPr>
      <w:r>
        <w:t xml:space="preserve">Pour comprendre cette journée — qui l’a voulue, qui l’a préparée, qui l’a payée —, il faut remonter le fil. Et le fil remonte loin: il passe par le Bénin, par Bangui, par les falaises de Tinzawaten, par Kiev, et il finit, le 9 mai 2026, dans un studio de RTL à Paris.</w:t>
      </w:r>
    </w:p>
    <w:bookmarkStart w:id="130" w:name="larmée-fantôme"/>
    <w:p>
      <w:pPr>
        <w:pStyle w:val="Heading2"/>
      </w:pPr>
      <w:r>
        <w:t xml:space="preserve">L’armée fantôme</w:t>
      </w:r>
    </w:p>
    <w:p>
      <w:pPr>
        <w:pStyle w:val="FirstParagraph"/>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pStyle w:val="BodyText"/>
      </w:pPr>
      <w:r>
        <w:t xml:space="preserve">Le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désigne ce dispositif comme une guerre de quatrième génération. Le mécanisme qu’elle pointe — faire saisir les leviers de la crédibilité internationale pour asphyxier économiquement un État souverain — est, lui, documenté dans d’autres contextes géopolitiques. Ce que le Centrafrique a subi à partir de 2020, les États de l’AES en expérimenteront les variantes dès 2021.</w:t>
      </w:r>
    </w:p>
    <w:p>
      <w:pPr>
        <w:pStyle w:val="BodyText"/>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pPr>
        <w:pStyle w:val="BodyText"/>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BodyText"/>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pStyle w:val="BodyText"/>
      </w:pPr>
      <w:r>
        <w:t xml:space="preserve">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bookmarkEnd w:id="130"/>
    <w:bookmarkStart w:id="131" w:name="tinzawaten-lukraine-entre-en-scène"/>
    <w:p>
      <w:pPr>
        <w:pStyle w:val="Heading2"/>
      </w:pPr>
      <w:r>
        <w:t xml:space="preserve">Tinzawaten: l’Ukraine entre en scène</w:t>
      </w:r>
    </w:p>
    <w:p>
      <w:pPr>
        <w:pStyle w:val="FirstParagraph"/>
      </w:pPr>
      <w:r>
        <w:t xml:space="preserve">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pPr>
        <w:pStyle w:val="BodyText"/>
      </w:pPr>
      <w:r>
        <w:t xml:space="preserve">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pStyle w:val="BodyText"/>
      </w:pPr>
      <w:r>
        <w:t xml:space="preserve">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pStyle w:val="BodyText"/>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bookmarkEnd w:id="131"/>
    <w:bookmarkStart w:id="132" w:name="X18d64f98410e614b81b5e161d9b0dff99010b5c"/>
    <w:p>
      <w:pPr>
        <w:pStyle w:val="Heading2"/>
      </w:pPr>
      <w:r>
        <w:t xml:space="preserve">L’étape suivante: drones et changement de régime</w:t>
      </w:r>
    </w:p>
    <w:p>
      <w:pPr>
        <w:pStyle w:val="FirstParagraph"/>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pStyle w:val="BodyText"/>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pPr>
        <w:pStyle w:val="BodyText"/>
      </w:pPr>
      <w:r>
        <w:t xml:space="preserve">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bookmarkEnd w:id="132"/>
    <w:bookmarkStart w:id="133" w:name="X6224b03b0ca9f6593a1e5a3c5607fad102aafbf"/>
    <w:p>
      <w:pPr>
        <w:pStyle w:val="Heading2"/>
      </w:pPr>
      <w:r>
        <w:t xml:space="preserve">Janvier 2026: la répétition générale de Niamey</w:t>
      </w:r>
    </w:p>
    <w:p>
      <w:pPr>
        <w:pStyle w:val="FirstParagraph"/>
      </w:pPr>
      <w:r>
        <w:t xml:space="preserve">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bookmarkEnd w:id="133"/>
    <w:bookmarkStart w:id="134" w:name="le-25-avril-et-lhomme-quil-fallait-tuer"/>
    <w:p>
      <w:pPr>
        <w:pStyle w:val="Heading2"/>
      </w:pPr>
      <w:r>
        <w:t xml:space="preserve">Le 25 avril, et l’homme qu’il fallait tuer</w:t>
      </w:r>
    </w:p>
    <w:p>
      <w:pPr>
        <w:pStyle w:val="FirstParagraph"/>
      </w:pPr>
      <w:r>
        <w:t xml:space="preserve">CHRONOLOGIE AUTOUR DU 25 AVRIL 2026</w:t>
      </w:r>
    </w:p>
    <w:p>
      <w:pPr>
        <w:pStyle w:val="BodyText"/>
      </w:pPr>
      <w:r>
        <w:t xml:space="preserve">22-23 avril: victoires des FAMa contre les groupes armés — non relayées par les médias occidentaux (Jules Domche, Vox Africa)</w:t>
      </w:r>
    </w:p>
    <w:p>
      <w:pPr>
        <w:pStyle w:val="BodyText"/>
      </w:pPr>
      <w:r>
        <w:t xml:space="preserve">23 avril: le Conseil de l’UE finalise 90 milliards d’euros pour l’Ukraine, dont 60 pour la défense, avec « dérogations ciblées»</w:t>
      </w:r>
    </w:p>
    <w:p>
      <w:pPr>
        <w:pStyle w:val="BodyText"/>
      </w:pPr>
      <w:r>
        <w:t xml:space="preserve">25 avril: attaques coordonnées sur Bamako, Kati, Kidal, Gao, Sévaré; mort du général Sadio Camara; le FLA reprend temporairement Kidal</w:t>
      </w:r>
    </w:p>
    <w:p>
      <w:pPr>
        <w:pStyle w:val="BodyText"/>
      </w:pPr>
      <w:r>
        <w:t xml:space="preserve">28 avril: discours de Goïta; 1er mai: 800 citernes de carburant nigériennes vers le Mali</w:t>
      </w:r>
    </w:p>
    <w:p>
      <w:pPr>
        <w:pStyle w:val="BodyText"/>
      </w:pPr>
      <w:r>
        <w:t xml:space="preserve">8 mai: le Niger suspend dix médias français; la HAC malienne bannit Al Arabiya</w:t>
      </w:r>
    </w:p>
    <w:p>
      <w:pPr>
        <w:pStyle w:val="BodyText"/>
      </w:pPr>
      <w:r>
        <w:t xml:space="preserve">9 mai: RTL — les révélations Malbruno; 10 mai: Goïta reprend le portefeuille de la Défense</w:t>
      </w:r>
    </w:p>
    <w:p>
      <w:pPr>
        <w:pStyle w:val="BodyText"/>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pStyle w:val="BodyText"/>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bookmarkEnd w:id="134"/>
    <w:bookmarkStart w:id="135" w:name="la-réponse-et-laveu"/>
    <w:p>
      <w:pPr>
        <w:pStyle w:val="Heading2"/>
      </w:pPr>
      <w:r>
        <w:t xml:space="preserve">La réponse, et l’aveu</w:t>
      </w:r>
    </w:p>
    <w:p>
      <w:pPr>
        <w:pStyle w:val="FirstParagraph"/>
      </w:pPr>
      <w:r>
        <w:t xml:space="preserve">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pPr>
        <w:pStyle w:val="BodyText"/>
      </w:pPr>
      <w:r>
        <w:t xml:space="preserve">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bookmarkEnd w:id="135"/>
    <w:bookmarkStart w:id="136" w:name="tiani-lavait-annoncé"/>
    <w:p>
      <w:pPr>
        <w:pStyle w:val="Heading2"/>
      </w:pPr>
      <w:r>
        <w:t xml:space="preserve">Tiani l’avait annoncé</w:t>
      </w:r>
    </w:p>
    <w:p>
      <w:pPr>
        <w:pStyle w:val="FirstParagraph"/>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l’autorité d’un émir». Le calendrier lui a donné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pPr>
        <w:pStyle w:val="BodyText"/>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pour nous faire avaler la pilule», résume-t-il, avant de citer les précédents: Afghanistan, Irak, Syrie, et la Libye « à notre frontière». Or c’est très exactement la doctrine qu’un responsable français allait formuler cinq mois plus tard — sans savoir, ou sans se soucier, qu’il confirmait la prophétie nigérienne.</w:t>
      </w:r>
    </w:p>
    <w:bookmarkEnd w:id="136"/>
    <w:bookmarkStart w:id="137" w:name="Xcf09d4b0ddffbf9bbd2b02d9251a7fe996b8f7a"/>
    <w:p>
      <w:pPr>
        <w:pStyle w:val="Heading2"/>
      </w:pPr>
      <w:r>
        <w:t xml:space="preserve">L’agenda révélé: le JNIM comme futur acteur politique</w:t>
      </w:r>
    </w:p>
    <w:p>
      <w:pPr>
        <w:pStyle w:val="FirstParagraph"/>
      </w:pPr>
      <w:r>
        <w:t xml:space="preserve">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pPr>
        <w:pStyle w:val="BodyText"/>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pPr>
        <w:pStyle w:val="BodyText"/>
      </w:pPr>
      <w:r>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—cohérente avec des précédents documentés dans d’autres contextes — constitue, selon les analystes panafricains présents, le sous-texte de la déclaration Fuchs.</w:t>
      </w:r>
    </w:p>
    <w:p>
      <w:pPr>
        <w:pStyle w:val="BodyText"/>
      </w:pPr>
      <w:r>
        <w:t xml:space="preserve">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pStyle w:val="BodyText"/>
      </w:pPr>
      <w:r>
        <w:t xml:space="preserve">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pPr>
        <w:pStyle w:val="BodyText"/>
      </w:pPr>
      <w:r>
        <w:t xml:space="preserve">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pStyle w:val="BodyText"/>
      </w:pPr>
      <w:r>
        <w:t xml:space="preserve">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pPr>
        <w:pStyle w:val="BodyText"/>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pPr>
        <w:pStyle w:val="BodyText"/>
      </w:pPr>
      <w:r>
        <w:t xml:space="preserve">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r>
        <w:pict>
          <v:rect style="width:0;height:1.5pt" o:hralign="center" o:hrstd="t" o:hr="t"/>
        </w:pict>
      </w:r>
    </w:p>
    <w:bookmarkEnd w:id="137"/>
    <w:bookmarkEnd w:id="138"/>
    <w:bookmarkStart w:id="145" w:name="chapitre-21-lenvironnement-régional"/>
    <w:p>
      <w:pPr>
        <w:pStyle w:val="Heading1"/>
      </w:pPr>
      <w:r>
        <w:t xml:space="preserve">Chapitre 21 — L’Environnement Régional</w:t>
      </w:r>
    </w:p>
    <w:p>
      <w:pPr>
        <w:pStyle w:val="FirstParagraph"/>
      </w:pPr>
      <w:r>
        <w:t xml:space="preserve">« L’Algérie d’aujourd’hui retourne ses armes contre le Mali qui se bat pour sa propre indépendance.»</w:t>
      </w:r>
    </w:p>
    <w:p>
      <w:pPr>
        <w:pStyle w:val="BodyText"/>
      </w:pPr>
      <w:r>
        <w:t xml:space="preserve">— Nathalie Yamb, avril 2025</w:t>
      </w:r>
    </w:p>
    <w:p>
      <w:pPr>
        <w:pStyle w:val="BodyText"/>
      </w:pPr>
      <w:r>
        <w:t xml:space="preserve">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pPr>
        <w:pStyle w:val="BodyText"/>
      </w:pPr>
      <w:r>
        <w:t xml:space="preserve">Cette nuit-là résume le sujet de ce chapitre: l’AES n’est pas une île. Elle est encerclée de voisins qui sont tour à tour des partenaires, des sanctuaires hostiles, des couloirs logistiques — et parfois les trois à la fois. Tour d’horizon, voisin par voisin.</w:t>
      </w:r>
    </w:p>
    <w:bookmarkStart w:id="139" w:name="le-tchad-mahamat-déby-entre-deux-feux"/>
    <w:p>
      <w:pPr>
        <w:pStyle w:val="Heading2"/>
      </w:pPr>
      <w:r>
        <w:t xml:space="preserve">Le Tchad: Mahamat Déby entre deux feux</w:t>
      </w:r>
    </w:p>
    <w:p>
      <w:pPr>
        <w:pStyle w:val="FirstParagraph"/>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pPr>
        <w:pStyle w:val="BodyText"/>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pPr>
        <w:pStyle w:val="BodyText"/>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bookmarkEnd w:id="139"/>
    <w:bookmarkStart w:id="140" w:name="lalgérie-le-médiateur-qui-tire"/>
    <w:p>
      <w:pPr>
        <w:pStyle w:val="Heading2"/>
      </w:pPr>
      <w:r>
        <w:t xml:space="preserve">L’Algérie: le médiateur qui tire</w:t>
      </w:r>
    </w:p>
    <w:p>
      <w:pPr>
        <w:pStyle w:val="FirstParagraph"/>
      </w:pPr>
      <w:r>
        <w:t xml:space="preserve">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pStyle w:val="BodyText"/>
      </w:pPr>
      <w:r>
        <w:t xml:space="preserve">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pPr>
        <w:pStyle w:val="BodyText"/>
      </w:pPr>
      <w:r>
        <w:t xml:space="preserve">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pPr>
        <w:pStyle w:val="BodyText"/>
      </w:pPr>
      <w:r>
        <w:t xml:space="preserve">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BodyText"/>
      </w:pPr>
      <w:r>
        <w:t xml:space="preserve">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bookmarkEnd w:id="140"/>
    <w:bookmarkStart w:id="141" w:name="la-mauritanie-le-voisin-silencieux"/>
    <w:p>
      <w:pPr>
        <w:pStyle w:val="Heading2"/>
      </w:pPr>
      <w:r>
        <w:t xml:space="preserve">La Mauritanie: le voisin silencieux</w:t>
      </w:r>
    </w:p>
    <w:p>
      <w:pPr>
        <w:pStyle w:val="FirstParagraph"/>
      </w:pPr>
      <w:r>
        <w:t xml:space="preserve">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pStyle w:val="BodyText"/>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bookmarkEnd w:id="141"/>
    <w:bookmarkStart w:id="142" w:name="Xbc112bbbebdc5f6d44ab3283e416e8fe6f48b37"/>
    <w:p>
      <w:pPr>
        <w:pStyle w:val="Heading2"/>
      </w:pPr>
      <w:r>
        <w:t xml:space="preserve">Les Émirats arabes unis: le déstabilisateur documenté</w:t>
      </w:r>
    </w:p>
    <w:p>
      <w:pPr>
        <w:pStyle w:val="FirstParagraph"/>
      </w:pPr>
      <w:r>
        <w:t xml:space="preserve">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p>
      <w:pPr>
        <w:pStyle w:val="BodyText"/>
      </w:pPr>
      <w:r>
        <w:t xml:space="preserve">LES ÉMIRATS EN AFRIQUE — FAITS ÉTABLIS PAR LE RAPPORT SWP (MAI 2026)</w:t>
      </w:r>
    </w:p>
    <w:p>
      <w:pPr>
        <w:pStyle w:val="BodyText"/>
      </w:pPr>
      <w:r>
        <w:t xml:space="preserve">Soudan: principal soutien militaire, logistique et financier des FSR de Hemeti; à El-Fasher (octobre 2025), massacres présentant des « signes caractéristiques du génocide» selon une mission d’enquête de l’ONU</w:t>
      </w:r>
    </w:p>
    <w:p>
      <w:pPr>
        <w:pStyle w:val="BodyText"/>
      </w:pPr>
      <w:r>
        <w:t xml:space="preserve">Camp d’entraînement des FSR installé au Benishangul-Gumuz (Éthiopie occidentale) à l’automne 2025; plusieurs centaines de mercenaires colombiens recrutés par une société de sécurité émiratie, certains formant des enfants au combat</w:t>
      </w:r>
    </w:p>
    <w:p>
      <w:pPr>
        <w:pStyle w:val="BodyText"/>
      </w:pPr>
      <w:r>
        <w:t xml:space="preserve">458 vols de transport lourd depuis des aéroports militaires émiratis vers la Libye orientale entre octobre 2024 et fin 2025, dont 239 vers le seul hub de Kufra — en violation d’embargos de l’ONU</w:t>
      </w:r>
    </w:p>
    <w:p>
      <w:pPr>
        <w:pStyle w:val="BodyText"/>
      </w:pPr>
      <w:r>
        <w:t xml:space="preserve">Libye: armement du maréchal Haftar depuis 2014; coopération documentée avec Wagner</w:t>
      </w:r>
    </w:p>
    <w:p>
      <w:pPr>
        <w:pStyle w:val="BodyText"/>
      </w:pPr>
      <w:r>
        <w:t xml:space="preserve">Prêt de 1,5 milliard de dollars au Tchad (juin 2023) pour contrôler le corridor logistique</w:t>
      </w:r>
    </w:p>
    <w:p>
      <w:pPr>
        <w:pStyle w:val="BodyText"/>
      </w:pPr>
      <w:r>
        <w:t xml:space="preserve">Lobbying: quatre jours de la ministre d’État Lana Nusseibeh à Bruxelles en novembre 2025; la résolution du Parlement européen sur le Soudan, adoptée dans la foulée, ne mentionne pas le soutien émirati aux FSR</w:t>
      </w:r>
    </w:p>
    <w:p>
      <w:pPr>
        <w:pStyle w:val="BodyText"/>
      </w:pPr>
      <w:r>
        <w:t xml:space="preserve">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bookmarkEnd w:id="142"/>
    <w:bookmarkStart w:id="143" w:name="la-côte-divoire-le-verrou-ivoirien"/>
    <w:p>
      <w:pPr>
        <w:pStyle w:val="Heading2"/>
      </w:pPr>
      <w:r>
        <w:t xml:space="preserve">La Côte d’Ivoire: le verrou ivoirien</w:t>
      </w:r>
    </w:p>
    <w:p>
      <w:pPr>
        <w:pStyle w:val="FirstParagraph"/>
      </w:pPr>
      <w:r>
        <w:t xml:space="preserve">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pPr>
        <w:pStyle w:val="BodyText"/>
      </w:pPr>
      <w:r>
        <w:t xml:space="preserve">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pPr>
        <w:pStyle w:val="BodyText"/>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w:t>
      </w:r>
    </w:p>
    <w:p>
      <w:pPr>
        <w:pStyle w:val="BodyText"/>
      </w:pPr>
      <w:r>
        <w:t xml:space="preserve">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bookmarkEnd w:id="143"/>
    <w:bookmarkStart w:id="144" w:name="X10248b306c47f3ce15674d47ada0fd2eb74a3db"/>
    <w:p>
      <w:pPr>
        <w:pStyle w:val="Heading2"/>
      </w:pPr>
      <w:r>
        <w:t xml:space="preserve">La Centrafrique: la question du programme SPEAR</w:t>
      </w:r>
    </w:p>
    <w:p>
      <w:pPr>
        <w:pStyle w:val="FirstParagraph"/>
      </w:pPr>
      <w:r>
        <w:t xml:space="preserve">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pPr>
        <w:pStyle w:val="BodyText"/>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pPr>
        <w:pStyle w:val="BodyText"/>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pPr>
        <w:pStyle w:val="BodyText"/>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pPr>
        <w:pStyle w:val="BodyText"/>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sociale française (désignée sous l’acronyme CAF)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pPr>
        <w:pStyle w:val="BodyText"/>
      </w:pPr>
      <w:r>
        <w:t xml:space="preserve">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«assassins financiers» du chapitre 9 ont toujours cherché à empêcher: que l’État africain voie clair dans ses propres flux. «Nous allons vers la transformation», dit le responsable; «et ça, c’est la philosophie même du président de la République.»</w:t>
      </w:r>
    </w:p>
    <w:p>
      <w:pPr>
        <w:pStyle w:val="BodyText"/>
      </w:pPr>
      <w:r>
        <w:t xml:space="preserve">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pPr>
        <w:pStyle w:val="BodyText"/>
      </w:pPr>
      <w:r>
        <w:t xml:space="preserve">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pStyle w:val="BodyText"/>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w:t>
      </w:r>
    </w:p>
    <w:p>
      <w:r>
        <w:pict>
          <v:rect style="width:0;height:1.5pt" o:hralign="center" o:hrstd="t" o:hr="t"/>
        </w:pict>
      </w:r>
    </w:p>
    <w:bookmarkEnd w:id="144"/>
    <w:bookmarkEnd w:id="145"/>
    <w:bookmarkStart w:id="151" w:name="X80437a38a09b66a4c28427c70d302ea768c6f2b"/>
    <w:p>
      <w:pPr>
        <w:pStyle w:val="Heading1"/>
      </w:pPr>
      <w:r>
        <w:t xml:space="preserve">Chapitre 22 — Nkrumah, Lumumba, Keïta: La Première Vague</w:t>
      </w:r>
    </w:p>
    <w:p>
      <w:pPr>
        <w:pStyle w:val="FirstParagraph"/>
      </w:pPr>
      <w:r>
        <w:t xml:space="preserve">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pStyle w:val="BodyText"/>
      </w:pPr>
      <w:r>
        <w:t xml:space="preserve">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bookmarkStart w:id="146" w:name="accra-capitale-de-lafrique"/>
    <w:p>
      <w:pPr>
        <w:pStyle w:val="Heading2"/>
      </w:pPr>
      <w:r>
        <w:t xml:space="preserve">Accra, capitale de l’Afrique</w:t>
      </w:r>
    </w:p>
    <w:p>
      <w:pPr>
        <w:pStyle w:val="FirstParagraph"/>
      </w:pPr>
      <w:r>
        <w:t xml:space="preserve">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pPr>
        <w:pStyle w:val="BodyText"/>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pPr>
        <w:pStyle w:val="BodyText"/>
      </w:pPr>
      <w:r>
        <w:t xml:space="preserve">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bookmarkEnd w:id="146"/>
    <w:bookmarkStart w:id="147" w:name="boganda-le-nom-comme-programme-fédéral"/>
    <w:p>
      <w:pPr>
        <w:pStyle w:val="Heading2"/>
      </w:pPr>
      <w:r>
        <w:t xml:space="preserve">Boganda: le nom comme programme fédéral</w:t>
      </w:r>
    </w:p>
    <w:p>
      <w:pPr>
        <w:pStyle w:val="FirstParagraph"/>
      </w:pPr>
      <w:r>
        <w:t xml:space="preserve">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pPr>
        <w:pStyle w:val="BodyText"/>
      </w:pPr>
      <w:r>
        <w:t xml:space="preserve">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bookmarkEnd w:id="147"/>
    <w:bookmarkStart w:id="148" w:name="le-17-janvier-1961"/>
    <w:p>
      <w:pPr>
        <w:pStyle w:val="Heading2"/>
      </w:pPr>
      <w:r>
        <w:t xml:space="preserve">Le 17 janvier 1961</w:t>
      </w:r>
    </w:p>
    <w:p>
      <w:pPr>
        <w:pStyle w:val="FirstParagraph"/>
      </w:pPr>
      <w:r>
        <w:t xml:space="preserve">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pPr>
        <w:pStyle w:val="BodyText"/>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pPr>
        <w:pStyle w:val="BodyText"/>
      </w:pPr>
      <w:r>
        <w:t xml:space="preserve">Le message adressé au continent était limpide: un dirigeant élu qui prétend disposer des ressources de son pays peut être éliminé en six mois, et il faudra quarante ans pour qu’on s’en excuse.</w:t>
      </w:r>
    </w:p>
    <w:bookmarkEnd w:id="148"/>
    <w:bookmarkStart w:id="149" w:name="Xdb40f24b7a8b3bfcb73bccac43d32d9bbd954e1"/>
    <w:p>
      <w:pPr>
        <w:pStyle w:val="Heading2"/>
      </w:pPr>
      <w:r>
        <w:t xml:space="preserve">Modibo Keïta, le franc malien et le poignard du FLN</w:t>
      </w:r>
    </w:p>
    <w:p>
      <w:pPr>
        <w:pStyle w:val="FirstParagraph"/>
      </w:pPr>
      <w:r>
        <w:t xml:space="preserve">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pPr>
        <w:pStyle w:val="BodyText"/>
      </w:pPr>
      <w:r>
        <w:t xml:space="preserve">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pStyle w:val="BodyText"/>
      </w:pPr>
      <w:r>
        <w:t xml:space="preserve">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pStyle w:val="BodyText"/>
      </w:pPr>
      <w:r>
        <w:t xml:space="preserve">LA PREMIÈRE VAGUE — CHRONOLOGIE D’UNE ÉLIMINATION</w:t>
      </w:r>
    </w:p>
    <w:p>
      <w:pPr>
        <w:pStyle w:val="BodyText"/>
      </w:pPr>
      <w:r>
        <w:t xml:space="preserve">6 mars 1957: indépendance du Ghana, Nkrumah appelle à la libération totale du continent</w:t>
      </w:r>
    </w:p>
    <w:p>
      <w:pPr>
        <w:pStyle w:val="BodyText"/>
      </w:pPr>
      <w:r>
        <w:t xml:space="preserve">Novembre 1958: Union Ghana-Guinée, élargie au Mali en 1961</w:t>
      </w:r>
    </w:p>
    <w:p>
      <w:pPr>
        <w:pStyle w:val="BodyText"/>
      </w:pPr>
      <w:r>
        <w:t xml:space="preserve">30 juin 1960: indépendance du Congo, discours de Lumumba devant Baudouin</w:t>
      </w:r>
    </w:p>
    <w:p>
      <w:pPr>
        <w:pStyle w:val="BodyText"/>
      </w:pPr>
      <w:r>
        <w:t xml:space="preserve">17 janvier 1961: Lumumba assassiné au Katanga, à 35 ans</w:t>
      </w:r>
    </w:p>
    <w:p>
      <w:pPr>
        <w:pStyle w:val="BodyText"/>
      </w:pPr>
      <w:r>
        <w:t xml:space="preserve">1er juillet 1962: Modibo Keïta crée le franc malien et sort de la zone franc</w:t>
      </w:r>
    </w:p>
    <w:p>
      <w:pPr>
        <w:pStyle w:val="BodyText"/>
      </w:pPr>
      <w:r>
        <w:t xml:space="preserve">13 janvier 1963: Sylvanus Olympio, créateur du franc togolais, assassiné à Lomé</w:t>
      </w:r>
    </w:p>
    <w:p>
      <w:pPr>
        <w:pStyle w:val="BodyText"/>
      </w:pPr>
      <w:r>
        <w:t xml:space="preserve">Mai 1963: à Addis-Abeba, le plan continental de Nkrumah est rejeté</w:t>
      </w:r>
    </w:p>
    <w:p>
      <w:pPr>
        <w:pStyle w:val="BodyText"/>
      </w:pPr>
      <w:r>
        <w:t xml:space="preserve">24 février 1966: Nkrumah renversé pendant un voyage à l’étranger</w:t>
      </w:r>
    </w:p>
    <w:p>
      <w:pPr>
        <w:pStyle w:val="BodyText"/>
      </w:pPr>
      <w:r>
        <w:t xml:space="preserve">19 novembre 1968: Modibo Keïta renversé; il mourra en détention en 1977</w:t>
      </w:r>
    </w:p>
    <w:bookmarkEnd w:id="149"/>
    <w:bookmarkStart w:id="150" w:name="ce-que-laes-doit-aux-morts"/>
    <w:p>
      <w:pPr>
        <w:pStyle w:val="Heading2"/>
      </w:pPr>
      <w:r>
        <w:t xml:space="preserve">Ce que l’AES doit aux morts</w:t>
      </w:r>
    </w:p>
    <w:p>
      <w:pPr>
        <w:pStyle w:val="FirstParagraph"/>
      </w:pPr>
      <w:r>
        <w:t xml:space="preserve">Ce qui a été éliminé entre 1961 et 1968, ce ne sont pas des autocrates: ce sont des projets — l’unité politique, la monnaie souveraine, la défense commune.</w:t>
      </w:r>
    </w:p>
    <w:p>
      <w:pPr>
        <w:pStyle w:val="BodyText"/>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pStyle w:val="BodyText"/>
      </w:pPr>
      <w:r>
        <w:t xml:space="preserve">Entre la première vague et celle-ci, pourtant, un homme a tenté de maintenir la flamme, seul, quatre ans durant, depuis le pays le plus pauvre de la région — et c’est vers lui, vers Ouagadougou, qu’il faut maintenant se tourner.</w:t>
      </w:r>
    </w:p>
    <w:p>
      <w:r>
        <w:pict>
          <v:rect style="width:0;height:1.5pt" o:hralign="center" o:hrstd="t" o:hr="t"/>
        </w:pict>
      </w:r>
    </w:p>
    <w:bookmarkEnd w:id="150"/>
    <w:bookmarkEnd w:id="151"/>
    <w:bookmarkStart w:id="155" w:name="chapitre-23-sankara-avait-raison"/>
    <w:p>
      <w:pPr>
        <w:pStyle w:val="Heading1"/>
      </w:pPr>
      <w:r>
        <w:t xml:space="preserve">Chapitre 23 — Sankara Avait Raison</w:t>
      </w:r>
    </w:p>
    <w:p>
      <w:pPr>
        <w:pStyle w:val="FirstParagraph"/>
      </w:pPr>
      <w:r>
        <w:t xml:space="preserve">« La dette, c’est une reconquête savamment organisée. On nous a paupérisés, on nous a mis dans des conditions telles que nous sommes obligés d’aller mendier.»</w:t>
      </w:r>
    </w:p>
    <w:p>
      <w:pPr>
        <w:pStyle w:val="BodyText"/>
      </w:pPr>
      <w:r>
        <w:t xml:space="preserve">— Thomas Sankara, sommet de l’OUA, Addis-Abeba, 29 juillet 1987</w:t>
      </w:r>
    </w:p>
    <w:p>
      <w:pPr>
        <w:pStyle w:val="BodyText"/>
      </w:pPr>
      <w:r>
        <w:t xml:space="preserve">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pStyle w:val="BodyText"/>
      </w:pPr>
      <w:r>
        <w:t xml:space="preserve">Deux mois et demi plus tard, il est mort.</w:t>
      </w:r>
    </w:p>
    <w:bookmarkStart w:id="152" w:name="quatre-ans-qui-dérangent"/>
    <w:p>
      <w:pPr>
        <w:pStyle w:val="Heading2"/>
      </w:pPr>
      <w:r>
        <w:t xml:space="preserve">Quatre ans qui dérangent</w:t>
      </w:r>
    </w:p>
    <w:p>
      <w:pPr>
        <w:pStyle w:val="FirstParagraph"/>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p>
      <w:pPr>
        <w:pStyle w:val="BodyText"/>
      </w:pPr>
      <w:r>
        <w:t xml:space="preserve">LE BILAN DES QUATRE ANS (1983-1987)</w:t>
      </w:r>
    </w:p>
    <w:p>
      <w:pPr>
        <w:pStyle w:val="BodyText"/>
      </w:pPr>
      <w:r>
        <w:t xml:space="preserve">2,5 millions d’enfants vaccinés contre la rougeole, la méningite et la fièvre jaune</w:t>
      </w:r>
    </w:p>
    <w:p>
      <w:pPr>
        <w:pStyle w:val="BodyText"/>
      </w:pPr>
      <w:r>
        <w:t xml:space="preserve">10 millions d’arbres plantés contre l’avancée du désert</w:t>
      </w:r>
    </w:p>
    <w:p>
      <w:pPr>
        <w:pStyle w:val="BodyText"/>
      </w:pPr>
      <w:r>
        <w:t xml:space="preserve">Routes et chemin de fer construits sans aide extérieure</w:t>
      </w:r>
    </w:p>
    <w:p>
      <w:pPr>
        <w:pStyle w:val="BodyText"/>
      </w:pPr>
      <w:r>
        <w:t xml:space="preserve">Budget de l’État équilibré, salaire du président réduit, train de vie des ministres rogné</w:t>
      </w:r>
    </w:p>
    <w:p>
      <w:pPr>
        <w:pStyle w:val="BodyText"/>
      </w:pPr>
      <w:r>
        <w:t xml:space="preserve">La dette? Remboursable, disait-il, à condition que les créanciers viennent au Burkina expliquer eux-mêmes comment elle a été contractée</w:t>
      </w:r>
    </w:p>
    <w:p>
      <w:pPr>
        <w:pStyle w:val="BodyText"/>
      </w:pPr>
      <w:r>
        <w:t xml:space="preserve">C’est, à ce jour, le programme de souveraineté africaine le plus ambitieux jamais réalisé sur le continent. Pas proclamé: réalisé. Sankara refusait l’aide française conditionnée comme il refusait les voitures de fonction de luxe — par cohérence, pas par posture.</w:t>
      </w:r>
    </w:p>
    <w:p>
      <w:pPr>
        <w:pStyle w:val="BodyText"/>
      </w:pPr>
      <w:r>
        <w:t xml:space="preserve">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pPr>
        <w:pStyle w:val="BodyText"/>
      </w:pPr>
      <w:r>
        <w:t xml:space="preserve">Trois ans après New York, à Addis-Abeba, il ne demandait plus qu’on l’écoute: il demandait qu’on l’accompagne. Le front uni contre la dette ne s’est pas formé. La prophétie du sommet, si.</w:t>
      </w:r>
    </w:p>
    <w:bookmarkEnd w:id="152"/>
    <w:bookmarkStart w:id="153" w:name="le-15-octobre-1987"/>
    <w:p>
      <w:pPr>
        <w:pStyle w:val="Heading2"/>
      </w:pPr>
      <w:r>
        <w:t xml:space="preserve">Le 15 octobre 1987</w:t>
      </w:r>
    </w:p>
    <w:p>
      <w:pPr>
        <w:pStyle w:val="FirstParagraph"/>
      </w:pPr>
      <w:r>
        <w:t xml:space="preserve">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pPr>
        <w:pStyle w:val="BodyText"/>
      </w:pPr>
      <w:r>
        <w:t xml:space="preserve">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pPr>
        <w:pStyle w:val="BodyText"/>
      </w:pPr>
      <w:r>
        <w:t xml:space="preserve">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bookmarkEnd w:id="153"/>
    <w:bookmarkStart w:id="154" w:name="lhéritage-du-mausolée-au-treillis"/>
    <w:p>
      <w:pPr>
        <w:pStyle w:val="Heading2"/>
      </w:pPr>
      <w:r>
        <w:t xml:space="preserve">L’héritage: du mausolée au treillis</w:t>
      </w:r>
    </w:p>
    <w:p>
      <w:pPr>
        <w:pStyle w:val="FirstParagraph"/>
      </w:pPr>
      <w:r>
        <w:t xml:space="preserve">En quatre ans, sans pétrole, sans port, sans aide, un des pays les plus pauvres du monde s’était vacciné, reboisé, nourri et redressé. C’est précisément ce bilan-là qui devenait incontestable — donc insupportable.</w:t>
      </w:r>
    </w:p>
    <w:p>
      <w:pPr>
        <w:pStyle w:val="BodyText"/>
      </w:pPr>
      <w:r>
        <w:t xml:space="preserve">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pStyle w:val="BodyText"/>
      </w:pPr>
      <w:r>
        <w:t xml:space="preserve">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pPr>
        <w:pStyle w:val="BodyText"/>
      </w:pPr>
      <w:r>
        <w:t xml:space="preserve">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pict>
          <v:rect style="width:0;height:1.5pt" o:hralign="center" o:hrstd="t" o:hr="t"/>
        </w:pict>
      </w:r>
    </w:p>
    <w:bookmarkEnd w:id="154"/>
    <w:bookmarkEnd w:id="155"/>
    <w:bookmarkStart w:id="159" w:name="X69ef18c2f2a9266612d1a2abb4bd4af779032df"/>
    <w:p>
      <w:pPr>
        <w:pStyle w:val="Heading1"/>
      </w:pPr>
      <w:r>
        <w:t xml:space="preserve">Chapitre 24 — La Jeunesse Connectée, La Diaspora En Première Ligne</w:t>
      </w:r>
    </w:p>
    <w:p>
      <w:pPr>
        <w:pStyle w:val="FirstParagraph"/>
      </w:pPr>
      <w:r>
        <w:t xml:space="preserve">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pPr>
        <w:pStyle w:val="BodyText"/>
      </w:pPr>
      <w:r>
        <w:t xml:space="preserve">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bookmarkStart w:id="156" w:name="le-pays-le-plus-jeune-du-monde"/>
    <w:p>
      <w:pPr>
        <w:pStyle w:val="Heading2"/>
      </w:pPr>
      <w:r>
        <w:t xml:space="preserve">Le pays le plus jeune du monde</w:t>
      </w:r>
    </w:p>
    <w:p>
      <w:pPr>
        <w:pStyle w:val="FirstParagraph"/>
      </w:pPr>
      <w:r>
        <w:t xml:space="preserve">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pPr>
        <w:pStyle w:val="BodyText"/>
      </w:pPr>
      <w:r>
        <w:t xml:space="preserve">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bookmarkEnd w:id="156"/>
    <w:bookmarkStart w:id="157" w:name="la-diaspora-du-virement-au-front"/>
    <w:p>
      <w:pPr>
        <w:pStyle w:val="Heading2"/>
      </w:pPr>
      <w:r>
        <w:t xml:space="preserve">La diaspora: du virement au front</w:t>
      </w:r>
    </w:p>
    <w:p>
      <w:pPr>
        <w:pStyle w:val="FirstParagraph"/>
      </w:pPr>
      <w:r>
        <w:t xml:space="preserve">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pPr>
        <w:pStyle w:val="BodyText"/>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pPr>
        <w:pStyle w:val="BodyText"/>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p>
      <w:pPr>
        <w:pStyle w:val="BodyText"/>
      </w:pPr>
      <w:r>
        <w:t xml:space="preserve">JEUNESSE ET DIASPORA EN CHIFFRES</w:t>
      </w:r>
    </w:p>
    <w:p>
      <w:pPr>
        <w:pStyle w:val="BodyText"/>
      </w:pPr>
      <w:r>
        <w:t xml:space="preserve">Médiane d’âge au Sahel: moins de 18 ans (données ONU)</w:t>
      </w:r>
    </w:p>
    <w:p>
      <w:pPr>
        <w:pStyle w:val="BodyText"/>
      </w:pPr>
      <w:r>
        <w:t xml:space="preserve">Plus de 60 % des Africains ont moins de 25 ans</w:t>
      </w:r>
    </w:p>
    <w:p>
      <w:pPr>
        <w:pStyle w:val="BodyText"/>
      </w:pPr>
      <w:r>
        <w:t xml:space="preserve">Transferts de la diaspora vers l’Afrique subsaharienne: environ 40 milliards de dollars par an — très au-dessus de l’aide publique au développement (Banque mondiale)</w:t>
      </w:r>
    </w:p>
    <w:bookmarkEnd w:id="157"/>
    <w:bookmarkStart w:id="158" w:name="les-compradores-de-la-diaspora"/>
    <w:p>
      <w:pPr>
        <w:pStyle w:val="Heading2"/>
      </w:pPr>
      <w:r>
        <w:t xml:space="preserve">Les compradores de la diaspora</w:t>
      </w:r>
    </w:p>
    <w:p>
      <w:pPr>
        <w:pStyle w:val="FirstParagraph"/>
      </w:pPr>
      <w:r>
        <w:t xml:space="preserve">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pPr>
        <w:pStyle w:val="BodyText"/>
      </w:pPr>
      <w:r>
        <w:t xml:space="preserve">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pPr>
        <w:pStyle w:val="BodyText"/>
      </w:pPr>
      <w:r>
        <w:t xml:space="preserve">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r>
        <w:pict>
          <v:rect style="width:0;height:1.5pt" o:hralign="center" o:hrstd="t" o:hr="t"/>
        </w:pict>
      </w:r>
    </w:p>
    <w:bookmarkEnd w:id="158"/>
    <w:bookmarkEnd w:id="159"/>
    <w:bookmarkStart w:id="164" w:name="chapitre-25-laes-laboratoire-panafricain"/>
    <w:p>
      <w:pPr>
        <w:pStyle w:val="Heading1"/>
      </w:pPr>
      <w:r>
        <w:t xml:space="preserve">Chapitre 25 — L’Aes, Laboratoire Panafricain</w:t>
      </w:r>
    </w:p>
    <w:p>
      <w:pPr>
        <w:pStyle w:val="FirstParagraph"/>
      </w:pPr>
      <w:r>
        <w:t xml:space="preserve">« Nous ne pouvons pas combattre l’injustice venue de l’extérieur en pratiquant l’injustice à l’intérieur.»</w:t>
      </w:r>
    </w:p>
    <w:p>
      <w:pPr>
        <w:pStyle w:val="BodyText"/>
      </w:pPr>
      <w:r>
        <w:t xml:space="preserve">— Thomas Sankara, 1984</w:t>
      </w:r>
    </w:p>
    <w:p>
      <w:pPr>
        <w:pStyle w:val="BodyText"/>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pStyle w:val="BodyText"/>
      </w:pPr>
      <w:r>
        <w:t xml:space="preserve">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bookmarkStart w:id="160" w:name="X83a38b5f21422a9ffde401836176cbfbe0e20c2"/>
    <w:p>
      <w:pPr>
        <w:pStyle w:val="Heading2"/>
      </w:pPr>
      <w:r>
        <w:t xml:space="preserve">L’affaire Vésilier, ou la justice sous surveillance — africaine</w:t>
      </w:r>
    </w:p>
    <w:p>
      <w:pPr>
        <w:pStyle w:val="FirstParagraph"/>
      </w:pPr>
      <w:r>
        <w:t xml:space="preserve">La voix la plus utile dans la liesse de juin 2026 n’est pas celle d’un contradicteur de l’AES. C’est celle d’une de ses alliées les plus constantes, Nathalie Yamb:</w:t>
      </w:r>
    </w:p>
    <w:p>
      <w:pPr>
        <w:pStyle w:val="BodyText"/>
      </w:pPr>
      <w:r>
        <w:t xml:space="preserve">«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w:t>
      </w:r>
    </w:p>
    <w:p>
      <w:pPr>
        <w:pStyle w:val="BodyText"/>
      </w:pPr>
      <w:r>
        <w:t xml:space="preserve">— Nathalie Yamb, juin 2026</w:t>
      </w:r>
    </w:p>
    <w:p>
      <w:pPr>
        <w:pStyle w:val="BodyText"/>
      </w:pPr>
      <w:r>
        <w:t xml:space="preserve">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pPr>
        <w:pStyle w:val="BodyText"/>
      </w:pPr>
      <w:r>
        <w:t xml:space="preserve">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pPr>
        <w:pStyle w:val="BodyText"/>
      </w:pPr>
      <w:r>
        <w:t xml:space="preserve">Ce qui frappe ici, c’est moins le verdict que la nature du débat: la critique la plus exigeante de la justice malienne vient du camp panafricaniste lui-même. Un laboratoire qui tolère ses propres contrôleurs commence à ressembler à un laboratoire.</w:t>
      </w:r>
    </w:p>
    <w:bookmarkEnd w:id="160"/>
    <w:bookmarkStart w:id="161" w:name="la-question-démocratique-sans-esquive"/>
    <w:p>
      <w:pPr>
        <w:pStyle w:val="Heading2"/>
      </w:pPr>
      <w:r>
        <w:t xml:space="preserve">La question démocratique, sans esquive</w:t>
      </w:r>
    </w:p>
    <w:p>
      <w:pPr>
        <w:pStyle w:val="FirstParagraph"/>
      </w:pPr>
      <w:r>
        <w:t xml:space="preserve">Venons-en à la question la plus difficile pour tout observateur honnête de l’AES — celle que ce livre a différée jusqu’ici pour la traiter une fois, entièrement.</w:t>
      </w:r>
    </w:p>
    <w:p>
      <w:pPr>
        <w:pStyle w:val="BodyText"/>
      </w:pPr>
      <w:r>
        <w:t xml:space="preserve">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pStyle w:val="BodyText"/>
      </w:pPr>
      <w:r>
        <w:t xml:space="preserve">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pStyle w:val="BodyText"/>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bookmarkEnd w:id="161"/>
    <w:bookmarkStart w:id="162" w:name="X1a6b384e93e709284ce3c421f499587966ff044"/>
    <w:p>
      <w:pPr>
        <w:pStyle w:val="Heading2"/>
      </w:pPr>
      <w:r>
        <w:t xml:space="preserve">Le témoin à charge qui plaide pour la défense</w:t>
      </w:r>
    </w:p>
    <w:p>
      <w:pPr>
        <w:pStyle w:val="FirstParagraph"/>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p>
      <w:pPr>
        <w:pStyle w:val="BodyText"/>
      </w:pPr>
      <w:r>
        <w:t xml:space="preserve">LES CINQ AVEUX INVOLONTAIRES DE BAZOUM (INTERVIEW RFI/FRANCE 24)</w:t>
      </w:r>
    </w:p>
    <w:p>
      <w:pPr>
        <w:pStyle w:val="BodyText"/>
      </w:pPr>
      <w:r>
        <w:rPr>
          <w:iCs/>
          <w:i/>
        </w:rPr>
        <w:t xml:space="preserve">Le jihadisme n’est pas religieux</w:t>
      </w:r>
      <w:r>
        <w:t xml:space="preserve">: le jeune recru « n’a rien à voir avec la religion», il cherche une arme, une moto, une fierté — la rhétorique religieuse est réservée aux chefs.</w:t>
      </w:r>
    </w:p>
    <w:p>
      <w:pPr>
        <w:pStyle w:val="BodyText"/>
      </w:pPr>
      <w:r>
        <w:rPr>
          <w:iCs/>
          <w:i/>
        </w:rPr>
        <w:t xml:space="preserve">Les milices civiles armées sont dangereuses</w:t>
      </w:r>
      <w:r>
        <w:t xml:space="preserve">: « Vous donnez des armes à des civils que vous ne connaissez pratiquement pas… on voit le résultat» — validant la prudence reprochée par ailleurs aux transitions (chapitre 26).</w:t>
      </w:r>
    </w:p>
    <w:p>
      <w:pPr>
        <w:pStyle w:val="BodyText"/>
      </w:pPr>
      <w:r>
        <w:rPr>
          <w:iCs/>
          <w:i/>
        </w:rPr>
        <w:t xml:space="preserve">La pauvreté et la démographie sont la racine du recrutement</w:t>
      </w:r>
      <w:r>
        <w:t xml:space="preserve"> </w:t>
      </w:r>
      <w:r>
        <w:t xml:space="preserve">— l’analyse et ses chiffres sont détaillés au chapitre 27.</w:t>
      </w:r>
    </w:p>
    <w:p>
      <w:pPr>
        <w:pStyle w:val="BodyText"/>
      </w:pPr>
      <w:r>
        <w:rPr>
          <w:iCs/>
          <w:i/>
        </w:rPr>
        <w:t xml:space="preserve">Les ruptures seraient survenues de toute façon</w:t>
      </w:r>
      <w:r>
        <w:t xml:space="preserve">: corruption systémique, échec sécuritaire malgré les alliés français et américains, voisinage entièrement passé sous direction militaire.</w:t>
      </w:r>
    </w:p>
    <w:p>
      <w:pPr>
        <w:pStyle w:val="BodyText"/>
      </w:pPr>
      <w:r>
        <w:rPr>
          <w:iCs/>
          <w:i/>
        </w:rPr>
        <w:t xml:space="preserve">Wagner était présent avant la prise de pouvoir</w:t>
      </w:r>
      <w:r>
        <w:t xml:space="preserve">: « chevaux de Troie» infiltrés, chef de parti arrêté — démentant la fable d’une transition fabriquée par Moscou, puisque la pénétration russe existait sous son propre mandat, malgré la présence française.</w:t>
      </w:r>
    </w:p>
    <w:p>
      <w:pPr>
        <w:pStyle w:val="BodyText"/>
      </w:pPr>
      <w:r>
        <w:t xml:space="preserve">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bookmarkEnd w:id="162"/>
    <w:bookmarkStart w:id="163" w:name="fragilités-avouées-critères-posés"/>
    <w:p>
      <w:pPr>
        <w:pStyle w:val="Heading2"/>
      </w:pPr>
      <w:r>
        <w:t xml:space="preserve">Fragilités avouées, critères posés</w:t>
      </w:r>
    </w:p>
    <w:p>
      <w:pPr>
        <w:pStyle w:val="FirstParagraph"/>
      </w:pPr>
      <w:r>
        <w:t xml:space="preserve">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pPr>
        <w:pStyle w:val="BodyText"/>
      </w:pPr>
      <w:r>
        <w:t xml:space="preserve">Alors, à quoi juger l’AES? À trois questions — pas une de moins, pas une de plus.</w:t>
      </w:r>
    </w:p>
    <w:p>
      <w:pPr>
        <w:pStyle w:val="BodyText"/>
      </w:pPr>
      <w:r>
        <w:t xml:space="preserve">LE CRITÈRE DES TROIS QUESTIONS</w:t>
      </w:r>
    </w:p>
    <w:p>
      <w:pPr>
        <w:pStyle w:val="BodyText"/>
      </w:pPr>
      <w:r>
        <w:t xml:space="preserve">Les transitions produisent-elles des institutions, ou des règnes personnels?</w:t>
      </w:r>
    </w:p>
    <w:p>
      <w:pPr>
        <w:pStyle w:val="BodyText"/>
      </w:pPr>
      <w:r>
        <w:t xml:space="preserve">Les droits fondamentaux sont-ils respectés en dehors des discours?</w:t>
      </w:r>
    </w:p>
    <w:p>
      <w:pPr>
        <w:pStyle w:val="BodyText"/>
      </w:pPr>
      <w:r>
        <w:t xml:space="preserve">Les minorités sont-elles protégées?</w:t>
      </w:r>
    </w:p>
    <w:p>
      <w:pPr>
        <w:pStyle w:val="BodyText"/>
      </w:pPr>
      <w:r>
        <w:t xml:space="preserve">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pPr>
        <w:pStyle w:val="BodyText"/>
      </w:pPr>
      <w:r>
        <w:t xml:space="preserve">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pPr>
        <w:pStyle w:val="BodyText"/>
      </w:pPr>
      <w:r>
        <w:t xml:space="preserve">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pStyle w:val="BodyText"/>
      </w:pPr>
      <w:r>
        <w:t xml:space="preserve">Jusqu’ici, ce livre a raconté un arrachement. Il reste à raconter une construction.</w:t>
      </w:r>
    </w:p>
    <w:p>
      <w:pPr>
        <w:pStyle w:val="BodyText"/>
      </w:pPr>
      <w:r>
        <w:t xml:space="preserve">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pStyle w:val="BodyText"/>
      </w:pPr>
      <w:r>
        <w:t xml:space="preserve">L’histoire des ruptures africaines est pleine de commencements. Elle est plus avare de lendemains. C’est aux lendemains que cette partie est consacrée.</w:t>
      </w:r>
    </w:p>
    <w:p>
      <w:pPr>
        <w:pStyle w:val="BodyText"/>
      </w:pPr>
      <w:r>
        <w:t xml:space="preserve">Et le premier lendemain porte un nom: la sécurité.</w:t>
      </w:r>
    </w:p>
    <w:p>
      <w:r>
        <w:pict>
          <v:rect style="width:0;height:1.5pt" o:hralign="center" o:hrstd="t" o:hr="t"/>
        </w:pict>
      </w:r>
    </w:p>
    <w:bookmarkEnd w:id="163"/>
    <w:bookmarkEnd w:id="164"/>
    <w:bookmarkStart w:id="170" w:name="chapitre-26-sécurité-vaincre-sans-trahir"/>
    <w:p>
      <w:pPr>
        <w:pStyle w:val="Heading1"/>
      </w:pPr>
      <w:r>
        <w:t xml:space="preserve">Chapitre 26 — Sécurité : Vaincre Sans Trahir</w:t>
      </w:r>
    </w:p>
    <w:p>
      <w:pPr>
        <w:pStyle w:val="FirstParagraph"/>
      </w:pPr>
      <w:r>
        <w:t xml:space="preserve">« Un militaire sans formation politique est un criminel en puissance. »</w:t>
      </w:r>
    </w:p>
    <w:p>
      <w:pPr>
        <w:pStyle w:val="BodyText"/>
      </w:pPr>
      <w:r>
        <w:t xml:space="preserve">— Thomas Sankara, 2 octobre 1983</w:t>
      </w:r>
    </w:p>
    <w:p>
      <w:pPr>
        <w:pStyle w:val="BodyText"/>
      </w:pPr>
      <w:r>
        <w:t xml:space="preserve">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bookmarkStart w:id="165" w:name="le-blocus-la-guerre-par-lasphyxie"/>
    <w:p>
      <w:pPr>
        <w:pStyle w:val="Heading2"/>
      </w:pPr>
      <w:r>
        <w:t xml:space="preserve">Le blocus: la guerre par l’asphyxie</w:t>
      </w:r>
    </w:p>
    <w:p>
      <w:pPr>
        <w:pStyle w:val="FirstParagraph"/>
      </w:pPr>
      <w:r>
        <w:t xml:space="preserve">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pStyle w:val="BodyText"/>
      </w:pPr>
      <w:r>
        <w:t xml:space="preserve">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pStyle w:val="BodyText"/>
      </w:pPr>
      <w:r>
        <w:t xml:space="preserve">BLOCUS JNIM — CHRONOLOGIE</w:t>
      </w:r>
    </w:p>
    <w:p>
      <w:pPr>
        <w:pStyle w:val="BodyText"/>
      </w:pPr>
      <w:r>
        <w:t xml:space="preserve">Septembre 2025: début du blocus méthodique des convois de carburant vers le Mali</w:t>
      </w:r>
    </w:p>
    <w:p>
      <w:pPr>
        <w:pStyle w:val="BodyText"/>
      </w:pPr>
      <w:r>
        <w:t xml:space="preserve">29-30 octobre 2025: un convoi des FAMa brise le blocus — effet dissuasif immédiat sur le terrain</w:t>
      </w:r>
    </w:p>
    <w:p>
      <w:pPr>
        <w:pStyle w:val="BodyText"/>
      </w:pPr>
      <w:r>
        <w:t xml:space="preserve">9-12 novembre 2025: pic de la crise sécuritaire et énergétique</w:t>
      </w:r>
    </w:p>
    <w:p>
      <w:pPr>
        <w:pStyle w:val="BodyText"/>
      </w:pPr>
      <w:r>
        <w:t xml:space="preserve">11 novembre 2025: réouverture des écoles maliennes</w:t>
      </w:r>
    </w:p>
    <w:p>
      <w:pPr>
        <w:pStyle w:val="BodyText"/>
      </w:pPr>
      <w:r>
        <w:t xml:space="preserve">Le blocus a échoué à plier le gouvernement. Il a solidifié l’opinion contre le JNIM.</w:t>
      </w:r>
    </w:p>
    <w:p>
      <w:pPr>
        <w:pStyle w:val="BodyText"/>
      </w:pPr>
      <w:r>
        <w:t xml:space="preserve">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pPr>
        <w:pStyle w:val="BodyText"/>
      </w:pPr>
      <w:r>
        <w:t xml:space="preserve">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bookmarkEnd w:id="165"/>
    <w:bookmarkStart w:id="166" w:name="la-force-unifiée-loutil-de-la-riposte"/>
    <w:p>
      <w:pPr>
        <w:pStyle w:val="Heading2"/>
      </w:pPr>
      <w:r>
        <w:t xml:space="preserve">La Force unifiée: l’outil de la riposte</w:t>
      </w:r>
    </w:p>
    <w:p>
      <w:pPr>
        <w:pStyle w:val="FirstParagraph"/>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pPr>
        <w:pStyle w:val="BodyText"/>
      </w:pPr>
      <w:r>
        <w:t xml:space="preserve">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pPr>
        <w:pStyle w:val="BodyText"/>
      </w:pPr>
      <w:r>
        <w:t xml:space="preserve">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bookmarkEnd w:id="166"/>
    <w:bookmarkStart w:id="167" w:name="les-vdp-larme-à-double-tranchant"/>
    <w:p>
      <w:pPr>
        <w:pStyle w:val="Heading2"/>
      </w:pPr>
      <w:r>
        <w:t xml:space="preserve">Les VDP: l’arme à double tranchant</w:t>
      </w:r>
    </w:p>
    <w:p>
      <w:pPr>
        <w:pStyle w:val="FirstParagraph"/>
      </w:pPr>
      <w:r>
        <w:t xml:space="preserve">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pPr>
        <w:pStyle w:val="BodyText"/>
      </w:pPr>
      <w:r>
        <w:t xml:space="preserve">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pStyle w:val="BodyText"/>
      </w:pPr>
      <w:r>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bookmarkEnd w:id="167"/>
    <w:bookmarkStart w:id="168" w:name="le-piège-de-lamalgame"/>
    <w:p>
      <w:pPr>
        <w:pStyle w:val="Heading2"/>
      </w:pPr>
      <w:r>
        <w:t xml:space="preserve">Le piège de l’amalgame</w:t>
      </w:r>
    </w:p>
    <w:p>
      <w:pPr>
        <w:pStyle w:val="FirstParagraph"/>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pStyle w:val="BodyText"/>
      </w:pPr>
      <w:r>
        <w:t xml:space="preserve">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pStyle w:val="BodyText"/>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pPr>
        <w:pStyle w:val="BodyText"/>
      </w:pPr>
      <w:r>
        <w:t xml:space="preserve">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bookmarkEnd w:id="168"/>
    <w:bookmarkStart w:id="169" w:name="vaincre-sans-se-renier"/>
    <w:p>
      <w:pPr>
        <w:pStyle w:val="Heading2"/>
      </w:pPr>
      <w:r>
        <w:t xml:space="preserve">Vaincre sans se renier</w:t>
      </w:r>
    </w:p>
    <w:p>
      <w:pPr>
        <w:pStyle w:val="FirstParagraph"/>
      </w:pPr>
      <w:r>
        <w:t xml:space="preserve">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pPr>
        <w:pStyle w:val="BodyText"/>
      </w:pPr>
      <w:r>
        <w:t xml:space="preserve">Le projet souverain de l’AES ne peut pas être évalué qu’à l’aune de ses adversaires extérieurs. Il doit l’être aussi à l’aune de ses propres contradictions internes.</w:t>
      </w:r>
    </w:p>
    <w:p>
      <w:pPr>
        <w:pStyle w:val="BodyText"/>
      </w:pPr>
      <w:r>
        <w:t xml:space="preserve">Mais aucune armée, fût-elle fédérale, ne gagne une guerre que l’économie perd: c’est dans les champs, les usines et les salles de classe que se joue la suite.</w:t>
      </w:r>
    </w:p>
    <w:p>
      <w:r>
        <w:pict>
          <v:rect style="width:0;height:1.5pt" o:hralign="center" o:hrstd="t" o:hr="t"/>
        </w:pict>
      </w:r>
    </w:p>
    <w:bookmarkEnd w:id="169"/>
    <w:bookmarkEnd w:id="170"/>
    <w:bookmarkStart w:id="174" w:name="X1a3085759316d8d64618af7e2177f7ae7e9b95a"/>
    <w:p>
      <w:pPr>
        <w:pStyle w:val="Heading1"/>
      </w:pPr>
      <w:r>
        <w:t xml:space="preserve">Chapitre 27 — Industrialisation Et Éducation: L’Économie De Guerre Et L’Arme Des Cerveaux</w:t>
      </w:r>
    </w:p>
    <w:p>
      <w:pPr>
        <w:pStyle w:val="FirstParagraph"/>
      </w:pPr>
      <w:r>
        <w:t xml:space="preserve">« L’Empire a peur d’une Afrique armée. Il a encore plus peur d’une Afrique éduquée.»</w:t>
      </w:r>
    </w:p>
    <w:p>
      <w:pPr>
        <w:pStyle w:val="BodyText"/>
      </w:pPr>
      <w:r>
        <w:t xml:space="preserve">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bookmarkStart w:id="171" w:name="X35604b2e01ce68a8af7dc1e9f6fe4a5cd01db31"/>
    <w:p>
      <w:pPr>
        <w:pStyle w:val="Heading2"/>
      </w:pPr>
      <w:r>
        <w:t xml:space="preserve">L’économie de guerre: couper les tuyaux de l’extraction</w:t>
      </w:r>
    </w:p>
    <w:p>
      <w:pPr>
        <w:pStyle w:val="FirstParagraph"/>
      </w:pPr>
      <w:r>
        <w:t xml:space="preserve">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pPr>
        <w:pStyle w:val="BodyText"/>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pPr>
        <w:pStyle w:val="BodyText"/>
      </w:pPr>
      <w:r>
        <w:t xml:space="preserve">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p>
      <w:pPr>
        <w:pStyle w:val="BodyText"/>
      </w:pPr>
      <w:r>
        <w:t xml:space="preserve">DÉNONCIATION DES CONVENTIONS FISCALES AVEC LA FRANCE — SÉQUENCE AES</w:t>
      </w:r>
    </w:p>
    <w:p>
      <w:pPr>
        <w:pStyle w:val="BodyText"/>
      </w:pPr>
      <w:r>
        <w:t xml:space="preserve">7 août 2023: le Burkina Faso dénonce la convention fiscale franco-burkinabè</w:t>
      </w:r>
    </w:p>
    <w:p>
      <w:pPr>
        <w:pStyle w:val="BodyText"/>
      </w:pPr>
      <w:r>
        <w:t xml:space="preserve">8 novembre 2023: prise d’effet côté burkinabè et français</w:t>
      </w:r>
    </w:p>
    <w:p>
      <w:pPr>
        <w:pStyle w:val="BodyText"/>
      </w:pPr>
      <w:r>
        <w:t xml:space="preserve">5 décembre 2023: le Mali et le Niger dénoncent leurs conventions</w:t>
      </w:r>
    </w:p>
    <w:p>
      <w:pPr>
        <w:pStyle w:val="BodyText"/>
      </w:pPr>
      <w:r>
        <w:t xml:space="preserve">Conséquence: fin des exonérations sur dividendes, intérêts et redevances — retour au droit commun</w:t>
      </w:r>
    </w:p>
    <w:p>
      <w:pPr>
        <w:pStyle w:val="BodyText"/>
      </w:pPr>
      <w:r>
        <w:t xml:space="preserve">(Source: BOFiP, administration fiscale française, 17 juillet 2024)</w:t>
      </w:r>
    </w:p>
    <w:bookmarkEnd w:id="171"/>
    <w:bookmarkStart w:id="172" w:name="Xa6fd905362eb41b8e62b963379f7e7405a80862"/>
    <w:p>
      <w:pPr>
        <w:pStyle w:val="Heading2"/>
      </w:pPr>
      <w:r>
        <w:t xml:space="preserve">Transformer sur place: la règle du contenu local</w:t>
      </w:r>
    </w:p>
    <w:p>
      <w:pPr>
        <w:pStyle w:val="FirstParagraph"/>
      </w:pPr>
      <w:r>
        <w:t xml:space="preserve">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pPr>
        <w:pStyle w:val="BodyText"/>
      </w:pPr>
      <w:r>
        <w:t xml:space="preserve">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pStyle w:val="BodyText"/>
      </w:pPr>
      <w:r>
        <w:t xml:space="preserve">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bookmarkEnd w:id="172"/>
    <w:bookmarkStart w:id="173" w:name="léducation-comme-arme-de-souveraineté"/>
    <w:p>
      <w:pPr>
        <w:pStyle w:val="Heading2"/>
      </w:pPr>
      <w:r>
        <w:t xml:space="preserve">L’éducation comme arme de souveraineté</w:t>
      </w:r>
    </w:p>
    <w:p>
      <w:pPr>
        <w:pStyle w:val="FirstParagraph"/>
      </w:pPr>
      <w:r>
        <w:t xml:space="preserve">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pPr>
        <w:pStyle w:val="BodyText"/>
      </w:pPr>
      <w:r>
        <w:t xml:space="preserve">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pPr>
        <w:pStyle w:val="BodyText"/>
      </w:pPr>
      <w:r>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pPr>
        <w:pStyle w:val="BodyText"/>
      </w:pPr>
      <w:r>
        <w:t xml:space="preserve">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pPr>
        <w:pStyle w:val="BodyText"/>
      </w:pPr>
      <w:r>
        <w:t xml:space="preserve">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pStyle w:val="BodyText"/>
      </w:pPr>
      <w:r>
        <w:t xml:space="preserve">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pPr>
        <w:pStyle w:val="BodyText"/>
      </w:pPr>
      <w:r>
        <w:t xml:space="preserve">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pPr>
        <w:pStyle w:val="BodyText"/>
      </w:pPr>
      <w:r>
        <w:t xml:space="preserve">La souveraineté économique se construira donc tracteur par tracteur, atelier par atelier, école par école — avant de se construire billet par billet; et c’est précisément du billet qu’il faut maintenant parler.</w:t>
      </w:r>
    </w:p>
    <w:p>
      <w:r>
        <w:pict>
          <v:rect style="width:0;height:1.5pt" o:hralign="center" o:hrstd="t" o:hr="t"/>
        </w:pict>
      </w:r>
    </w:p>
    <w:bookmarkEnd w:id="173"/>
    <w:bookmarkEnd w:id="174"/>
    <w:bookmarkStart w:id="180" w:name="X83c55ce26eb63665d3490c9d4b77b6aef1681b7"/>
    <w:p>
      <w:pPr>
        <w:pStyle w:val="Heading1"/>
      </w:pPr>
      <w:r>
        <w:t xml:space="preserve">Chapitre 28 — La Monnaie: Briser La Chaîne Du Cfa</w:t>
      </w:r>
    </w:p>
    <w:p>
      <w:pPr>
        <w:pStyle w:val="FirstParagraph"/>
      </w:pPr>
      <w:r>
        <w:t xml:space="preserve">« La monnaie est la mère des souverainetés. Vous ne pouvez pas être souverain si vous n’avez pas de monnaie.»</w:t>
      </w:r>
    </w:p>
    <w:p>
      <w:pPr>
        <w:pStyle w:val="BodyText"/>
      </w:pPr>
      <w:r>
        <w:t xml:space="preserve">— Dr Douma Jean-René, Panafrican Média TV, 10 mai 2026</w:t>
      </w:r>
    </w:p>
    <w:p>
      <w:pPr>
        <w:pStyle w:val="BodyText"/>
      </w:pPr>
      <w:r>
        <w:t xml:space="preserve">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bookmarkStart w:id="175" w:name="Xa642d211526e38fb37a7047b8bf49778ea10ddb"/>
    <w:p>
      <w:pPr>
        <w:pStyle w:val="Heading2"/>
      </w:pPr>
      <w:r>
        <w:t xml:space="preserve">Le pari centrafricain: enjamber plutôt qu’affronter</w:t>
      </w:r>
    </w:p>
    <w:p>
      <w:pPr>
        <w:pStyle w:val="FirstParagraph"/>
      </w:pPr>
      <w:r>
        <w:t xml:space="preserve">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pStyle w:val="BodyText"/>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pStyle w:val="BodyText"/>
      </w:pPr>
      <w:r>
        <w:t xml:space="preserve">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pStyle w:val="BodyText"/>
      </w:pPr>
      <w:r>
        <w:t xml:space="preserve">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bookmarkEnd w:id="175"/>
    <w:bookmarkStart w:id="176" w:name="ce-que-léchec-enseigne"/>
    <w:p>
      <w:pPr>
        <w:pStyle w:val="Heading2"/>
      </w:pPr>
      <w:r>
        <w:t xml:space="preserve">Ce que l’échec enseigne</w:t>
      </w:r>
    </w:p>
    <w:p>
      <w:pPr>
        <w:pStyle w:val="FirstParagraph"/>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pStyle w:val="BodyText"/>
      </w:pPr>
      <w:r>
        <w:t xml:space="preserve">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bookmarkEnd w:id="176"/>
    <w:bookmarkStart w:id="177" w:name="Xe506799a656dcff931c9115d868be1d79b8c66e"/>
    <w:p>
      <w:pPr>
        <w:pStyle w:val="Heading2"/>
      </w:pPr>
      <w:r>
        <w:t xml:space="preserve">La séquence d’Amaïzo: la souveraineté dans l’ordre</w:t>
      </w:r>
    </w:p>
    <w:p>
      <w:pPr>
        <w:pStyle w:val="FirstParagraph"/>
      </w:pPr>
      <w:r>
        <w:t xml:space="preserve">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pStyle w:val="BodyText"/>
      </w:pPr>
      <w:r>
        <w:t xml:space="preserve">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pStyle w:val="BodyText"/>
      </w:pPr>
      <w:r>
        <w:t xml:space="preserve">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bookmarkEnd w:id="177"/>
    <w:bookmarkStart w:id="178" w:name="X6542cf987e65f0215217e808b252c513abc0b30"/>
    <w:p>
      <w:pPr>
        <w:pStyle w:val="Heading2"/>
      </w:pPr>
      <w:r>
        <w:t xml:space="preserve">L’Éco et la CEDEAO: réforme ou substitution?</w:t>
      </w:r>
    </w:p>
    <w:p>
      <w:pPr>
        <w:pStyle w:val="FirstParagraph"/>
      </w:pPr>
      <w:r>
        <w:t xml:space="preserve">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pStyle w:val="BodyText"/>
      </w:pPr>
      <w:r>
        <w:t xml:space="preserve">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pStyle w:val="BodyText"/>
      </w:pPr>
      <w:r>
        <w:t xml:space="preserve">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pStyle w:val="BodyText"/>
      </w:pPr>
      <w:r>
        <w:t xml:space="preserve">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pStyle w:val="BodyText"/>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bookmarkEnd w:id="178"/>
    <w:bookmarkStart w:id="179" w:name="sur-quoi-fonder-la-monnaie-de-laes"/>
    <w:p>
      <w:pPr>
        <w:pStyle w:val="Heading2"/>
      </w:pPr>
      <w:r>
        <w:t xml:space="preserve">Sur quoi fonder la monnaie de l’AES</w:t>
      </w:r>
    </w:p>
    <w:p>
      <w:pPr>
        <w:pStyle w:val="FirstParagraph"/>
      </w:pPr>
      <w:r>
        <w:t xml:space="preserve">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pStyle w:val="BodyText"/>
      </w:pPr>
      <w:r>
        <w:t xml:space="preserve">ENJEUX D’UNE MONNAIE SOUVERAINE AES</w:t>
      </w:r>
    </w:p>
    <w:p>
      <w:pPr>
        <w:pStyle w:val="BodyText"/>
      </w:pPr>
      <w:r>
        <w:t xml:space="preserve">Atouts: uranium (Niger), or (Mali), coton, pétrole (Niger) pour adosser la monnaie à des ressources réelles</w:t>
      </w:r>
    </w:p>
    <w:p>
      <w:pPr>
        <w:pStyle w:val="BodyText"/>
      </w:pPr>
      <w:r>
        <w:t xml:space="preserve">Prérequis: banque centrale AES indépendante, système de compensation inter-AES</w:t>
      </w:r>
    </w:p>
    <w:p>
      <w:pPr>
        <w:pStyle w:val="BodyText"/>
      </w:pPr>
      <w:r>
        <w:t xml:space="preserve">Leçons à méditer: Sango Coin (2022, échec technique) et $CAR (2025, −90 % le jour du lancement) — la précipitation tue</w:t>
      </w:r>
    </w:p>
    <w:p>
      <w:pPr>
        <w:pStyle w:val="BodyText"/>
      </w:pPr>
      <w:r>
        <w:t xml:space="preserve">Risques: pression inflationniste de transition, attaques spéculatives contre la nouvelle monnaie</w:t>
      </w:r>
    </w:p>
    <w:p>
      <w:pPr>
        <w:pStyle w:val="BodyText"/>
      </w:pPr>
      <w:r>
        <w:t xml:space="preserve">Horizon: Institut monétaire africain annoncé pour septembre 2026</w:t>
      </w:r>
    </w:p>
    <w:p>
      <w:pPr>
        <w:pStyle w:val="BodyText"/>
      </w:pPr>
      <w:r>
        <w:t xml:space="preserve">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pPr>
        <w:pStyle w:val="BodyText"/>
      </w:pPr>
      <w:r>
        <w:t xml:space="preserve">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pStyle w:val="BodyText"/>
      </w:pPr>
      <w:r>
        <w:t xml:space="preserve">Mais aucune monnaie ne naît dans le vide: elle naît dans un monde — et ce monde, justement, est en train de changer de maîtres.</w:t>
      </w:r>
    </w:p>
    <w:p>
      <w:r>
        <w:pict>
          <v:rect style="width:0;height:1.5pt" o:hralign="center" o:hrstd="t" o:hr="t"/>
        </w:pict>
      </w:r>
    </w:p>
    <w:bookmarkEnd w:id="179"/>
    <w:bookmarkEnd w:id="180"/>
    <w:bookmarkStart w:id="186" w:name="Xf832e84683767b4b37f930bfc0195f61e79374f"/>
    <w:p>
      <w:pPr>
        <w:pStyle w:val="Heading1"/>
      </w:pPr>
      <w:r>
        <w:t xml:space="preserve">Chapitre 29 — Le Monde Multipolaire: Partenaires Ou Nouveaux Maîtres?</w:t>
      </w:r>
    </w:p>
    <w:p>
      <w:pPr>
        <w:pStyle w:val="FirstParagraph"/>
      </w:pPr>
      <w:r>
        <w:t xml:space="preserve">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pStyle w:val="BodyText"/>
      </w:pPr>
      <w:r>
        <w:t xml:space="preserve">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pStyle w:val="BodyText"/>
      </w:pPr>
      <w:r>
        <w:t xml:space="preserve">PARTENARIATS AES — PHASE 2 (2022-2026)</w:t>
      </w:r>
    </w:p>
    <w:p>
      <w:pPr>
        <w:pStyle w:val="BodyText"/>
      </w:pPr>
      <w:r>
        <w:t xml:space="preserve">Russie (Africa Corps, ex-Wagner): instructeurs, hélicoptères Mi-8/Mi-35, présence terrain</w:t>
      </w:r>
    </w:p>
    <w:p>
      <w:pPr>
        <w:pStyle w:val="BodyText"/>
      </w:pPr>
      <w:r>
        <w:t xml:space="preserve">Chine: infrastructures, surveillance numérique, accords commerciaux — présence moins interventionniste</w:t>
      </w:r>
    </w:p>
    <w:p>
      <w:pPr>
        <w:pStyle w:val="BodyText"/>
      </w:pPr>
      <w:r>
        <w:t xml:space="preserve">Turquie: drones Bayraktar TB2, accords avec le Mali et le Niger — position plus discrète</w:t>
      </w:r>
    </w:p>
    <w:p>
      <w:pPr>
        <w:pStyle w:val="BodyText"/>
      </w:pPr>
      <w:r>
        <w:t xml:space="preserve">BRICS: délégation à Ouagadougou (juin 2023), six semaines avant la transition nigérienne</w:t>
      </w:r>
    </w:p>
    <w:bookmarkStart w:id="181" w:name="Xdaca5b3be12e09b4aa8bc719ae06ce5079bf428"/>
    <w:p>
      <w:pPr>
        <w:pStyle w:val="Heading2"/>
      </w:pPr>
      <w:r>
        <w:t xml:space="preserve">La Russie: l’allié encombrant et l’argument inattendu</w:t>
      </w:r>
    </w:p>
    <w:p>
      <w:pPr>
        <w:pStyle w:val="FirstParagraph"/>
      </w:pPr>
      <w:r>
        <w:t xml:space="preserve">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pStyle w:val="BodyText"/>
      </w:pPr>
      <w:r>
        <w:t xml:space="preserve">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BodyText"/>
      </w:pPr>
      <w:r>
        <w:t xml:space="preserve">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bookmarkEnd w:id="181"/>
    <w:bookmarkStart w:id="182" w:name="X83290257d7752a4b452b711a67059176aa897d7"/>
    <w:p>
      <w:pPr>
        <w:pStyle w:val="Heading2"/>
      </w:pPr>
      <w:r>
        <w:t xml:space="preserve">La Chine: le partenaire qu’on peut sanctionner</w:t>
      </w:r>
    </w:p>
    <w:p>
      <w:pPr>
        <w:pStyle w:val="FirstParagraph"/>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pStyle w:val="BodyText"/>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bookmarkEnd w:id="182"/>
    <w:bookmarkStart w:id="183" w:name="X31e26d48cd0808de36797c7be3ff73faf9b452e"/>
    <w:p>
      <w:pPr>
        <w:pStyle w:val="Heading2"/>
      </w:pPr>
      <w:r>
        <w:t xml:space="preserve">La Turquie: le partenaire qui livre avant d’être payé</w:t>
      </w:r>
    </w:p>
    <w:p>
      <w:pPr>
        <w:pStyle w:val="FirstParagraph"/>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pStyle w:val="BodyText"/>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pStyle w:val="BodyText"/>
      </w:pPr>
      <w:r>
        <w:t xml:space="preserve">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pStyle w:val="BodyText"/>
      </w:pPr>
      <w:r>
        <w:t xml:space="preserve">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BodyText"/>
      </w:pPr>
      <w:r>
        <w:t xml:space="preserve">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pStyle w:val="BodyText"/>
      </w:pPr>
      <w:r>
        <w:t xml:space="preserve">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bookmarkEnd w:id="183"/>
    <w:bookmarkStart w:id="184" w:name="X423055a043ded811a055f34dc806cb263be9553"/>
    <w:p>
      <w:pPr>
        <w:pStyle w:val="Heading2"/>
      </w:pPr>
      <w:r>
        <w:t xml:space="preserve">Les États-Unis: le pragmatisme et la fenêtre</w:t>
      </w:r>
    </w:p>
    <w:p>
      <w:pPr>
        <w:pStyle w:val="FirstParagraph"/>
      </w:pPr>
      <w:r>
        <w:t xml:space="preserve">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pStyle w:val="BodyText"/>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bookmarkEnd w:id="184"/>
    <w:bookmarkStart w:id="185" w:name="X510df5565712244201e6f1ac0c23ac5304c1512"/>
    <w:p>
      <w:pPr>
        <w:pStyle w:val="Heading2"/>
      </w:pPr>
      <w:r>
        <w:t xml:space="preserve">Les BRICS: contourner plutôt que combattre</w:t>
      </w:r>
    </w:p>
    <w:p>
      <w:pPr>
        <w:pStyle w:val="FirstParagraph"/>
      </w:pPr>
      <w:r>
        <w:t xml:space="preserve">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pStyle w:val="BodyText"/>
      </w:pPr>
      <w:r>
        <w:t xml:space="preserve">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pStyle w:val="BodyText"/>
      </w:pPr>
      <w:r>
        <w:t xml:space="preserve">Mais pendant que l’Alliance choisit ses nouveaux partenaires, l’ancienne puissance, elle, n’a pas disparu: elle se recompose — et c’est cette métamorphose qu’il faut maintenant regarder en face.</w:t>
      </w:r>
    </w:p>
    <w:p>
      <w:r>
        <w:pict>
          <v:rect style="width:0;height:1.5pt" o:hralign="center" o:hrstd="t" o:hr="t"/>
        </w:pict>
      </w:r>
    </w:p>
    <w:bookmarkEnd w:id="185"/>
    <w:bookmarkEnd w:id="186"/>
    <w:bookmarkStart w:id="194" w:name="X0c705aaa9ef3a444d24e3251363d0626dd93afa"/>
    <w:p>
      <w:pPr>
        <w:pStyle w:val="Heading1"/>
      </w:pPr>
      <w:r>
        <w:t xml:space="preserve">Chapitre 30 — France-Afrique 2.0: La Recomposition De La Domination</w:t>
      </w:r>
    </w:p>
    <w:p>
      <w:pPr>
        <w:pStyle w:val="FirstParagraph"/>
      </w:pPr>
      <w:r>
        <w:t xml:space="preserve">« Autrefois, Paris parlait à l’Afrique. Désormais, elle doit convaincre l’Afrique.»</w:t>
      </w:r>
    </w:p>
    <w:p>
      <w:pPr>
        <w:pStyle w:val="BodyText"/>
      </w:pPr>
      <w:r>
        <w:t xml:space="preserve">— Jonathan Batenguène, Panafrican Média TV, 10 mai 2026</w:t>
      </w:r>
    </w:p>
    <w:p>
      <w:pPr>
        <w:pStyle w:val="BodyText"/>
      </w:pPr>
      <w:r>
        <w:t xml:space="preserve">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pStyle w:val="BodyText"/>
      </w:pPr>
      <w:r>
        <w:t xml:space="preserve">C’est toute la thèse de ce chapitre: la France ne disparaît pas du continent. Elle se recompose — moins militaire, plus économique, technologique et culturelle. La recomposition ne change pas l’objectif. Elle change l’instrument.</w:t>
      </w:r>
    </w:p>
    <w:bookmarkStart w:id="187" w:name="X1384fadab092754c434473d1874d75c5acf8b22"/>
    <w:p>
      <w:pPr>
        <w:pStyle w:val="Heading2"/>
      </w:pPr>
      <w:r>
        <w:t xml:space="preserve">Les États pivots: déplacer le centre de gravité</w:t>
      </w:r>
    </w:p>
    <w:p>
      <w:pPr>
        <w:pStyle w:val="FirstParagraph"/>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pStyle w:val="BodyText"/>
      </w:pPr>
      <w:r>
        <w:t xml:space="preserve">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bookmarkEnd w:id="187"/>
    <w:bookmarkStart w:id="188" w:name="X0abf24395185b3e85ca0d48b8a4e0ea7f549603"/>
    <w:p>
      <w:pPr>
        <w:pStyle w:val="Heading2"/>
      </w:pPr>
      <w:r>
        <w:t xml:space="preserve">Air France, ou l’entreprise comme arme politique</w:t>
      </w:r>
    </w:p>
    <w:p>
      <w:pPr>
        <w:pStyle w:val="FirstParagraph"/>
      </w:pPr>
      <w:r>
        <w:t xml:space="preserve">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pStyle w:val="BodyText"/>
      </w:pPr>
      <w:r>
        <w:t xml:space="preserve">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BodyText"/>
      </w:pPr>
      <w:r>
        <w:t xml:space="preserve">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bookmarkEnd w:id="188"/>
    <w:bookmarkStart w:id="189" w:name="la-francophonie-le-dernier-empire"/>
    <w:p>
      <w:pPr>
        <w:pStyle w:val="Heading2"/>
      </w:pPr>
      <w:r>
        <w:t xml:space="preserve">La Francophonie: le dernier empire</w:t>
      </w:r>
    </w:p>
    <w:p>
      <w:pPr>
        <w:pStyle w:val="FirstParagraph"/>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pStyle w:val="BodyText"/>
      </w:pPr>
      <w:r>
        <w:t xml:space="preserve">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pPr>
        <w:pStyle w:val="BodyText"/>
      </w:pPr>
      <w:r>
        <w:t xml:space="preserve">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pStyle w:val="BodyText"/>
      </w:pPr>
      <w:r>
        <w:t xml:space="preserve">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pStyle w:val="BodyText"/>
      </w:pPr>
      <w:r>
        <w:t xml:space="preserve">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BodyText"/>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pStyle w:val="BodyText"/>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pStyle w:val="BodyText"/>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bookmarkEnd w:id="189"/>
    <w:bookmarkStart w:id="190" w:name="X56332d80decc5c005f1a16de917faf783177a00"/>
    <w:p>
      <w:pPr>
        <w:pStyle w:val="Heading2"/>
      </w:pPr>
      <w:r>
        <w:t xml:space="preserve">Montpellier 2021: la société civile comme instrument</w:t>
      </w:r>
    </w:p>
    <w:p>
      <w:pPr>
        <w:pStyle w:val="FirstParagraph"/>
      </w:pPr>
      <w:r>
        <w:t xml:space="preserve">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pStyle w:val="BodyText"/>
      </w:pPr>
      <w:r>
        <w:t xml:space="preserve">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pStyle w:val="BodyText"/>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pStyle w:val="BodyText"/>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pStyle w:val="BodyText"/>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bookmarkEnd w:id="190"/>
    <w:bookmarkStart w:id="191" w:name="X78f3ae4e6648a78bfb48b9c0857526b9252851e"/>
    <w:p>
      <w:pPr>
        <w:pStyle w:val="Heading2"/>
      </w:pPr>
      <w:r>
        <w:t xml:space="preserve">Le sommet diaspora, ou le recyclage des paradigmes</w:t>
      </w:r>
    </w:p>
    <w:p>
      <w:pPr>
        <w:pStyle w:val="FirstParagraph"/>
      </w:pPr>
      <w:r>
        <w:t xml:space="preserve">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pStyle w:val="BodyText"/>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pStyle w:val="BodyText"/>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pStyle w:val="BodyText"/>
      </w:pPr>
      <w:r>
        <w:t xml:space="preserve">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pStyle w:val="BodyText"/>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pStyle w:val="BodyText"/>
      </w:pPr>
      <w:r>
        <w:t xml:space="preserve">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bookmarkEnd w:id="191"/>
    <w:bookmarkStart w:id="192" w:name="larrogance-comme-doctrine"/>
    <w:p>
      <w:pPr>
        <w:pStyle w:val="Heading2"/>
      </w:pPr>
      <w:r>
        <w:t xml:space="preserve">L’arrogance comme doctrine</w:t>
      </w:r>
    </w:p>
    <w:p>
      <w:pPr>
        <w:pStyle w:val="FirstParagraph"/>
      </w:pPr>
      <w:r>
        <w:t xml:space="preserve">Reste le dernier instrument, le plus révélateur parce qu’il est involontaire: le mépris. Il n’est pas un accident de parcours dans la relation franco-africaine. Il est structurel, répété, institutionnalisé — sa constance sur deux siècles est elle-même une donnée.</w:t>
      </w:r>
    </w:p>
    <w:p>
      <w:pPr>
        <w:pStyle w:val="BodyText"/>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pStyle w:val="BodyText"/>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pStyle w:val="BodyText"/>
      </w:pPr>
      <w:r>
        <w:t xml:space="preserve">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pStyle w:val="BodyText"/>
      </w:pPr>
      <w:r>
        <w:t xml:space="preserve">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bookmarkEnd w:id="192"/>
    <w:bookmarkStart w:id="193" w:name="X333edea541b3bc8228565594a473a7e5bb417e7"/>
    <w:p>
      <w:pPr>
        <w:pStyle w:val="Heading2"/>
      </w:pPr>
      <w:r>
        <w:t xml:space="preserve">La séquence de Nairobi, mai 2026, au crible des faits</w:t>
      </w:r>
    </w:p>
    <w:p>
      <w:pPr>
        <w:pStyle w:val="FirstParagraph"/>
      </w:pPr>
      <w:r>
        <w:t xml:space="preserve">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pStyle w:val="BodyText"/>
      </w:pPr>
      <w:r>
        <w:t xml:space="preserve">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pStyle w:val="BodyText"/>
      </w:pPr>
      <w:r>
        <w:t xml:space="preserve">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pStyle w:val="BodyText"/>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pStyle w:val="BodyText"/>
      </w:pPr>
      <w:r>
        <w:t xml:space="preserve">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pStyle w:val="BodyText"/>
      </w:pPr>
      <w:r>
        <w:t xml:space="preserve">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pStyle w:val="BodyText"/>
      </w:pPr>
      <w:r>
        <w:t xml:space="preserve">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pStyle w:val="BodyText"/>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pStyle w:val="BodyText"/>
      </w:pPr>
      <w:r>
        <w:t xml:space="preserve">L’INTERVIEW DU 12 MAI, AU CRIBLE DES FAITS</w:t>
      </w:r>
    </w:p>
    <w:p>
      <w:pPr>
        <w:pStyle w:val="BodyText"/>
      </w:pPr>
      <w:r>
        <w:t xml:space="preserve">« Venue à la demande de Keïta» en 2013: Serval démarre avant l’élection de Keïta; plan Sahel décidé dès 2008-2009 (ch. 15)</w:t>
      </w:r>
    </w:p>
    <w:p>
      <w:pPr>
        <w:pStyle w:val="BodyText"/>
      </w:pPr>
      <w:r>
        <w:t xml:space="preserve">« Terroristes venus du nord»: armes issues des arsenaux libyens de 2011, ouverts par l’intervention franco-otanienne (ch. 11)</w:t>
      </w:r>
    </w:p>
    <w:p>
      <w:pPr>
        <w:pStyle w:val="BodyText"/>
      </w:pPr>
      <w:r>
        <w:t xml:space="preserve">Kidal reprochée à la transition: interdite aux FAMa par l’armée française en 2013, reprise par les FAMa en 2023 (ch. 16)</w:t>
      </w:r>
    </w:p>
    <w:p>
      <w:pPr>
        <w:pStyle w:val="BodyText"/>
      </w:pPr>
      <w:r>
        <w:t xml:space="preserve">« Milices russes préférées à l’antiterrorisme»: c’est le général Burkhard qui range FAMa et Wagner dos à dos (ch. 15)</w:t>
      </w:r>
    </w:p>
    <w:p>
      <w:pPr>
        <w:pStyle w:val="BodyText"/>
      </w:pPr>
      <w:r>
        <w:t xml:space="preserve">« Ingratitude»: aveu d’un rapport de force perdu; zones jihadistes triplées en sept ans de Barkhane (ch. 13)</w:t>
      </w:r>
    </w:p>
    <w:p>
      <w:pPr>
        <w:pStyle w:val="BodyText"/>
      </w:pPr>
      <w:r>
        <w:t xml:space="preserve">« Fausses informations»: l’appui ex-légionnaires/GUR confirmé par une source sécuritaire française sur RTL, non démenti (ch. 20)</w:t>
      </w:r>
    </w:p>
    <w:p>
      <w:pPr>
        <w:pStyle w:val="BodyText"/>
      </w:pPr>
      <w:r>
        <w:t xml:space="preserve">« Partenariat à parité, bases renommées»: définition même de la recomposition; présence française expulsée, non renégociée (ch. 29)</w:t>
      </w:r>
    </w:p>
    <w:p>
      <w:pPr>
        <w:pStyle w:val="BodyText"/>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pStyle w:val="BodyText"/>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pStyle w:val="BodyText"/>
      </w:pPr>
      <w:r>
        <w:t xml:space="preserve">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pStyle w:val="BodyText"/>
      </w:pPr>
      <w:r>
        <w:t xml:space="preserve">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pStyle w:val="BodyText"/>
      </w:pPr>
      <w:r>
        <w:t xml:space="preserve">LE SOMMET D’AFRICA FORWARD, AU CRIBLE DES FAITS</w:t>
      </w:r>
    </w:p>
    <w:p>
      <w:pPr>
        <w:pStyle w:val="BodyText"/>
      </w:pPr>
      <w:r>
        <w:t xml:space="preserve">Afrique du Sud absente: Ramaphosa désinvité au profit du Kenya, sous pression américaine selon des sources que Paris dément — une puissance qui n’arbitre plus seule</w:t>
      </w:r>
    </w:p>
    <w:p>
      <w:pPr>
        <w:pStyle w:val="BodyText"/>
      </w:pPr>
      <w:r>
        <w:t xml:space="preserve">« Jamais un pré carré»: la quête d’« États pivots» anglophones avoue le pré carré perdu qu’elle cherche à remplacer</w:t>
      </w:r>
    </w:p>
    <w:p>
      <w:pPr>
        <w:pStyle w:val="BodyText"/>
      </w:pPr>
      <w:r>
        <w:t xml:space="preserve">« Nous sommes les vrais panafricanistes»: on revendique le mot quand on l’a perdu (Banda Kani; Djerba, 2022)</w:t>
      </w:r>
    </w:p>
    <w:p>
      <w:pPr>
        <w:pStyle w:val="BodyText"/>
      </w:pPr>
      <w:r>
        <w:t xml:space="preserve">« Ni faire ni défaire les gouvernements depuis 2017»: démenti par Quignolot, Vésilier, les 5 milliards burkinabè, l’armée fantôme (ch. 20)</w:t>
      </w:r>
    </w:p>
    <w:p>
      <w:pPr>
        <w:pStyle w:val="BodyText"/>
      </w:pPr>
      <w:r>
        <w:t xml:space="preserve">« On aime les peuples, pas les régimes»: le procédé « société civile» de Montpellier 2021, reconduit à l’échelle continentale</w:t>
      </w:r>
    </w:p>
    <w:p>
      <w:pPr>
        <w:pStyle w:val="BodyText"/>
      </w:pPr>
      <w:r>
        <w:t xml:space="preserve">Loi de restitution des biens culturels: acte réel, mais levier le moins coûteux — n’engage ni le CFA, ni les contrats, ni la guerre proxy</w:t>
      </w:r>
    </w:p>
    <w:p>
      <w:pPr>
        <w:pStyle w:val="BodyText"/>
      </w:pPr>
      <w:r>
        <w:t xml:space="preserve">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pStyle w:val="BodyText"/>
      </w:pPr>
      <w:r>
        <w:t xml:space="preserve">Derrière ce mépris de façade, pourtant, il y a autre chose — une peur, profonde et documentée; et c’est en l’anatomisant qu’on découvre ce que l’AES doit réussir pour survivre.</w:t>
      </w:r>
    </w:p>
    <w:p>
      <w:r>
        <w:pict>
          <v:rect style="width:0;height:1.5pt" o:hralign="center" o:hrstd="t" o:hr="t"/>
        </w:pict>
      </w:r>
    </w:p>
    <w:bookmarkEnd w:id="193"/>
    <w:bookmarkEnd w:id="194"/>
    <w:bookmarkStart w:id="199" w:name="Xaa7b64ca6e91b3475f41bd4a237b0d8154a2981"/>
    <w:p>
      <w:pPr>
        <w:pStyle w:val="Heading1"/>
      </w:pPr>
      <w:r>
        <w:t xml:space="preserve">Chapitre 31 — Ce Que L’Aes Doit Réussir Pour Survivre</w:t>
      </w:r>
    </w:p>
    <w:p>
      <w:pPr>
        <w:pStyle w:val="FirstParagraph"/>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bookmarkStart w:id="195" w:name="anatomie-dune-peur"/>
    <w:p>
      <w:pPr>
        <w:pStyle w:val="Heading2"/>
      </w:pPr>
      <w:r>
        <w:t xml:space="preserve">Anatomie d’une peur</w:t>
      </w:r>
    </w:p>
    <w:p>
      <w:pPr>
        <w:pStyle w:val="FirstParagraph"/>
      </w:pPr>
      <w:r>
        <w:t xml:space="preserve">Derrière le discours de puissance occidental, il y a la peur. Pas celle des terroristes, ni même de la Russie ou de la Chine. La peur profonde, structurelle: celle d’un monde qui ne tourne plus autour de lui.</w:t>
      </w:r>
    </w:p>
    <w:p>
      <w:pPr>
        <w:pStyle w:val="BodyText"/>
      </w:pPr>
      <w: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pStyle w:val="BodyText"/>
      </w:pPr>
      <w:r>
        <w:t xml:space="preserve">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pStyle w:val="BodyText"/>
      </w:pPr>
      <w:r>
        <w:t xml:space="preserve">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bookmarkEnd w:id="195"/>
    <w:bookmarkStart w:id="196" w:name="la-feuille-de-route-implicite"/>
    <w:p>
      <w:pPr>
        <w:pStyle w:val="Heading2"/>
      </w:pPr>
      <w:r>
        <w:t xml:space="preserve">La feuille de route implicite</w:t>
      </w:r>
    </w:p>
    <w:p>
      <w:pPr>
        <w:pStyle w:val="FirstParagraph"/>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pStyle w:val="BodyText"/>
      </w:pPr>
      <w:r>
        <w:t xml:space="preserve">D’où le double tableau qui suit — sans doute le plus important de ce livre, parce qu’il ne juge pas l’AES sur ses intentions, mais sur des critères vérifiables.</w:t>
      </w:r>
    </w:p>
    <w:p>
      <w:pPr>
        <w:pStyle w:val="BodyText"/>
      </w:pPr>
      <w:r>
        <w:t xml:space="preserve">CONDITIONS POSSIBLES DE L’ÉCHEC</w:t>
      </w:r>
    </w:p>
    <w:p>
      <w:pPr>
        <w:pStyle w:val="BodyText"/>
      </w:pPr>
      <w:r>
        <w:t xml:space="preserve">Personnalisation du pouvoir: des transitions devenant des règnes personnels permanents, sans calendrier de sortie</w:t>
      </w:r>
    </w:p>
    <w:p>
      <w:pPr>
        <w:pStyle w:val="BodyText"/>
      </w:pPr>
      <w:r>
        <w:t xml:space="preserve">Compradorisme militaire: des élites en uniforme reproduisant les logiques des élites civiles qu’elles ont remplacées</w:t>
      </w:r>
    </w:p>
    <w:p>
      <w:pPr>
        <w:pStyle w:val="BodyText"/>
      </w:pPr>
      <w:r>
        <w:t xml:space="preserve">Dépendance russe: le remplacement d’une tutelle par une autre, même à des conditions différentes</w:t>
      </w:r>
    </w:p>
    <w:p>
      <w:pPr>
        <w:pStyle w:val="BodyText"/>
      </w:pPr>
      <w:r>
        <w:t xml:space="preserve">Fractures internes: la violence contre les minorités, créant guerres civiles et terreau de recrutement jihadiste</w:t>
      </w:r>
    </w:p>
    <w:p>
      <w:pPr>
        <w:pStyle w:val="BodyText"/>
      </w:pPr>
      <w:r>
        <w:t xml:space="preserve">Échec sécuritaire: l’incapacité à protéger les populations au-delà des grandes villes</w:t>
      </w:r>
    </w:p>
    <w:p>
      <w:pPr>
        <w:pStyle w:val="BodyText"/>
      </w:pPr>
      <w:r>
        <w:t xml:space="preserve">Échec économique: sanctions et gestion déficiente débouchant sur une crise alimentaire qui délégitime les transitions</w:t>
      </w:r>
    </w:p>
    <w:p>
      <w:pPr>
        <w:pStyle w:val="BodyText"/>
      </w:pPr>
      <w:r>
        <w:t xml:space="preserve">CONDITIONS NÉCESSAIRES AU SUCCÈS</w:t>
      </w:r>
    </w:p>
    <w:p>
      <w:pPr>
        <w:pStyle w:val="BodyText"/>
      </w:pPr>
      <w:r>
        <w:t xml:space="preserve">Transition démocratique programmée: calendrier clair, institutions civiles, élections dotées d’une représentativité réelle</w:t>
      </w:r>
    </w:p>
    <w:p>
      <w:pPr>
        <w:pStyle w:val="BodyText"/>
      </w:pPr>
      <w:r>
        <w:t xml:space="preserve">Transparence budgétaire: publication des comptes, lutte contre la corruption interne</w:t>
      </w:r>
    </w:p>
    <w:p>
      <w:pPr>
        <w:pStyle w:val="BodyText"/>
      </w:pPr>
      <w:r>
        <w:t xml:space="preserve">Souveraineté monétaire: une stratégie de transition crédible, avec gestion des risques inflationnistes</w:t>
      </w:r>
    </w:p>
    <w:p>
      <w:pPr>
        <w:pStyle w:val="BodyText"/>
      </w:pPr>
      <w:r>
        <w:t xml:space="preserve">Diversification stratégique: ne pas répéter avec Moscou ou Pékin ce qui a été fait avec Paris</w:t>
      </w:r>
    </w:p>
    <w:p>
      <w:pPr>
        <w:pStyle w:val="BodyText"/>
      </w:pPr>
      <w:r>
        <w:t xml:space="preserve">Justice interne: protection des minorités, redevabilité des forces de sécurité</w:t>
      </w:r>
    </w:p>
    <w:p>
      <w:pPr>
        <w:pStyle w:val="BodyText"/>
      </w:pPr>
      <w:r>
        <w:t xml:space="preserve">Mobilisation de la diaspora: politiques actives d’investissement et de retour des compétences</w:t>
      </w:r>
    </w:p>
    <w:p>
      <w:pPr>
        <w:pStyle w:val="BodyText"/>
      </w:pPr>
      <w:r>
        <w:t xml:space="preserve">Service militaire élargi: selon Nathalie Yamb, un outil de conscientisation citoyenne, pas seulement de défense</w:t>
      </w:r>
    </w:p>
    <w:p>
      <w:pPr>
        <w:pStyle w:val="BodyText"/>
      </w:pPr>
      <w:r>
        <w:t xml:space="preserve">Dialogue permanent: maintenir les canaux de négociation même en temps de guerre; « La guerre n’empêche pas le dialogue » (Patient Parfait Ndoum, For You Media Africa, 8 juin 2026)</w:t>
      </w:r>
    </w:p>
    <w:p>
      <w:pPr>
        <w:pStyle w:val="BodyText"/>
      </w:pPr>
      <w:r>
        <w:t xml:space="preserve">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bookmarkEnd w:id="196"/>
    <w:bookmarkStart w:id="197" w:name="les-quatre-leviers-de-la-transformation"/>
    <w:p>
      <w:pPr>
        <w:pStyle w:val="Heading2"/>
      </w:pPr>
      <w:r>
        <w:t xml:space="preserve">Les quatre leviers de la transformation</w:t>
      </w:r>
    </w:p>
    <w:p>
      <w:pPr>
        <w:pStyle w:val="FirstParagraph"/>
      </w:pPr>
      <w:r>
        <w:t xml:space="preserve">L’Hiver Noir dont parle Ibrahim Traoré n’est pas une métaphore — c’est un programme. Pour le traverser, l’AES doit actionner simultanément quatre leviers que la logique de dépendance avait, depuis soixante ans, verrouillés l’un après l’autre.</w:t>
      </w:r>
    </w:p>
    <w:p>
      <w:pPr>
        <w:pStyle w:val="BodyText"/>
      </w:pPr>
      <w:r>
        <w:t xml:space="preserve">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pStyle w:val="BodyText"/>
      </w:pPr>
      <w:r>
        <w:t xml:space="preserve">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pStyle w:val="BodyText"/>
      </w:pPr>
      <w:r>
        <w:t xml:space="preserve">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pStyle w:val="BodyText"/>
      </w:pPr>
      <w:r>
        <w:t xml:space="preserve">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pStyle w:val="BodyText"/>
      </w:pPr>
      <w:r>
        <w:t xml:space="preserve">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bookmarkEnd w:id="197"/>
    <w:bookmarkStart w:id="198" w:name="le-point-de-départ-pas-le-point-darrivée"/>
    <w:p>
      <w:pPr>
        <w:pStyle w:val="Heading2"/>
      </w:pPr>
      <w:r>
        <w:t xml:space="preserve">Le point de départ, pas le point d’arrivée</w:t>
      </w:r>
    </w:p>
    <w:p>
      <w:pPr>
        <w:pStyle w:val="FirstParagraph"/>
      </w:pPr>
      <w:r>
        <w:t xml:space="preserve">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pStyle w:val="BodyText"/>
      </w:pPr>
      <w:r>
        <w:t xml:space="preserve">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pStyle w:val="BodyText"/>
      </w:pPr>
      <w:r>
        <w:t xml:space="preserve">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pStyle w:val="BodyText"/>
      </w:pPr>
      <w:r>
        <w:t xml:space="preserve">L’arrachement a eu lieu. La consolidation reste à faire, et ses critères sont désormais posés, noir sur blanc, vérifiables par quiconque — amis comme adversaires.</w:t>
      </w:r>
    </w:p>
    <w:p>
      <w:pPr>
        <w:pStyle w:val="BodyText"/>
      </w:pPr>
      <w:r>
        <w:t xml:space="preserve">Il ne reste plus qu’à revenir là où tout a commencé: dans une villa de Niamey, devant un tableau blanc et cinq mots.</w:t>
      </w:r>
    </w:p>
    <w:p>
      <w:r>
        <w:pict>
          <v:rect style="width:0;height:1.5pt" o:hralign="center" o:hrstd="t" o:hr="t"/>
        </w:pict>
      </w:r>
    </w:p>
    <w:bookmarkEnd w:id="198"/>
    <w:bookmarkEnd w:id="199"/>
    <w:bookmarkStart w:id="200" w:name="conclusion-retour-à-la-villa-de-niamey"/>
    <w:p>
      <w:pPr>
        <w:pStyle w:val="Heading1"/>
      </w:pPr>
      <w:r>
        <w:t xml:space="preserve">Conclusion — Retour À La Villa De Niamey</w:t>
      </w:r>
    </w:p>
    <w:p>
      <w:pPr>
        <w:pStyle w:val="FirstParagraph"/>
      </w:pPr>
      <w:r>
        <w:t xml:space="preserve">Nous voici revenus au point de départ. Une villa de Niamey. Un tableau blanc. Cinq mots.</w:t>
      </w:r>
    </w:p>
    <w:p>
      <w:pPr>
        <w:pStyle w:val="BodyText"/>
      </w:pPr>
      <w:r>
        <w:t xml:space="preserve">La paix, on peut l’éviter.</w:t>
      </w:r>
    </w:p>
    <w:p>
      <w:pPr>
        <w:pStyle w:val="BodyText"/>
      </w:pPr>
      <w:r>
        <w:t xml:space="preserve">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pPr>
        <w:pStyle w:val="BodyText"/>
      </w:pPr>
      <w:r>
        <w:t xml:space="preserve">Cette phrase était une stratégie. Elle était aussi une erreur de calcul monumentale. Ses auteurs ont sous-estimé trois choses.</w:t>
      </w:r>
    </w:p>
    <w:p>
      <w:pPr>
        <w:pStyle w:val="BodyText"/>
      </w:pPr>
      <w:r>
        <w:t xml:space="preserve">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pPr>
        <w:pStyle w:val="BodyText"/>
      </w:pPr>
      <w:r>
        <w:t xml:space="preserve">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pPr>
        <w:pStyle w:val="BodyText"/>
      </w:pPr>
      <w:r>
        <w:t xml:space="preserve">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r>
        <w:pict>
          <v:rect style="width:0;height:1.5pt" o:hralign="center" o:hrstd="t" o:hr="t"/>
        </w:pict>
      </w:r>
    </w:p>
    <w:bookmarkEnd w:id="200"/>
    <w:bookmarkStart w:id="201" w:name="Xeb27885b40a15e1b912f15b455964607e49b407"/>
    <w:p>
      <w:pPr>
        <w:pStyle w:val="Heading1"/>
      </w:pPr>
      <w:r>
        <w:t xml:space="preserve">Chronologie — Du Partage De L’Afrique À L’Alliance Des États Du Sahel</w:t>
      </w:r>
    </w:p>
    <w:p>
      <w:pPr>
        <w:pStyle w:val="FirstParagraph"/>
      </w:pPr>
      <w:r>
        <w:t xml:space="preserve">1884-1885 — Conférence de Berlin: quatorze puissances européennes se partagent l’Afrique.</w:t>
      </w:r>
    </w:p>
    <w:p>
      <w:pPr>
        <w:pStyle w:val="BodyText"/>
      </w:pPr>
      <w:r>
        <w:t xml:space="preserve">1900 — La loi française d’autonomie financière des colonies impose aux colonisés de financer leur propre administration.</w:t>
      </w:r>
    </w:p>
    <w:p>
      <w:pPr>
        <w:pStyle w:val="BodyText"/>
      </w:pPr>
      <w:r>
        <w:t xml:space="preserve">1945 — Création du franc CFA (26 décembre).</w:t>
      </w:r>
    </w:p>
    <w:p>
      <w:pPr>
        <w:pStyle w:val="BodyText"/>
      </w:pPr>
      <w:r>
        <w:t xml:space="preserve">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pPr>
        <w:pStyle w:val="BodyText"/>
      </w:pPr>
      <w:r>
        <w:t xml:space="preserve">1958 — La Guinée de Sékou Touré vote « non» au référendum de De Gaulle (28 septembre); représailles immédiates de la France.</w:t>
      </w:r>
    </w:p>
    <w:p>
      <w:pPr>
        <w:pStyle w:val="BodyText"/>
      </w:pPr>
      <w:r>
        <w:t xml:space="preserve">1960 — « Année de l’Afrique»: dix-sept pays accèdent à l’indépendance, dont le Mali, le Niger et la Haute-Volta (futur Burkina Faso).</w:t>
      </w:r>
    </w:p>
    <w:p>
      <w:pPr>
        <w:pStyle w:val="BodyText"/>
      </w:pPr>
      <w:r>
        <w:t xml:space="preserve">1961 — Assassinat de Patrice Lumumba (17 janvier).</w:t>
      </w:r>
    </w:p>
    <w:p>
      <w:pPr>
        <w:pStyle w:val="BodyText"/>
      </w:pPr>
      <w:r>
        <w:t xml:space="preserve">1963 — Assassinat de Sylvanus Olympio, premier président du Togo.</w:t>
      </w:r>
    </w:p>
    <w:p>
      <w:pPr>
        <w:pStyle w:val="BodyText"/>
      </w:pPr>
      <w:r>
        <w:t xml:space="preserve">1968 — Renversement de Modibo Keïta au Mali.</w:t>
      </w:r>
    </w:p>
    <w:p>
      <w:pPr>
        <w:pStyle w:val="BodyText"/>
      </w:pPr>
      <w:r>
        <w:t xml:space="preserve">1971 — La Cogema (future Areva, puis Orano) installe ses puits d’uranium à Arlit, au Niger.</w:t>
      </w:r>
    </w:p>
    <w:p>
      <w:pPr>
        <w:pStyle w:val="BodyText"/>
      </w:pPr>
      <w:r>
        <w:t xml:space="preserve">1983-1987 — Présidence de Thomas Sankara au Burkina Faso; assassiné le 15 octobre 1987.</w:t>
      </w:r>
    </w:p>
    <w:p>
      <w:pPr>
        <w:pStyle w:val="BodyText"/>
      </w:pPr>
      <w:r>
        <w:t xml:space="preserve">1994 — Dévaluation du franc CFA.</w:t>
      </w:r>
    </w:p>
    <w:p>
      <w:pPr>
        <w:pStyle w:val="BodyText"/>
      </w:pPr>
      <w:r>
        <w:t xml:space="preserve">2011 — Intervention de l’OTAN en Libye; chute et mort de Mouammar Kadhafi; dispersion des arsenaux dans le Sahel.</w:t>
      </w:r>
    </w:p>
    <w:p>
      <w:pPr>
        <w:pStyle w:val="BodyText"/>
      </w:pPr>
      <w:r>
        <w:t xml:space="preserve">2012 — Effondrement du nord du Mali; proclamation de l’Azawad.</w:t>
      </w:r>
    </w:p>
    <w:p>
      <w:pPr>
        <w:pStyle w:val="BodyText"/>
      </w:pPr>
      <w:r>
        <w:t xml:space="preserve">2013 — Opération Serval (janvier).</w:t>
      </w:r>
    </w:p>
    <w:p>
      <w:pPr>
        <w:pStyle w:val="BodyText"/>
      </w:pPr>
      <w:r>
        <w:t xml:space="preserve">2014 — Lancement de l’opération Barkhane (août).</w:t>
      </w:r>
    </w:p>
    <w:p>
      <w:pPr>
        <w:pStyle w:val="BodyText"/>
      </w:pPr>
      <w:r>
        <w:t xml:space="preserve">18 août 2020 — Première transition militaire au Mali (Kati); arrivée d’Assimi Goïta.</w:t>
      </w:r>
    </w:p>
    <w:p>
      <w:pPr>
        <w:pStyle w:val="BodyText"/>
      </w:pPr>
      <w:r>
        <w:t xml:space="preserve">Janvier-septembre 2022 — Au Burkina Faso, Damiba renverse Kaboré (janvier), puis le capitaine Ibrahim Traoré renverse Damiba (septembre).</w:t>
      </w:r>
    </w:p>
    <w:p>
      <w:pPr>
        <w:pStyle w:val="BodyText"/>
      </w:pPr>
      <w:r>
        <w:t xml:space="preserve">Août 2022 — Expulsion de Barkhane du Mali.</w:t>
      </w:r>
    </w:p>
    <w:p>
      <w:pPr>
        <w:pStyle w:val="BodyText"/>
      </w:pPr>
      <w:r>
        <w:t xml:space="preserve">26 juillet 2023 — Transition militaire au Niger; le général Tiani prend la tête du CNSP.</w:t>
      </w:r>
    </w:p>
    <w:p>
      <w:pPr>
        <w:pStyle w:val="BodyText"/>
      </w:pPr>
      <w:r>
        <w:t xml:space="preserve">16 septembre 2023 — Signature de la Charte du Liptako-Gourma: naissance de l’Alliance des États du Sahel.</w:t>
      </w:r>
    </w:p>
    <w:p>
      <w:pPr>
        <w:pStyle w:val="BodyText"/>
      </w:pPr>
      <w:r>
        <w:t xml:space="preserve">14 novembre 2023 — Les Forces armées maliennes reprennent Kidal.</w:t>
      </w:r>
    </w:p>
    <w:p>
      <w:pPr>
        <w:pStyle w:val="BodyText"/>
      </w:pPr>
      <w:r>
        <w:t xml:space="preserve">28 janvier 2024 — Retrait du Mali, du Burkina Faso et du Niger de la CEDEAO.</w:t>
      </w:r>
    </w:p>
    <w:p>
      <w:pPr>
        <w:pStyle w:val="BodyText"/>
      </w:pPr>
      <w:r>
        <w:t xml:space="preserve">Mars-printemps 2024 — Départ des dernières forces françaises et américaines du Niger; fermeture de la base d’Agadez.</w:t>
      </w:r>
    </w:p>
    <w:p>
      <w:pPr>
        <w:pStyle w:val="BodyText"/>
      </w:pPr>
      <w:r>
        <w:t xml:space="preserve">6 juillet 2024 — Proclamation de la Confédération des États du Sahel (sommet de Niamey).</w:t>
      </w:r>
    </w:p>
    <w:p>
      <w:pPr>
        <w:pStyle w:val="BodyText"/>
      </w:pPr>
      <w:r>
        <w:t xml:space="preserve">Juillet-août 2024 — Défaite de Tinzawaten; le renseignement militaire ukrainien reconnaît un appui aux assaillants; saisine conjointe du Conseil de sécurité de l’ONU par les trois États de l’AES (19 août).</w:t>
      </w:r>
    </w:p>
    <w:p>
      <w:pPr>
        <w:pStyle w:val="BodyText"/>
      </w:pPr>
      <w:r>
        <w:t xml:space="preserve">Mars 2025 — Retrait de l’AES de l’Organisation internationale de la Francophonie.</w:t>
      </w:r>
    </w:p>
    <w:p>
      <w:pPr>
        <w:pStyle w:val="BodyText"/>
      </w:pPr>
      <w:r>
        <w:t xml:space="preserve">22 septembre 2025 — Retrait des trois États de la Cour pénale internationale.</w:t>
      </w:r>
    </w:p>
    <w:p>
      <w:pPr>
        <w:pStyle w:val="BodyText"/>
      </w:pPr>
      <w:r>
        <w:t xml:space="preserve">21 décembre 2025 — Installation de la Force unifiée de l’AES.</w:t>
      </w:r>
    </w:p>
    <w:p>
      <w:pPr>
        <w:pStyle w:val="BodyText"/>
      </w:pPr>
      <w:r>
        <w:t xml:space="preserve">25 avril 2026 — Attaques coordonnées sur Bamako, Kati, Kidal, Gao et Sévaré; mort du général Sadio Camara.</w:t>
      </w:r>
    </w:p>
    <w:p>
      <w:pPr>
        <w:pStyle w:val="BodyText"/>
      </w:pPr>
      <w:r>
        <w:t xml:space="preserve">9 mai 2026 — RTL France rapporte la coopération d’ex-légionnaires avec le renseignement militaire ukrainien contre le Mali.</w:t>
      </w:r>
    </w:p>
    <w:p>
      <w:pPr>
        <w:pStyle w:val="BodyText"/>
      </w:pPr>
      <w:r>
        <w:t xml:space="preserve">7 juin 2026 — 5e anniversaire de l’investiture du général Assimi Goïta; inauguration de la Maison des Pupilles de la République à Bamako. Condamnation de l’agent Yann Vésilier à vingt ans de prison au Mali.</w:t>
      </w:r>
    </w:p>
    <w:p>
      <w:r>
        <w:pict>
          <v:rect style="width:0;height:1.5pt" o:hralign="center" o:hrstd="t" o:hr="t"/>
        </w:pict>
      </w:r>
    </w:p>
    <w:bookmarkEnd w:id="201"/>
    <w:bookmarkStart w:id="202" w:name="glossaire-des-sigles"/>
    <w:p>
      <w:pPr>
        <w:pStyle w:val="Heading1"/>
      </w:pPr>
      <w:r>
        <w:t xml:space="preserve">Glossaire Des Sigles</w:t>
      </w:r>
    </w:p>
    <w:p>
      <w:pPr>
        <w:pStyle w:val="FirstParagraph"/>
      </w:pPr>
      <w:r>
        <w:t xml:space="preserve">ACLED — Armed Conflict Location &amp; Event Data Project (base de données sur les conflits armés)</w:t>
      </w:r>
    </w:p>
    <w:p>
      <w:pPr>
        <w:pStyle w:val="BodyText"/>
      </w:pPr>
      <w:r>
        <w:t xml:space="preserve">AES — Alliance des États du Sahel (Mali, Burkina Faso, Niger)</w:t>
      </w:r>
    </w:p>
    <w:p>
      <w:pPr>
        <w:pStyle w:val="BodyText"/>
      </w:pPr>
      <w:r>
        <w:t xml:space="preserve">AOF — Afrique-Occidentale française</w:t>
      </w:r>
    </w:p>
    <w:p>
      <w:pPr>
        <w:pStyle w:val="BodyText"/>
      </w:pPr>
      <w:r>
        <w:t xml:space="preserve">APD — Aide publique au développement</w:t>
      </w:r>
    </w:p>
    <w:p>
      <w:pPr>
        <w:pStyle w:val="BodyText"/>
      </w:pPr>
      <w:r>
        <w:t xml:space="preserve">AQMI — Al-Qaïda au Maghreb islamique</w:t>
      </w:r>
    </w:p>
    <w:p>
      <w:pPr>
        <w:pStyle w:val="BodyText"/>
      </w:pPr>
      <w:r>
        <w:t xml:space="preserve">BCEAO — Banque centrale des États de l’Afrique de l’Ouest</w:t>
      </w:r>
    </w:p>
    <w:p>
      <w:pPr>
        <w:pStyle w:val="BodyText"/>
      </w:pPr>
      <w:r>
        <w:t xml:space="preserve">BEAC — Banque des États de l’Afrique centrale</w:t>
      </w:r>
    </w:p>
    <w:p>
      <w:pPr>
        <w:pStyle w:val="BodyText"/>
      </w:pPr>
      <w:r>
        <w:t xml:space="preserve">BIMA — Bataillon d’infanterie de marine</w:t>
      </w:r>
    </w:p>
    <w:p>
      <w:pPr>
        <w:pStyle w:val="BodyText"/>
      </w:pPr>
      <w:r>
        <w:t xml:space="preserve">BRICS — Brésil, Russie, Inde, Chine, Afrique du Sud (et nouveaux membres)</w:t>
      </w:r>
    </w:p>
    <w:p>
      <w:pPr>
        <w:pStyle w:val="BodyText"/>
      </w:pPr>
      <w:r>
        <w:t xml:space="preserve">CEDEAO — Communauté économique des États de l’Afrique de l’Ouest</w:t>
      </w:r>
    </w:p>
    <w:p>
      <w:pPr>
        <w:pStyle w:val="BodyText"/>
      </w:pPr>
      <w:r>
        <w:t xml:space="preserve">CEMAC — Communauté économique et monétaire de l’Afrique centrale</w:t>
      </w:r>
    </w:p>
    <w:p>
      <w:pPr>
        <w:pStyle w:val="BodyText"/>
      </w:pPr>
      <w:r>
        <w:t xml:space="preserve">CFA — Communauté financière africaine (zone monétaire)</w:t>
      </w:r>
    </w:p>
    <w:p>
      <w:pPr>
        <w:pStyle w:val="BodyText"/>
      </w:pPr>
      <w:r>
        <w:t xml:space="preserve">CICR — Comité international de la Croix-Rouge</w:t>
      </w:r>
    </w:p>
    <w:p>
      <w:pPr>
        <w:pStyle w:val="BodyText"/>
      </w:pPr>
      <w:r>
        <w:t xml:space="preserve">CNSP — Conseil national pour la sauvegarde de la patrie (Niger)</w:t>
      </w:r>
    </w:p>
    <w:p>
      <w:pPr>
        <w:pStyle w:val="BodyText"/>
      </w:pPr>
      <w:r>
        <w:t xml:space="preserve">CNPC — China National Petroleum Corporation</w:t>
      </w:r>
    </w:p>
    <w:p>
      <w:pPr>
        <w:pStyle w:val="BodyText"/>
      </w:pPr>
      <w:r>
        <w:t xml:space="preserve">COS — Commandement des opérations spéciales (France)</w:t>
      </w:r>
    </w:p>
    <w:p>
      <w:pPr>
        <w:pStyle w:val="BodyText"/>
      </w:pPr>
      <w:r>
        <w:t xml:space="preserve">CPI — Cour pénale internationale</w:t>
      </w:r>
    </w:p>
    <w:p>
      <w:pPr>
        <w:pStyle w:val="BodyText"/>
      </w:pPr>
      <w:r>
        <w:t xml:space="preserve">DGSE — Direction générale de la sécurité extérieure (France)</w:t>
      </w:r>
    </w:p>
    <w:p>
      <w:pPr>
        <w:pStyle w:val="BodyText"/>
      </w:pPr>
      <w:r>
        <w:t xml:space="preserve">EAU — Émirats arabes unis</w:t>
      </w:r>
    </w:p>
    <w:p>
      <w:pPr>
        <w:pStyle w:val="BodyText"/>
      </w:pPr>
      <w:r>
        <w:t xml:space="preserve">EHM — Economic Hit Man (« assassin financier», selon John Perkins)</w:t>
      </w:r>
    </w:p>
    <w:p>
      <w:pPr>
        <w:pStyle w:val="BodyText"/>
      </w:pPr>
      <w:r>
        <w:t xml:space="preserve">ESSD — Entreprise de services de sécurité et de défense</w:t>
      </w:r>
    </w:p>
    <w:p>
      <w:pPr>
        <w:pStyle w:val="BodyText"/>
      </w:pPr>
      <w:r>
        <w:t xml:space="preserve">FAMa — Forces armées maliennes</w:t>
      </w:r>
    </w:p>
    <w:p>
      <w:pPr>
        <w:pStyle w:val="BodyText"/>
      </w:pPr>
      <w:r>
        <w:t xml:space="preserve">FLA — Front de libération de l’Azawad</w:t>
      </w:r>
    </w:p>
    <w:p>
      <w:pPr>
        <w:pStyle w:val="BodyText"/>
      </w:pPr>
      <w:r>
        <w:t xml:space="preserve">FMI — Fonds monétaire international</w:t>
      </w:r>
    </w:p>
    <w:p>
      <w:pPr>
        <w:pStyle w:val="BodyText"/>
      </w:pPr>
      <w:r>
        <w:t xml:space="preserve">FSR — Forces de soutien rapide (Soudan)</w:t>
      </w:r>
    </w:p>
    <w:p>
      <w:pPr>
        <w:pStyle w:val="BodyText"/>
      </w:pPr>
      <w:r>
        <w:t xml:space="preserve">GSPC — Groupe salafiste pour la prédication et le combat</w:t>
      </w:r>
    </w:p>
    <w:p>
      <w:pPr>
        <w:pStyle w:val="BodyText"/>
      </w:pPr>
      <w:r>
        <w:t xml:space="preserve">GUR — Renseignement militaire ukrainien</w:t>
      </w:r>
    </w:p>
    <w:p>
      <w:pPr>
        <w:pStyle w:val="BodyText"/>
      </w:pPr>
      <w:r>
        <w:t xml:space="preserve">HRW — Human Rights Watch</w:t>
      </w:r>
    </w:p>
    <w:p>
      <w:pPr>
        <w:pStyle w:val="BodyText"/>
      </w:pPr>
      <w:r>
        <w:t xml:space="preserve">IDH — Indice de développement humain</w:t>
      </w:r>
    </w:p>
    <w:p>
      <w:pPr>
        <w:pStyle w:val="BodyText"/>
      </w:pPr>
      <w:r>
        <w:t xml:space="preserve">JNIM — Groupe de soutien à l’islam et aux musulmans (coalition jihadiste sahélienne)</w:t>
      </w:r>
    </w:p>
    <w:p>
      <w:pPr>
        <w:pStyle w:val="BodyText"/>
      </w:pPr>
      <w:r>
        <w:t xml:space="preserve">MINUSMA — Mission des Nations unies au Mali</w:t>
      </w:r>
    </w:p>
    <w:p>
      <w:pPr>
        <w:pStyle w:val="BodyText"/>
      </w:pPr>
      <w:r>
        <w:t xml:space="preserve">MNLA — Mouvement national de libération de l’Azawad</w:t>
      </w:r>
    </w:p>
    <w:p>
      <w:pPr>
        <w:pStyle w:val="BodyText"/>
      </w:pPr>
      <w:r>
        <w:t xml:space="preserve">MPSR — Mouvement patriotique pour la sauvegarde et la restauration (Burkina Faso)</w:t>
      </w:r>
    </w:p>
    <w:p>
      <w:pPr>
        <w:pStyle w:val="BodyText"/>
      </w:pPr>
      <w:r>
        <w:t xml:space="preserve">OCRS — Organisation commune des régions sahariennes (loi française du 10 janvier 1957)</w:t>
      </w:r>
    </w:p>
    <w:p>
      <w:pPr>
        <w:pStyle w:val="BodyText"/>
      </w:pPr>
      <w:r>
        <w:t xml:space="preserve">OIF — Organisation internationale de la Francophonie</w:t>
      </w:r>
    </w:p>
    <w:p>
      <w:pPr>
        <w:pStyle w:val="BodyText"/>
      </w:pPr>
      <w:r>
        <w:t xml:space="preserve">OTAN — Organisation du traité de l’Atlantique Nord</w:t>
      </w:r>
    </w:p>
    <w:p>
      <w:pPr>
        <w:pStyle w:val="BodyText"/>
      </w:pPr>
      <w:r>
        <w:t xml:space="preserve">PNUD — Programme des Nations unies pour le développement</w:t>
      </w:r>
    </w:p>
    <w:p>
      <w:pPr>
        <w:pStyle w:val="BodyText"/>
      </w:pPr>
      <w:r>
        <w:t xml:space="preserve">RCA — République centrafricaine</w:t>
      </w:r>
    </w:p>
    <w:p>
      <w:pPr>
        <w:pStyle w:val="BodyText"/>
      </w:pPr>
      <w:r>
        <w:t xml:space="preserve">SWP — Stiftung Wissenschaft und Politik (Institut allemand pour les affaires internationales et la sécurité)</w:t>
      </w:r>
    </w:p>
    <w:p>
      <w:pPr>
        <w:pStyle w:val="BodyText"/>
      </w:pPr>
      <w:r>
        <w:t xml:space="preserve">VDP — Volontaires pour la défense de la patrie (Burkina Faso)</w:t>
      </w:r>
    </w:p>
    <w:p>
      <w:pPr>
        <w:pStyle w:val="BodyText"/>
      </w:pPr>
      <w:r>
        <w:t xml:space="preserve">ZLECAf — Zone de libre-échange continentale africaine</w:t>
      </w:r>
    </w:p>
    <w:p>
      <w:r>
        <w:pict>
          <v:rect style="width:0;height:1.5pt" o:hralign="center" o:hrstd="t" o:hr="t"/>
        </w:pict>
      </w:r>
    </w:p>
    <w:bookmarkEnd w:id="202"/>
    <w:bookmarkStart w:id="203" w:name="index-des-personnages"/>
    <w:p>
      <w:pPr>
        <w:pStyle w:val="Heading1"/>
      </w:pPr>
      <w:r>
        <w:t xml:space="preserve">Index Des Personnages</w:t>
      </w:r>
    </w:p>
    <w:p>
      <w:pPr>
        <w:pStyle w:val="FirstParagraph"/>
      </w:pPr>
      <w:r>
        <w:t xml:space="preserve">Les renvois indiquent les chapitres où chaque figure est citée ou analysée.</w:t>
      </w:r>
    </w:p>
    <w:p>
      <w:pPr>
        <w:pStyle w:val="BodyText"/>
      </w:pPr>
      <w:r>
        <w:t xml:space="preserve">Avé, Anne-Sophie — ancienne ambassadrice de France au Mali; doctrine de la « dissonance cognitive». ch. 14.</w:t>
      </w:r>
    </w:p>
    <w:p>
      <w:pPr>
        <w:pStyle w:val="BodyText"/>
      </w:pPr>
      <w:r>
        <w:t xml:space="preserve">Ayissi, Anatole — journaliste et analyste panafricaniste; cadre des Nations unies pour l’Afrique centrale. ch. 7, ch. 8, ch. 21, ch. 27, ch. 29, ch. 30.</w:t>
      </w:r>
    </w:p>
    <w:p>
      <w:pPr>
        <w:pStyle w:val="BodyText"/>
      </w:pPr>
      <w:r>
        <w:t xml:space="preserve">Banda Kani — analyste panafricaniste camerounais. ch. 3, ch. 10, ch. 12, ch. 14, ch. 19, ch. 20, ch. 25, ch. 30.</w:t>
      </w:r>
    </w:p>
    <w:p>
      <w:pPr>
        <w:pStyle w:val="BodyText"/>
      </w:pPr>
      <w:r>
        <w:t xml:space="preserve">Bazoum, Mohamed — président du Niger (2021-2023), renversé le 26 juillet 2023. ch. 10, ch. 18, ch. 25, ch. 26.</w:t>
      </w:r>
    </w:p>
    <w:p>
      <w:pPr>
        <w:pStyle w:val="BodyText"/>
      </w:pPr>
      <w:r>
        <w:t xml:space="preserve">Belhadj, Abdelhakim — chef jihadiste libyen, gouverneur militaire de Tripoli après 2011. ch. 11.</w:t>
      </w:r>
    </w:p>
    <w:p>
      <w:pPr>
        <w:pStyle w:val="BodyText"/>
      </w:pPr>
      <w:r>
        <w:t xml:space="preserve">Benoist-Méchin, Jacques — écrivain français, auteur d’Un printemps arabe (1959). ch. 11.</w:t>
      </w:r>
    </w:p>
    <w:p>
      <w:pPr>
        <w:pStyle w:val="BodyText"/>
      </w:pPr>
      <w:r>
        <w:t xml:space="preserve">Boganda, Barthélemy — fondateur de la Centrafrique, théoricien des « États-Unis d’Afrique latine», mort en 1959. ch. 22.</w:t>
      </w:r>
    </w:p>
    <w:p>
      <w:pPr>
        <w:pStyle w:val="BodyText"/>
      </w:pPr>
      <w:r>
        <w:t xml:space="preserve">Bokassa, Jean-Bedel — ancien chef d’État centrafricain installé par la France. ch. 8, ch. 15.</w:t>
      </w:r>
    </w:p>
    <w:p>
      <w:pPr>
        <w:pStyle w:val="BodyText"/>
      </w:pPr>
      <w:r>
        <w:t xml:space="preserve">Bongo, Omar — président du Gabon, figure de la Françafrique. ch. 6.</w:t>
      </w:r>
    </w:p>
    <w:p>
      <w:pPr>
        <w:pStyle w:val="BodyText"/>
      </w:pPr>
      <w:r>
        <w:t xml:space="preserve">Bourgi, Robert — avocat, intermédiaire des « mallettes» de l’Élysée. ch. 6.</w:t>
      </w:r>
    </w:p>
    <w:p>
      <w:pPr>
        <w:pStyle w:val="BodyText"/>
      </w:pPr>
      <w:r>
        <w:t xml:space="preserve">Burkhard, Thierry — chef d’état-major des armées françaises. ch. 15.</w:t>
      </w:r>
    </w:p>
    <w:p>
      <w:pPr>
        <w:pStyle w:val="BodyText"/>
      </w:pPr>
      <w:r>
        <w:t xml:space="preserve">Camara, Sadio — ministre de la Défense du Mali, architecte militaire de l’AES, tué le 25 avril 2026. ch. 14, ch. 16, ch. 20.</w:t>
      </w:r>
    </w:p>
    <w:p>
      <w:pPr>
        <w:pStyle w:val="BodyText"/>
      </w:pPr>
      <w:r>
        <w:t xml:space="preserve">Chassaigne, André — député français, dénonciateur des interventions en Afrique. ch. 3, ch. 8, ch. 13, ch. 15.</w:t>
      </w:r>
    </w:p>
    <w:p>
      <w:pPr>
        <w:pStyle w:val="BodyText"/>
      </w:pPr>
      <w:r>
        <w:t xml:space="preserve">Cheikh Anta Diop — historien et physicien sénégalais (1923-1986). ch. 2, ch. 6.</w:t>
      </w:r>
    </w:p>
    <w:p>
      <w:pPr>
        <w:pStyle w:val="BodyText"/>
      </w:pPr>
      <w:r>
        <w:t xml:space="preserve">Chirac, Jacques — président de la République française (1995-2007). Prologue, ch. 6.</w:t>
      </w:r>
    </w:p>
    <w:p>
      <w:pPr>
        <w:pStyle w:val="BodyText"/>
      </w:pPr>
      <w:r>
        <w:t xml:space="preserve">Cissé, Boubou — ancien Premier ministre du Mali, opposant à la transition. ch. 10, ch. 16.</w:t>
      </w:r>
    </w:p>
    <w:p>
      <w:pPr>
        <w:pStyle w:val="BodyText"/>
      </w:pPr>
      <w:r>
        <w:t xml:space="preserve">Cissé, Mariam — blogueuse malienne assassinée par le JNIM. ch. 24, ch. 26.</w:t>
      </w:r>
    </w:p>
    <w:p>
      <w:pPr>
        <w:pStyle w:val="BodyText"/>
      </w:pPr>
      <w:r>
        <w:t xml:space="preserve">Compaoré, Blaise — président du Burkina Faso (1987-2014), impliqué dans l’assassinat de Sankara. ch. 6, ch. 10, ch. 23.</w:t>
      </w:r>
    </w:p>
    <w:p>
      <w:pPr>
        <w:pStyle w:val="BodyText"/>
      </w:pPr>
      <w:r>
        <w:t xml:space="preserve">Damiba, Paul-Henri Sandaogo — auteur de la première transition burkinabè de janvier 2022. ch. 17.</w:t>
      </w:r>
    </w:p>
    <w:p>
      <w:pPr>
        <w:pStyle w:val="BodyText"/>
      </w:pPr>
      <w:r>
        <w:t xml:space="preserve">De Gaulle, Charles — président français, architecte de la Françafrique. ch. 5, ch. 30.</w:t>
      </w:r>
    </w:p>
    <w:p>
      <w:pPr>
        <w:pStyle w:val="BodyText"/>
      </w:pPr>
      <w:r>
        <w:t xml:space="preserve">Dietrich, Thomas — journaliste d’investigation français. ch. 14, ch. 20.</w:t>
      </w:r>
    </w:p>
    <w:p>
      <w:pPr>
        <w:pStyle w:val="BodyText"/>
      </w:pPr>
      <w:r>
        <w:t xml:space="preserve">Diop, Abdoulaye — ministre des Affaires étrangères du Mali. ch. 10, ch. 19, ch. 22.</w:t>
      </w:r>
    </w:p>
    <w:p>
      <w:pPr>
        <w:pStyle w:val="BodyText"/>
      </w:pPr>
      <w:r>
        <w:t xml:space="preserve">Doumbouya, Mamadi — président de transition de la Guinée. ch. 15, ch. 29.</w:t>
      </w:r>
    </w:p>
    <w:p>
      <w:pPr>
        <w:pStyle w:val="BodyText"/>
      </w:pPr>
      <w:r>
        <w:t xml:space="preserve">Déby, Idriss — président du Tchad, mort en avril 2021. ch. 21.</w:t>
      </w:r>
    </w:p>
    <w:p>
      <w:pPr>
        <w:pStyle w:val="BodyText"/>
      </w:pPr>
      <w:r>
        <w:t xml:space="preserve">Déby, Mahamat — président de transition du Tchad. ch. 21, ch. 30.</w:t>
      </w:r>
    </w:p>
    <w:p>
      <w:pPr>
        <w:pStyle w:val="BodyText"/>
      </w:pPr>
      <w:r>
        <w:t xml:space="preserve">Foccart, Jacques — « Monsieur Afrique» de l’Élysée sous De Gaulle et Pompidou. ch. 5, ch. 6, ch. 13.</w:t>
      </w:r>
    </w:p>
    <w:p>
      <w:pPr>
        <w:pStyle w:val="BodyText"/>
      </w:pPr>
      <w:r>
        <w:t xml:space="preserve">Gbagbo, Laurent — ancien président de la Côte d’Ivoire. ch. 6, ch. 14.</w:t>
      </w:r>
    </w:p>
    <w:p>
      <w:pPr>
        <w:pStyle w:val="BodyText"/>
      </w:pPr>
      <w:r>
        <w:t xml:space="preserve">Goïta, Assimi — président de la transition du Mali. ch. 4, ch. 16, ch. 19, ch. 20, ch. 25, ch. 26, ch. 27, ch. 29.</w:t>
      </w:r>
    </w:p>
    <w:p>
      <w:pPr>
        <w:pStyle w:val="BodyText"/>
      </w:pPr>
      <w:r>
        <w:t xml:space="preserve">Granvaud, Raphaël — chercheur de l’association Survie, auteur de De l’huile sur le feu. ch. 5, ch. 13, ch. 14, ch. 15, ch. 26.</w:t>
      </w:r>
    </w:p>
    <w:p>
      <w:pPr>
        <w:pStyle w:val="BodyText"/>
      </w:pPr>
      <w:r>
        <w:t xml:space="preserve">Haftar, Khalifa — officier libyen passé à l’opposition, homme fort de la Cyrénaïque après 2014. ch. 11.</w:t>
      </w:r>
    </w:p>
    <w:p>
      <w:pPr>
        <w:pStyle w:val="BodyText"/>
      </w:pPr>
      <w:r>
        <w:t xml:space="preserve">Hollande, François — président français (2012-2017), initiateur de Serval. ch. 13, ch. 15.</w:t>
      </w:r>
    </w:p>
    <w:p>
      <w:pPr>
        <w:pStyle w:val="BodyText"/>
      </w:pPr>
      <w:r>
        <w:t xml:space="preserve">Iyad Ag Ghali — émir du JNIM. ch. 13, ch. 20, ch. 21.</w:t>
      </w:r>
    </w:p>
    <w:p>
      <w:pPr>
        <w:pStyle w:val="BodyText"/>
      </w:pPr>
      <w:r>
        <w:t xml:space="preserve">Juillet, Alain — ancien directeur du renseignement de la DGSE. ch. 15.</w:t>
      </w:r>
    </w:p>
    <w:p>
      <w:pPr>
        <w:pStyle w:val="BodyText"/>
      </w:pPr>
      <w:r>
        <w:t xml:space="preserve">Kaboré, Roch Marc Christian — président du Burkina Faso renversé en janvier 2022. ch. 10, ch. 17, ch. 25.</w:t>
      </w:r>
    </w:p>
    <w:p>
      <w:pPr>
        <w:pStyle w:val="BodyText"/>
      </w:pPr>
      <w:r>
        <w:t xml:space="preserve">Kadhafi, Mouammar — dirigeant libyen (1969-2011). ch. 7, ch. 11, ch. 28.</w:t>
      </w:r>
    </w:p>
    <w:p>
      <w:pPr>
        <w:pStyle w:val="BodyText"/>
      </w:pPr>
      <w:r>
        <w:t xml:space="preserve">Keïta, Ibrahim Boubacar (IBK) — président du Mali renversé en août 2020. ch. 16, ch. 25.</w:t>
      </w:r>
    </w:p>
    <w:p>
      <w:pPr>
        <w:pStyle w:val="BodyText"/>
      </w:pPr>
      <w:r>
        <w:t xml:space="preserve">Keïta, Modibo — premier président du Mali indépendant (1960-1968). ch. 5, ch. 7, ch. 19, ch. 21, ch. 22.</w:t>
      </w:r>
    </w:p>
    <w:p>
      <w:pPr>
        <w:pStyle w:val="BodyText"/>
      </w:pPr>
      <w:r>
        <w:t xml:space="preserve">Lecointre, François — chef d’état-major des armées françaises (2017-2021), grand chancelier de la Légion d’honneur. ch. 15.</w:t>
      </w:r>
    </w:p>
    <w:p>
      <w:pPr>
        <w:pStyle w:val="BodyText"/>
      </w:pPr>
      <w:r>
        <w:t xml:space="preserve">Le Floch-Prigent, Loïk — ancien PDG d’Elf. ch. 6.</w:t>
      </w:r>
    </w:p>
    <w:p>
      <w:pPr>
        <w:pStyle w:val="BodyText"/>
      </w:pPr>
      <w:r>
        <w:t xml:space="preserve">Lissouba, Pascal — ancien président du Congo-Brazzaville. ch. 6.</w:t>
      </w:r>
    </w:p>
    <w:p>
      <w:pPr>
        <w:pStyle w:val="BodyText"/>
      </w:pPr>
      <w:r>
        <w:t xml:space="preserve">Lumumba, Patrice — premier Premier ministre du Congo, assassiné en 1961. ch. 5, ch. 9, ch. 20, ch. 21, ch. 22.</w:t>
      </w:r>
    </w:p>
    <w:p>
      <w:pPr>
        <w:pStyle w:val="BodyText"/>
      </w:pPr>
      <w:r>
        <w:t xml:space="preserve">Macron, Emmanuel — président de la République française. ch. 7, ch. 10, ch. 13, ch. 14, ch. 15, ch. 17, ch. 18, ch. 20, ch. 21, ch. 30, ch. 31.</w:t>
      </w:r>
    </w:p>
    <w:p>
      <w:pPr>
        <w:pStyle w:val="BodyText"/>
      </w:pPr>
      <w:r>
        <w:t xml:space="preserve">Mansa Moussa — empereur du Mali au XIVe siècle. ch. 1.</w:t>
      </w:r>
    </w:p>
    <w:p>
      <w:pPr>
        <w:pStyle w:val="BodyText"/>
      </w:pPr>
      <w:r>
        <w:t xml:space="preserve">Maïga, Choguel Kokalla — ancien Premier ministre du Mali. ch. 10, ch. 12, ch. 13, ch. 16, ch. 17, ch. 20, ch. 25, ch. 26, ch. 31.</w:t>
      </w:r>
    </w:p>
    <w:p>
      <w:pPr>
        <w:pStyle w:val="BodyText"/>
      </w:pPr>
      <w:r>
        <w:t xml:space="preserve">Medvedev, Dmitri — responsable russe, dénonciateur du franc CFA à l’UNESCO. ch. 11, ch. 29.</w:t>
      </w:r>
    </w:p>
    <w:p>
      <w:pPr>
        <w:pStyle w:val="BodyText"/>
      </w:pPr>
      <w:r>
        <w:t xml:space="preserve">Michel, Luc — militant pro-Kadhafi, animateur du réseau européen des comités révolutionnaires libyens (source engagée). ch. 11, ch. 15, ch. 29, ch. 30.</w:t>
      </w:r>
    </w:p>
    <w:p>
      <w:pPr>
        <w:pStyle w:val="BodyText"/>
      </w:pPr>
      <w:r>
        <w:t xml:space="preserve">Mobutu Sese Seko — dictateur du Zaïre (1965-1997). ch. 6, ch. 10.</w:t>
      </w:r>
    </w:p>
    <w:p>
      <w:pPr>
        <w:pStyle w:val="BodyText"/>
      </w:pPr>
      <w:r>
        <w:t xml:space="preserve">Mohamedou, Mohammad-Mahmoud Ould — professeur de relations internationales à Genève. Introduction, ch. 10, ch. 12, ch. 13, ch. 16, ch. 31.</w:t>
      </w:r>
    </w:p>
    <w:p>
      <w:pPr>
        <w:pStyle w:val="BodyText"/>
      </w:pPr>
      <w:r>
        <w:t xml:space="preserve">Nkrumah, Kwame — premier président du Ghana, théoricien du panafricanisme. ch. 3, ch. 5, ch. 7, ch. 11, ch. 21, ch. 22.</w:t>
      </w:r>
    </w:p>
    <w:p>
      <w:pPr>
        <w:pStyle w:val="BodyText"/>
      </w:pPr>
      <w:r>
        <w:t xml:space="preserve">Nyamsi, Franklin — philosophe franco-camerounais. ch. 8, ch. 24.</w:t>
      </w:r>
    </w:p>
    <w:p>
      <w:pPr>
        <w:pStyle w:val="BodyText"/>
      </w:pPr>
      <w:r>
        <w:t xml:space="preserve">Olympio, Sylvanus — premier président du Togo, assassiné en 1963. ch. 5, ch. 7, ch. 22, ch. 28.</w:t>
      </w:r>
    </w:p>
    <w:p>
      <w:pPr>
        <w:pStyle w:val="BodyText"/>
      </w:pPr>
      <w:r>
        <w:t xml:space="preserve">Ouattara, Alassane — président de la Côte d’Ivoire. ch. 10, ch. 16, ch. 20, ch. 23.</w:t>
      </w:r>
    </w:p>
    <w:p>
      <w:pPr>
        <w:pStyle w:val="BodyText"/>
      </w:pPr>
      <w:r>
        <w:t xml:space="preserve">Perkins, John — auteur de Confessions of an Economic Hit Man. ch. 9.</w:t>
      </w:r>
    </w:p>
    <w:p>
      <w:pPr>
        <w:pStyle w:val="BodyText"/>
      </w:pPr>
      <w:r>
        <w:t xml:space="preserve">Pérouse de Montclos, Marc-Antoine — chercheur français, spécialiste des conflits sahéliens. ch. 15.</w:t>
      </w:r>
    </w:p>
    <w:p>
      <w:pPr>
        <w:pStyle w:val="BodyText"/>
      </w:pPr>
      <w:r>
        <w:t xml:space="preserve">Pondi, Jean-Emmanuel — politologue camerounais, auteur de Vie et mort de Mouammar Kadhafi. ch. 11.</w:t>
      </w:r>
    </w:p>
    <w:p>
      <w:pPr>
        <w:pStyle w:val="BodyText"/>
      </w:pPr>
      <w:r>
        <w:t xml:space="preserve">Saïf al-Islam Kadhafi — fils de Mouammar Kadhafi, chef de l’aile « libérale» du régime en 2011. ch. 11.</w:t>
      </w:r>
    </w:p>
    <w:p>
      <w:pPr>
        <w:pStyle w:val="BodyText"/>
      </w:pPr>
      <w:r>
        <w:t xml:space="preserve">Samory Touré — fondateur de l’empire Wassoulou, résistant à la colonisation. ch. 4, Conclusion.</w:t>
      </w:r>
    </w:p>
    <w:p>
      <w:pPr>
        <w:pStyle w:val="BodyText"/>
      </w:pPr>
      <w:r>
        <w:t xml:space="preserve">Sankara, Thomas — président du Burkina Faso (1983-1987), figure du panafricanisme. ch. 7, ch. 9, ch. 10, ch. 17, ch. 20, ch. 21, ch. 23, ch. 24, ch. 25, ch. 26, ch. 28, ch. 29, Conclusion.</w:t>
      </w:r>
    </w:p>
    <w:p>
      <w:pPr>
        <w:pStyle w:val="BodyText"/>
      </w:pPr>
      <w:r>
        <w:t xml:space="preserve">Sarkozy, Nicolas — président français (2007-2012). ch. 6, ch. 11, ch. 14, ch. 25.</w:t>
      </w:r>
    </w:p>
    <w:p>
      <w:pPr>
        <w:pStyle w:val="BodyText"/>
      </w:pPr>
      <w:r>
        <w:t xml:space="preserve">Soro, Guillaume — ancien chef rebelle ivoirien. ch. 10.</w:t>
      </w:r>
    </w:p>
    <w:p>
      <w:pPr>
        <w:pStyle w:val="BodyText"/>
      </w:pPr>
      <w:r>
        <w:t xml:space="preserve">Sékou Touré, Ahmed — premier président de la Guinée, auteur du « non» de 1958. ch. 5, ch. 7, ch. 9, ch. 22, ch. 23, ch. 28, Conclusion.</w:t>
      </w:r>
    </w:p>
    <w:p>
      <w:pPr>
        <w:pStyle w:val="BodyText"/>
      </w:pPr>
      <w:r>
        <w:t xml:space="preserve">Talon, Patrice — président du Bénin. ch. 9, ch. 10, ch. 20.</w:t>
      </w:r>
    </w:p>
    <w:p>
      <w:pPr>
        <w:pStyle w:val="BodyText"/>
      </w:pPr>
      <w:r>
        <w:t xml:space="preserve">Tiani, Abdourahamane — président de la transition du Niger, chef du CNSP. Introduction, ch. 5, ch. 6, ch. 7, ch. 10, ch. 12, ch. 14, ch. 16, ch. 17, ch. 18, ch. 19, ch. 20, ch. 21, ch. 25, ch. 28, ch. 29, ch. 30, Conclusion.</w:t>
      </w:r>
    </w:p>
    <w:p>
      <w:pPr>
        <w:pStyle w:val="BodyText"/>
      </w:pPr>
      <w:r>
        <w:t xml:space="preserve">Touadéra, Faustin-Archange — président de la République centrafricaine. ch. 28.</w:t>
      </w:r>
    </w:p>
    <w:p>
      <w:pPr>
        <w:pStyle w:val="BodyText"/>
      </w:pPr>
      <w:r>
        <w:t xml:space="preserve">Traoré, Ibrahim — président de la transition du Burkina Faso. ch. 4, ch. 9, ch. 12, ch. 13, ch. 14, ch. 17, ch. 19, ch. 23, ch. 27, ch. 30.</w:t>
      </w:r>
    </w:p>
    <w:p>
      <w:pPr>
        <w:pStyle w:val="BodyText"/>
      </w:pPr>
      <w:r>
        <w:t xml:space="preserve">Turpin, Frédéric — historien, biographe de Jacques Foccart. ch. 5, ch. 6, ch. 13.</w:t>
      </w:r>
    </w:p>
    <w:p>
      <w:pPr>
        <w:pStyle w:val="BodyText"/>
      </w:pPr>
      <w:r>
        <w:t xml:space="preserve">Yamb, Nathalie — analyste géopolitique panafricaniste. ch. 5, ch. 8, ch. 9, ch. 10, ch. 13, ch. 14, ch. 16, ch. 18, ch. 21, ch. 22, ch. 23, ch. 24, ch. 25, ch. 26, ch. 29, ch. 30, ch. 31.</w:t>
      </w:r>
    </w:p>
    <w:p>
      <w:pPr>
        <w:pStyle w:val="BodyText"/>
      </w:pPr>
      <w:r>
        <w:t xml:space="preserve">Younes, Abdel Fattah — ministre de Kadhafi rallié aux insurgés, assassiné en juillet 2011. ch. 11.</w:t>
      </w:r>
    </w:p>
    <w:p>
      <w:pPr>
        <w:pStyle w:val="BodyText"/>
      </w:pPr>
      <w:r>
        <w:t xml:space="preserve">Yusov, Andriy — porte-parole du renseignement militaire ukrainien. ch. 20.</w:t>
      </w:r>
    </w:p>
    <w:p>
      <w:r>
        <w:pict>
          <v:rect style="width:0;height:1.5pt" o:hralign="center" o:hrstd="t" o:hr="t"/>
        </w:pict>
      </w:r>
    </w:p>
    <w:bookmarkEnd w:id="203"/>
    <w:bookmarkStart w:id="209" w:name="X96e3e784a48201925020c9ceb29d59176e29b86"/>
    <w:p>
      <w:pPr>
        <w:pStyle w:val="Heading1"/>
      </w:pPr>
      <w:r>
        <w:t xml:space="preserve">Notes Méthodologiques &amp;Amp; Corpus De Sources</w:t>
      </w:r>
    </w:p>
    <w:p>
      <w:pPr>
        <w:pStyle w:val="FirstParagraph"/>
      </w:pPr>
      <w:r>
        <w:t xml:space="preserve">Ce livre repose sur un corpus de plus de 130 sources couvrant la période 2013-2026.</w:t>
      </w:r>
    </w:p>
    <w:p>
      <w:pPr>
        <w:pStyle w:val="BodyText"/>
      </w:pPr>
      <w:r>
        <w:t xml:space="preserve">Le principe de lecture est constant: une affirmation acquiert sa valeur lorsqu’elle est</w:t>
      </w:r>
    </w:p>
    <w:p>
      <w:pPr>
        <w:pStyle w:val="BodyText"/>
      </w:pPr>
      <w:r>
        <w:t xml:space="preserve">recoupée par des sources situées de part et d’autre du conflit. Quand une analyse</w:t>
      </w:r>
    </w:p>
    <w:p>
      <w:pPr>
        <w:pStyle w:val="BodyText"/>
      </w:pPr>
      <w:r>
        <w:t xml:space="preserve">panafricaniste et une source française institutionnelle, académique ou judiciaire disent</w:t>
      </w:r>
    </w:p>
    <w:p>
      <w:pPr>
        <w:pStyle w:val="BodyText"/>
      </w:pPr>
      <w:r>
        <w:t xml:space="preserve">la même chose, le fait cesse d’être une opinion. C’est ce que ce livre appelle la</w:t>
      </w:r>
    </w:p>
    <w:p>
      <w:pPr>
        <w:pStyle w:val="BodyText"/>
      </w:pPr>
      <w:r>
        <w:t xml:space="preserve">convergence. Là où elle manque, l’affirmation est présentée comme une hypothèse, jamais</w:t>
      </w:r>
    </w:p>
    <w:p>
      <w:pPr>
        <w:pStyle w:val="BodyText"/>
      </w:pPr>
      <w:r>
        <w:t xml:space="preserve">comme une certitude.</w:t>
      </w:r>
    </w:p>
    <w:p>
      <w:pPr>
        <w:pStyle w:val="BodyText"/>
      </w:pPr>
      <w:r>
        <w:t xml:space="preserve">Trois précisions liminaires.</w:t>
      </w:r>
    </w:p>
    <w:p>
      <w:pPr>
        <w:pStyle w:val="BodyText"/>
      </w:pPr>
      <w:r>
        <w:t xml:space="preserve">Sur le vocabulaire. Le mot « putsch» est absent de ce livre. Les changements de</w:t>
      </w:r>
    </w:p>
    <w:p>
      <w:pPr>
        <w:pStyle w:val="BodyText"/>
      </w:pPr>
      <w:r>
        <w:t xml:space="preserve">gouvernement y sont désignés par les termes que les pays concernés emploient eux-mêmes:</w:t>
      </w:r>
    </w:p>
    <w:p>
      <w:pPr>
        <w:pStyle w:val="BodyText"/>
      </w:pPr>
      <w:r>
        <w:t xml:space="preserve">« transition militaire», « autorités de transition», « prise de pouvoir». Ce choix</w:t>
      </w:r>
    </w:p>
    <w:p>
      <w:pPr>
        <w:pStyle w:val="BodyText"/>
      </w:pPr>
      <w:r>
        <w:t xml:space="preserve">n’est pas une complaisance; c’est un refus d’importer le lexique d’une seule des parties.</w:t>
      </w:r>
    </w:p>
    <w:p>
      <w:pPr>
        <w:pStyle w:val="BodyText"/>
      </w:pPr>
      <w:r>
        <w:t xml:space="preserve">Sur les sources engagées. Les analystes panafricanistes cités ici — Nathalie Yamb,</w:t>
      </w:r>
    </w:p>
    <w:p>
      <w:pPr>
        <w:pStyle w:val="BodyText"/>
      </w:pPr>
      <w:r>
        <w:t xml:space="preserve">Banda Kani, Franklin Nyamsi, Jonathan Batenguene, Anatole Ayissi, Dr Yamb Ntimba,</w:t>
      </w:r>
    </w:p>
    <w:p>
      <w:pPr>
        <w:pStyle w:val="BodyText"/>
      </w:pPr>
      <w:r>
        <w:t xml:space="preserve">Bertrand Tatsinda, Siké Doumbé, Jules Domche, Charly Kengne et d’autres — sont parties</w:t>
      </w:r>
    </w:p>
    <w:p>
      <w:pPr>
        <w:pStyle w:val="BodyText"/>
      </w:pPr>
      <w:r>
        <w:t xml:space="preserve">prenantes au débat qu’ils décrivent. Ce statut n’invalide pas leur propos: il l’encadre.</w:t>
      </w:r>
    </w:p>
    <w:p>
      <w:pPr>
        <w:pStyle w:val="BodyText"/>
      </w:pPr>
      <w:r>
        <w:t xml:space="preserve">Le même principe vaut, symétriquement, pour les sources françaises engagées dans le conflit:</w:t>
      </w:r>
    </w:p>
    <w:p>
      <w:pPr>
        <w:pStyle w:val="BodyText"/>
      </w:pPr>
      <w:r>
        <w:t xml:space="preserve">les communiqués du ministère des Armées, les déclarations de l’Élysée, les propos d’une</w:t>
      </w:r>
    </w:p>
    <w:p>
      <w:pPr>
        <w:pStyle w:val="BodyText"/>
      </w:pPr>
      <w:r>
        <w:t xml:space="preserve">ambassadrice comme Anne-Sophie Avé sont eux aussi des paroles de partie. La rigueur ne se</w:t>
      </w:r>
    </w:p>
    <w:p>
      <w:pPr>
        <w:pStyle w:val="BodyText"/>
      </w:pPr>
      <w:r>
        <w:t xml:space="preserve">règle pas sur l’origine géographique d’une source, mais sur sa position par rapport aux</w:t>
      </w:r>
    </w:p>
    <w:p>
      <w:pPr>
        <w:pStyle w:val="BodyText"/>
      </w:pPr>
      <w:r>
        <w:t xml:space="preserve">faits qu’elle rapporte.</w:t>
      </w:r>
    </w:p>
    <w:p>
      <w:pPr>
        <w:pStyle w:val="BodyText"/>
      </w:pPr>
      <w:r>
        <w:t xml:space="preserve">Sur les limites. Une partie des faits relatés ici sont récents — les événements de 2026</w:t>
      </w:r>
    </w:p>
    <w:p>
      <w:pPr>
        <w:pStyle w:val="BodyText"/>
      </w:pPr>
      <w:r>
        <w:t xml:space="preserve">en particulier (les attaques du 25 avril, les révélations de RTL du 9 mai, l’affaire</w:t>
      </w:r>
    </w:p>
    <w:p>
      <w:pPr>
        <w:pStyle w:val="BodyText"/>
      </w:pPr>
      <w:r>
        <w:t xml:space="preserve">Vésilier, le rapport de Human Rights Watch d’avril, la condamnation de Lafarge). Ils sont</w:t>
      </w:r>
    </w:p>
    <w:p>
      <w:pPr>
        <w:pStyle w:val="BodyText"/>
      </w:pPr>
      <w:r>
        <w:t xml:space="preserve">datés et référencés, mais l’histoire récente reste révisable: certaines de ces pièces</w:t>
      </w:r>
    </w:p>
    <w:p>
      <w:pPr>
        <w:pStyle w:val="BodyText"/>
      </w:pPr>
      <w:r>
        <w:t xml:space="preserve">seront complétées, nuancées ou contestées. Les passages reposant sur une source unique ou</w:t>
      </w:r>
    </w:p>
    <w:p>
      <w:pPr>
        <w:pStyle w:val="BodyText"/>
      </w:pPr>
      <w:r>
        <w:t xml:space="preserve">sur un témoignage non recoupé sont signalés comme tels dans le texte. Le lecteur est invité</w:t>
      </w:r>
    </w:p>
    <w:p>
      <w:pPr>
        <w:pStyle w:val="BodyText"/>
      </w:pPr>
      <w:r>
        <w:t xml:space="preserve">à les lire pour ce qu’ils sont: des éléments à confirmer, non des verdicts.</w:t>
      </w:r>
    </w:p>
    <w:bookmarkStart w:id="204" w:name="Xcd86a6338e495f03cfec5226de621034f34bdac"/>
    <w:p>
      <w:pPr>
        <w:pStyle w:val="Heading2"/>
      </w:pPr>
      <w:r>
        <w:t xml:space="preserve">Sources françaises critiques et d’investigation</w:t>
      </w:r>
    </w:p>
    <w:p>
      <w:pPr>
        <w:pStyle w:val="FirstParagraph"/>
      </w:pPr>
      <w:r>
        <w:t xml:space="preserve">Raphaël Granvaud, De l’huile sur le feu (Lux Éditeur, 2024, coll. Dossiers noirs /</w:t>
      </w:r>
    </w:p>
    <w:p>
      <w:pPr>
        <w:pStyle w:val="BodyText"/>
      </w:pPr>
      <w:r>
        <w:t xml:space="preserve">Survie) — opération Sabre, fabrication juridique de Serval, mécanisme de l’aide-influence,</w:t>
      </w:r>
    </w:p>
    <w:p>
      <w:pPr>
        <w:pStyle w:val="BodyText"/>
      </w:pPr>
      <w:r>
        <w:t xml:space="preserve">rôle des sociétés privées de sécurité.</w:t>
      </w:r>
    </w:p>
    <w:p>
      <w:pPr>
        <w:pStyle w:val="BodyText"/>
      </w:pPr>
      <w:r>
        <w:t xml:space="preserve">Thomas Dietrich, L’armée fantôme de Paris (2024) — présence française résiduelle au</w:t>
      </w:r>
    </w:p>
    <w:p>
      <w:pPr>
        <w:pStyle w:val="BodyText"/>
      </w:pPr>
      <w:r>
        <w:t xml:space="preserve">Bénin, école cyber du 43e BIMA.</w:t>
      </w:r>
    </w:p>
    <w:p>
      <w:pPr>
        <w:pStyle w:val="BodyText"/>
      </w:pPr>
      <w:r>
        <w:t xml:space="preserve">Pierre Péan, Carnages (Fayard, 2010) — architecture des guerres secrètes dans les</w:t>
      </w:r>
    </w:p>
    <w:p>
      <w:pPr>
        <w:pStyle w:val="BodyText"/>
      </w:pPr>
      <w:r>
        <w:t xml:space="preserve">Grands Lacs.</w:t>
      </w:r>
    </w:p>
    <w:p>
      <w:pPr>
        <w:pStyle w:val="BodyText"/>
      </w:pPr>
      <w:r>
        <w:t xml:space="preserve">RTL France, George Malbruno (9 mai 2026) — ex-légionnaires et renseignement ukrainien.</w:t>
      </w:r>
    </w:p>
    <w:p>
      <w:pPr>
        <w:pStyle w:val="BodyText"/>
      </w:pPr>
      <w:r>
        <w:t xml:space="preserve">Le Monde / Jérémie Baruch (10 avril 2018) — affaire Elf.</w:t>
      </w:r>
    </w:p>
    <w:p>
      <w:pPr>
        <w:pStyle w:val="BodyText"/>
      </w:pPr>
      <w:r>
        <w:t xml:space="preserve">Le Parisien / Ronan Folgoas (21 mai 2023) — affaire Quignolot, cellule Afrique de l’Élysée.</w:t>
      </w:r>
    </w:p>
    <w:p>
      <w:pPr>
        <w:pStyle w:val="BodyText"/>
      </w:pPr>
      <w:r>
        <w:t xml:space="preserve">France Inter / Élodie Guéguen (26 mai 2023) — groupe Castel, parquet antiterroriste.</w:t>
      </w:r>
    </w:p>
    <w:p>
      <w:pPr>
        <w:pStyle w:val="BodyText"/>
      </w:pPr>
      <w:r>
        <w:t xml:space="preserve">Mediapart, Fanny Pigeaud — fonctionnement du franc CFA.</w:t>
      </w:r>
    </w:p>
    <w:p>
      <w:pPr>
        <w:pStyle w:val="BodyText"/>
      </w:pPr>
      <w:r>
        <w:t xml:space="preserve">L’Express (2024) — « scénario noir» d’effondrement du Mali élaboré avec une quarantaine d’experts; filiation Libye-Sahel, doctrine des « efforts souterrains» vers les sociétés civiles.</w:t>
      </w:r>
    </w:p>
    <w:p>
      <w:pPr>
        <w:pStyle w:val="BodyText"/>
      </w:pPr>
      <w:r>
        <w:t xml:space="preserve">André Bourgeot (CNRS) — « Azawad est une fabrication politique».</w:t>
      </w:r>
    </w:p>
    <w:p>
      <w:pPr>
        <w:pStyle w:val="BodyText"/>
      </w:pPr>
      <w:r>
        <w:t xml:space="preserve">Thomas Porcher (PSB Paris) — partage des revenus pétroliers au Congo.</w:t>
      </w:r>
    </w:p>
    <w:bookmarkEnd w:id="204"/>
    <w:bookmarkStart w:id="205" w:name="X19c9e49f42f6997f627ce89c3252c157b1cefe0"/>
    <w:p>
      <w:pPr>
        <w:pStyle w:val="Heading2"/>
      </w:pPr>
      <w:r>
        <w:t xml:space="preserve">Sources institutionnelles françaises (paroles d’adversaire)</w:t>
      </w:r>
    </w:p>
    <w:p>
      <w:pPr>
        <w:pStyle w:val="FirstParagraph"/>
      </w:pPr>
      <w:r>
        <w:t xml:space="preserve">Commission parlementaire française sur les relations France-Afrique — « Nous avons</w:t>
      </w:r>
    </w:p>
    <w:p>
      <w:pPr>
        <w:pStyle w:val="BodyText"/>
      </w:pPr>
      <w:r>
        <w:t xml:space="preserve">besoin de l’Afrique plus qu’elle n’a besoin de nous.»</w:t>
      </w:r>
    </w:p>
    <w:p>
      <w:pPr>
        <w:pStyle w:val="BodyText"/>
      </w:pPr>
      <w:r>
        <w:t xml:space="preserve">Général Thierry Burkhard, chef d’état-major des armées — audition à huis clos,</w:t>
      </w:r>
    </w:p>
    <w:p>
      <w:pPr>
        <w:pStyle w:val="BodyText"/>
      </w:pPr>
      <w:r>
        <w:t xml:space="preserve">Assemblée nationale, septembre 2024.</w:t>
      </w:r>
    </w:p>
    <w:p>
      <w:pPr>
        <w:pStyle w:val="BodyText"/>
      </w:pPr>
      <w:r>
        <w:t xml:space="preserve">Alain Juillet, ancien directeur du renseignement de la DGSE — diagnostic du déclin</w:t>
      </w:r>
    </w:p>
    <w:p>
      <w:pPr>
        <w:pStyle w:val="BodyText"/>
      </w:pPr>
      <w:r>
        <w:t xml:space="preserve">de l’influence française.</w:t>
      </w:r>
    </w:p>
    <w:p>
      <w:pPr>
        <w:pStyle w:val="BodyText"/>
      </w:pPr>
      <w:r>
        <w:t xml:space="preserve">Général François Lecointre, ancien chef d’état-major des armées (2017-2021) — « l’échec</w:t>
      </w:r>
    </w:p>
    <w:p>
      <w:pPr>
        <w:pStyle w:val="BodyText"/>
      </w:pPr>
      <w:r>
        <w:t xml:space="preserve">de nos engagements au Sahel»; « on ne fait pas la guerre pour la démocratie mais pour les</w:t>
      </w:r>
    </w:p>
    <w:p>
      <w:pPr>
        <w:pStyle w:val="BodyText"/>
      </w:pPr>
      <w:r>
        <w:t xml:space="preserve">intérêts de la France» (propos rapportés via une source unique, à confirmer).</w:t>
      </w:r>
    </w:p>
    <w:p>
      <w:pPr>
        <w:pStyle w:val="BodyText"/>
      </w:pPr>
      <w:r>
        <w:t xml:space="preserve">Anne-Sophie Avé, ancienne ambassadrice au Mali, directrice Afrique au Quai d’Orsay —</w:t>
      </w:r>
    </w:p>
    <w:p>
      <w:pPr>
        <w:pStyle w:val="BodyText"/>
      </w:pPr>
      <w:r>
        <w:t xml:space="preserve">doctrine de la « dissonance cognitive».</w:t>
      </w:r>
    </w:p>
    <w:p>
      <w:pPr>
        <w:pStyle w:val="BodyText"/>
      </w:pPr>
      <w:r>
        <w:t xml:space="preserve">Rapport Védrine (2013) — le panafricanisme identifié comme « menace».</w:t>
      </w:r>
    </w:p>
    <w:p>
      <w:pPr>
        <w:pStyle w:val="BodyText"/>
      </w:pPr>
      <w:r>
        <w:t xml:space="preserve">André Chassaigne, député, Assemblée nationale (décembre 2013) — 50e intervention</w:t>
      </w:r>
    </w:p>
    <w:p>
      <w:pPr>
        <w:pStyle w:val="BodyText"/>
      </w:pPr>
      <w:r>
        <w:t xml:space="preserve">française, rôle de la RCA.</w:t>
      </w:r>
    </w:p>
    <w:p>
      <w:pPr>
        <w:pStyle w:val="BodyText"/>
      </w:pPr>
      <w:r>
        <w:t xml:space="preserve">Cour des comptes française (2020) — coût de l’opération Barkhane.</w:t>
      </w:r>
    </w:p>
    <w:p>
      <w:pPr>
        <w:pStyle w:val="BodyText"/>
      </w:pPr>
      <w:r>
        <w:t xml:space="preserve">BOFiP, administration fiscale française (17 juillet 2024) — dénonciation des</w:t>
      </w:r>
    </w:p>
    <w:p>
      <w:pPr>
        <w:pStyle w:val="BodyText"/>
      </w:pPr>
      <w:r>
        <w:t xml:space="preserve">conventions fiscales par les États de l’AES.</w:t>
      </w:r>
    </w:p>
    <w:p>
      <w:pPr>
        <w:pStyle w:val="BodyText"/>
      </w:pPr>
      <w:r>
        <w:t xml:space="preserve">Note de transparence. Deux citations de dirigeants français qui circulent dans le débat public — la phrase</w:t>
      </w:r>
    </w:p>
    <w:p>
      <w:pPr>
        <w:pStyle w:val="BodyText"/>
      </w:pPr>
      <w:r>
        <w:t xml:space="preserve">attribuée à Nicolas Sarkozy sur « la civilisation européenne» et celle prêtée à</w:t>
      </w:r>
    </w:p>
    <w:p>
      <w:pPr>
        <w:pStyle w:val="BodyText"/>
      </w:pPr>
      <w:r>
        <w:t xml:space="preserve">Charles de Gaulle (1966) sur la francophonie qui « prendrait le relais de la colonisation» —</w:t>
      </w:r>
    </w:p>
    <w:p>
      <w:pPr>
        <w:pStyle w:val="BodyText"/>
      </w:pPr>
      <w:r>
        <w:t xml:space="preserve">n’ont pas de source primaire vérifiable à ce jour. Elles sont signalées comme telles dans</w:t>
      </w:r>
    </w:p>
    <w:p>
      <w:pPr>
        <w:pStyle w:val="BodyText"/>
      </w:pPr>
      <w:r>
        <w:t xml:space="preserve">le corps du texte et ne doivent pas être présentées comme établies.</w:t>
      </w:r>
    </w:p>
    <w:bookmarkEnd w:id="205"/>
    <w:bookmarkStart w:id="206" w:name="sources-académiques-et-internationales"/>
    <w:p>
      <w:pPr>
        <w:pStyle w:val="Heading2"/>
      </w:pPr>
      <w:r>
        <w:t xml:space="preserve">Sources académiques et internationales</w:t>
      </w:r>
    </w:p>
    <w:p>
      <w:pPr>
        <w:pStyle w:val="FirstParagraph"/>
      </w:pPr>
      <w:r>
        <w:t xml:space="preserve">Mohammad-Mahmoud Ould Mohamedou, « Le nouveau grand jeu des puissances occidentales</w:t>
      </w:r>
    </w:p>
    <w:p>
      <w:pPr>
        <w:pStyle w:val="BodyText"/>
      </w:pPr>
      <w:r>
        <w:t xml:space="preserve">au Sahel», in Michel Galy (dir.), La Guerre au Mali, La Découverte, 2013 — généalogie</w:t>
      </w:r>
    </w:p>
    <w:p>
      <w:pPr>
        <w:pStyle w:val="BodyText"/>
      </w:pPr>
      <w:r>
        <w:t xml:space="preserve">du jihadisme sahélien, normalisation de l’interventionnisme.</w:t>
      </w:r>
    </w:p>
    <w:p>
      <w:pPr>
        <w:pStyle w:val="BodyText"/>
      </w:pPr>
      <w:r>
        <w:t xml:space="preserve">SWP (Institut allemand pour les affaires internationales et la sécurité), Comment</w:t>
      </w:r>
    </w:p>
    <w:p>
      <w:pPr>
        <w:pStyle w:val="BodyText"/>
      </w:pPr>
      <w:r>
        <w:t xml:space="preserve">n° 19, mai 2026 (Kurtz, Lacher, Roll) — rôle déstabilisateur des Émirats arabes unis.</w:t>
      </w:r>
    </w:p>
    <w:p>
      <w:pPr>
        <w:pStyle w:val="BodyText"/>
      </w:pPr>
      <w:r>
        <w:t xml:space="preserve">Frédéric Turpin, Jacques Foccart, dans l’ombre du pouvoir (CNRS Éditions, 2015).</w:t>
      </w:r>
    </w:p>
    <w:p>
      <w:pPr>
        <w:pStyle w:val="BodyText"/>
      </w:pPr>
      <w:r>
        <w:t xml:space="preserve">John Perkins, Confessions of an Economic Hit Man (2004).</w:t>
      </w:r>
    </w:p>
    <w:p>
      <w:pPr>
        <w:pStyle w:val="BodyText"/>
      </w:pPr>
      <w:r>
        <w:t xml:space="preserve">PNUD (indice de développement humain), Banque mondiale, ACLED (2015-2022),</w:t>
      </w:r>
    </w:p>
    <w:p>
      <w:pPr>
        <w:pStyle w:val="BodyText"/>
      </w:pPr>
      <w:r>
        <w:t xml:space="preserve">Haut Comité français pour la transparence nucléaire, CNUCED.</w:t>
      </w:r>
    </w:p>
    <w:p>
      <w:pPr>
        <w:pStyle w:val="BodyText"/>
      </w:pPr>
      <w:r>
        <w:t xml:space="preserve">Emails Clinton/Blumenthal (18 janvier 2013, WikiLeaks) — accord algérien avec Belmokhtar.</w:t>
      </w:r>
    </w:p>
    <w:p>
      <w:pPr>
        <w:pStyle w:val="BodyText"/>
      </w:pPr>
      <w:r>
        <w:t xml:space="preserve">Conseil de l’UE (23 avril 2026). Global Slavery Index (2023). Africa Intelligence.</w:t>
      </w:r>
    </w:p>
    <w:bookmarkEnd w:id="206"/>
    <w:bookmarkStart w:id="207" w:name="sources-panafricanistes-et-africaines"/>
    <w:p>
      <w:pPr>
        <w:pStyle w:val="Heading2"/>
      </w:pPr>
      <w:r>
        <w:t xml:space="preserve">Sources panafricanistes et africaines</w:t>
      </w:r>
    </w:p>
    <w:p>
      <w:pPr>
        <w:pStyle w:val="FirstParagraph"/>
      </w:pPr>
      <w:r>
        <w:t xml:space="preserve">Nathalie Yamb (chroniques Afrique Résurrection, grand débat de Niamey); Dr Yamb Ntimba</w:t>
      </w:r>
    </w:p>
    <w:p>
      <w:pPr>
        <w:pStyle w:val="BodyText"/>
      </w:pPr>
      <w:r>
        <w:t xml:space="preserve">(pyramide de domination); Franklin Nyamsi; Jonathan Batenguène; Anatole Ayissi (par</w:t>
      </w:r>
    </w:p>
    <w:p>
      <w:pPr>
        <w:pStyle w:val="BodyText"/>
      </w:pPr>
      <w:r>
        <w:t xml:space="preserve">ailleurs cadre des Nations unies pour l’Afrique centrale); Banda Kani; Dr Yves Ekoué Amaïzo</w:t>
      </w:r>
    </w:p>
    <w:p>
      <w:pPr>
        <w:pStyle w:val="BodyText"/>
      </w:pPr>
      <w:r>
        <w:t xml:space="preserve">(Afrocentricity Think Tank); Siké Doumbé; Jules Domche (Vox Africa); Charly Kengne;</w:t>
      </w:r>
    </w:p>
    <w:p>
      <w:pPr>
        <w:pStyle w:val="BodyText"/>
      </w:pPr>
      <w:r>
        <w:t xml:space="preserve">Paul Elvira; Dr Douma Jean-René; Fridolin Ngoulou, Jean Ngbandi (Oubangui Médias);</w:t>
      </w:r>
    </w:p>
    <w:p>
      <w:pPr>
        <w:pStyle w:val="BodyText"/>
      </w:pPr>
      <w:r>
        <w:t xml:space="preserve">Ndjoni Sango. Témoignages cités via ces sources: Loïk Le Floch-Prigent, Pascal Lissouba,</w:t>
      </w:r>
    </w:p>
    <w:p>
      <w:pPr>
        <w:pStyle w:val="BodyText"/>
      </w:pPr>
      <w:r>
        <w:t xml:space="preserve">Mamadou Koulibaly, Robert Bourgi, Jean-Bedel Bokassa.</w:t>
      </w:r>
    </w:p>
    <w:bookmarkEnd w:id="207"/>
    <w:bookmarkStart w:id="208" w:name="X2d29540ec80fdb5c91f9e41f9e42076712ce14c"/>
    <w:p>
      <w:pPr>
        <w:pStyle w:val="Heading2"/>
      </w:pPr>
      <w:r>
        <w:t xml:space="preserve">Sources primaires des autorités de l’AES et voisines</w:t>
      </w:r>
    </w:p>
    <w:p>
      <w:pPr>
        <w:pStyle w:val="FirstParagraph"/>
      </w:pPr>
      <w:r>
        <w:t xml:space="preserve">Charte du Liptako-Gourma (16 septembre 2023); discours du général Abdourahamane Tiani</w:t>
      </w:r>
    </w:p>
    <w:p>
      <w:pPr>
        <w:pStyle w:val="BodyText"/>
      </w:pPr>
      <w:r>
        <w:t xml:space="preserve">(RTN, 12 février 2024; 13 novembre 2025; entretien Télé Sahel); déclarations d’Assimi</w:t>
      </w:r>
    </w:p>
    <w:p>
      <w:pPr>
        <w:pStyle w:val="BodyText"/>
      </w:pPr>
      <w:r>
        <w:t xml:space="preserve">Goïta (prise de Kidal, 14 novembre 2023; installation de la Force unifiée, 21 décembre 2025;</w:t>
      </w:r>
    </w:p>
    <w:p>
      <w:pPr>
        <w:pStyle w:val="BodyText"/>
      </w:pPr>
      <w:r>
        <w:t xml:space="preserve">ORTM, 10 mai 2026); du capitaine Ibrahim Traoré (2023; réponse à Macron, 14 janvier 2025);</w:t>
      </w:r>
    </w:p>
    <w:p>
      <w:pPr>
        <w:pStyle w:val="BodyText"/>
      </w:pPr>
      <w:r>
        <w:t xml:space="preserve">de Choguel Kokalla Maïga (ONU, septembre 2021; Bamako, 19 octobre 2024); d’Abdoulaye Maïga</w:t>
      </w:r>
    </w:p>
    <w:p>
      <w:pPr>
        <w:pStyle w:val="BodyText"/>
      </w:pPr>
      <w:r>
        <w:t xml:space="preserve">(ONU, septembre 2022); d’Abdoulaye Diop, ministre malien des Affaires étrangères; communiqué</w:t>
      </w:r>
    </w:p>
    <w:p>
      <w:pPr>
        <w:pStyle w:val="BodyText"/>
      </w:pPr>
      <w:r>
        <w:t xml:space="preserve">conjoint des trois ministres de l’AES (19 août 2024); communiqué du CNSP sur la base d’Agadez</w:t>
      </w:r>
    </w:p>
    <w:p>
      <w:pPr>
        <w:pStyle w:val="BodyText"/>
      </w:pPr>
      <w:r>
        <w:t xml:space="preserve">(RTN, 16 mars 2024); Sylvie Baipo Témon, ministre des Affaires étrangères de la RCA (octobre 2021).</w:t>
      </w:r>
    </w:p>
    <w:p>
      <w:pPr>
        <w:pStyle w:val="BodyText"/>
      </w:pPr>
      <w:r>
        <w:t xml:space="preserve">« La rigueur n’est pas l’apanage de ceux qui dominent. Elle est l’arme de ceux qui résistent.»</w:t>
      </w:r>
    </w:p>
    <w:p>
      <w:r>
        <w:pict>
          <v:rect style="width:0;height:1.5pt" o:hralign="center" o:hrstd="t" o:hr="t"/>
        </w:pict>
      </w:r>
    </w:p>
    <w:bookmarkEnd w:id="208"/>
    <w:bookmarkEnd w:id="209"/>
    <w:bookmarkStart w:id="215" w:name="Xd50cbfc4957babc24a0cc3e9efe2a982392b033"/>
    <w:p>
      <w:pPr>
        <w:pStyle w:val="Heading1"/>
      </w:pPr>
      <w:r>
        <w:t xml:space="preserve">Annexe — Débat : Le Franc CFA Analysé par Ndongo Samba Sylla</w:t>
      </w:r>
    </w:p>
    <w:p>
      <w:pPr>
        <w:pStyle w:val="BlockText"/>
      </w:pPr>
      <w:r>
        <w:t xml:space="preserve">Transcription d’une conférence de Ndongo Samba Sylla, économiste, sur les arguments pro-CFA et les données empiriques du développement dans la zone franc.</w:t>
      </w:r>
    </w:p>
    <w:bookmarkStart w:id="210" w:name="le-cfa-une-exception-mondiale"/>
    <w:p>
      <w:pPr>
        <w:pStyle w:val="Heading2"/>
      </w:pPr>
      <w:r>
        <w:t xml:space="preserve">Le CFA : une exception mondiale</w:t>
      </w:r>
    </w:p>
    <w:p>
      <w:pPr>
        <w:pStyle w:val="FirstParagraph"/>
      </w:pPr>
      <w:r>
        <w:t xml:space="preserve">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pStyle w:val="BodyText"/>
      </w:pPr>
      <w:r>
        <w:t xml:space="preserve">Les pays utilisant le franc CFA (UEMOA + CEMAC) représentent</w:t>
      </w:r>
      <w:r>
        <w:t xml:space="preserve"> </w:t>
      </w:r>
      <w:r>
        <w:rPr>
          <w:bCs/>
          <w:b/>
        </w:rPr>
        <w:t xml:space="preserve">2,6 % de la population mondiale</w:t>
      </w:r>
      <w:r>
        <w:t xml:space="preserve"> </w:t>
      </w:r>
      <w:r>
        <w:t xml:space="preserve">et seulement</w:t>
      </w:r>
      <w:r>
        <w:t xml:space="preserve"> </w:t>
      </w:r>
      <w:r>
        <w:rPr>
          <w:bCs/>
          <w:b/>
        </w:rPr>
        <w:t xml:space="preserve">0,3 % du PIB mondial</w:t>
      </w:r>
      <w:r>
        <w:t xml:space="preserve"> </w:t>
      </w:r>
      <w:r>
        <w:t xml:space="preserve">— trois fois moins que ce que leur population justifierait.</w:t>
      </w:r>
    </w:p>
    <w:bookmarkEnd w:id="210"/>
    <w:bookmarkStart w:id="211" w:name="Xa4b3e60310d66769815157d2b93bea8d228f3e7"/>
    <w:p>
      <w:pPr>
        <w:pStyle w:val="Heading2"/>
      </w:pPr>
      <w:r>
        <w:t xml:space="preserve">L’absence de théorie scientifique de l’inflation</w:t>
      </w:r>
    </w:p>
    <w:p>
      <w:pPr>
        <w:pStyle w:val="FirstParagraph"/>
      </w:pPr>
      <w:r>
        <w:t xml:space="preserve">Hyman Minsky, l’un des plus grands économistes du XXe siècle, a montré que les économies capitalistes sont intrinsèquement instables. En 2017, Jerome Powell, alors gouverneur de la Fed, a déclaré au Financial Times que la banque centrale américaine — la plus puissante au monde —</w:t>
      </w:r>
      <w:r>
        <w:t xml:space="preserve"> </w:t>
      </w:r>
      <w:r>
        <w:rPr>
          <w:bCs/>
          <w:b/>
        </w:rPr>
        <w:t xml:space="preserve">n’a pas de théorie valide de l’inflation</w:t>
      </w:r>
      <w:r>
        <w:t xml:space="preserve">. Pourtant, les défenseurs du CFA prétendent disposer d’une telle théorie.</w:t>
      </w:r>
    </w:p>
    <w:p>
      <w:pPr>
        <w:pStyle w:val="BodyText"/>
      </w:pPr>
      <w:r>
        <w:t xml:space="preserve">Le monétarisme, sur lequel repose toute la critique anti-inflation, a été discrédité depuis les années 1980. Il ne peut pas expliquer :</w:t>
      </w:r>
    </w:p>
    <w:p>
      <w:pPr>
        <w:numPr>
          <w:ilvl w:val="0"/>
          <w:numId w:val="1001"/>
        </w:numPr>
        <w:pStyle w:val="Compact"/>
      </w:pPr>
      <w:r>
        <w:t xml:space="preserve">pourquoi des pays à forte croissance ont des taux d’inflation élevés</w:t>
      </w:r>
    </w:p>
    <w:p>
      <w:pPr>
        <w:numPr>
          <w:ilvl w:val="0"/>
          <w:numId w:val="1001"/>
        </w:numPr>
        <w:pStyle w:val="Compact"/>
      </w:pPr>
      <w:r>
        <w:t xml:space="preserve">pourquoi des pays à faible inflation restent pauvres</w:t>
      </w:r>
    </w:p>
    <w:p>
      <w:pPr>
        <w:numPr>
          <w:ilvl w:val="0"/>
          <w:numId w:val="1001"/>
        </w:numPr>
        <w:pStyle w:val="Compact"/>
      </w:pPr>
      <w:r>
        <w:t xml:space="preserve">pourquoi des pays à niveaux d’inflation similaires ont des trajectoires économiques radicalement différentes</w:t>
      </w:r>
    </w:p>
    <w:bookmarkEnd w:id="211"/>
    <w:bookmarkStart w:id="212" w:name="Xab75c280854fdd4468a2255329c27269280f6b2"/>
    <w:p>
      <w:pPr>
        <w:pStyle w:val="Heading2"/>
      </w:pPr>
      <w:r>
        <w:t xml:space="preserve">L’effondrement du revenu réel à long terme</w:t>
      </w:r>
    </w:p>
    <w:p>
      <w:pPr>
        <w:pStyle w:val="FirstParagraph"/>
      </w:pPr>
      <w:r>
        <w:t xml:space="preserve">Les données de la Banque mondiale (en dollars constants 2015) révèlent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Pays</w:t>
            </w:r>
          </w:p>
        </w:tc>
        <w:tc>
          <w:tcPr/>
          <w:p>
            <w:pPr>
              <w:pStyle w:val="Compact"/>
              <w:jc w:val="left"/>
            </w:pPr>
            <w:r>
              <w:t xml:space="preserve">Meilleur niveau de PIB/hab.</w:t>
            </w:r>
          </w:p>
        </w:tc>
        <w:tc>
          <w:tcPr/>
          <w:p>
            <w:pPr>
              <w:pStyle w:val="Compact"/>
              <w:jc w:val="left"/>
            </w:pPr>
            <w:r>
              <w:t xml:space="preserve">Niveau en 2020–2022</w:t>
            </w:r>
          </w:p>
        </w:tc>
        <w:tc>
          <w:tcPr/>
          <w:p>
            <w:pPr>
              <w:pStyle w:val="Compact"/>
              <w:jc w:val="left"/>
            </w:pPr>
            <w:r>
              <w:t xml:space="preserve">Évolution</w:t>
            </w:r>
          </w:p>
        </w:tc>
      </w:tr>
      <w:tr>
        <w:tc>
          <w:tcPr/>
          <w:p>
            <w:pPr>
              <w:pStyle w:val="Compact"/>
              <w:jc w:val="left"/>
            </w:pPr>
            <w:r>
              <w:t xml:space="preserve">Côte d’Ivoire</w:t>
            </w:r>
          </w:p>
        </w:tc>
        <w:tc>
          <w:tcPr/>
          <w:p>
            <w:pPr>
              <w:pStyle w:val="Compact"/>
              <w:jc w:val="left"/>
            </w:pPr>
            <w:r>
              <w:t xml:space="preserve">2 868 $ (1978)</w:t>
            </w:r>
          </w:p>
        </w:tc>
        <w:tc>
          <w:tcPr/>
          <w:p>
            <w:pPr>
              <w:pStyle w:val="Compact"/>
              <w:jc w:val="left"/>
            </w:pPr>
            <w:r>
              <w:t xml:space="preserve">2 055 $</w:t>
            </w:r>
          </w:p>
        </w:tc>
        <w:tc>
          <w:tcPr/>
          <w:p>
            <w:pPr>
              <w:pStyle w:val="Compact"/>
              <w:jc w:val="left"/>
            </w:pPr>
            <w:r>
              <w:rPr>
                <w:bCs/>
                <w:b/>
              </w:rPr>
              <w:t xml:space="preserve">−28 %</w:t>
            </w:r>
          </w:p>
        </w:tc>
      </w:tr>
      <w:tr>
        <w:tc>
          <w:tcPr/>
          <w:p>
            <w:pPr>
              <w:pStyle w:val="Compact"/>
              <w:jc w:val="left"/>
            </w:pPr>
            <w:r>
              <w:t xml:space="preserve">Guinée équatoriale</w:t>
            </w:r>
          </w:p>
        </w:tc>
        <w:tc>
          <w:tcPr/>
          <w:p>
            <w:pPr>
              <w:pStyle w:val="Compact"/>
              <w:jc w:val="left"/>
            </w:pPr>
            <w:r>
              <w:t xml:space="preserve">supérieur à l’Espagne (années 2000)</w:t>
            </w:r>
          </w:p>
        </w:tc>
        <w:tc>
          <w:tcPr/>
          <w:p>
            <w:pPr>
              <w:pStyle w:val="Compact"/>
              <w:jc w:val="left"/>
            </w:pPr>
            <w:r>
              <w:t xml:space="preserve">−58 %</w:t>
            </w:r>
          </w:p>
        </w:tc>
        <w:tc>
          <w:tcPr/>
          <w:p>
            <w:pPr>
              <w:pStyle w:val="Compact"/>
              <w:jc w:val="left"/>
            </w:pPr>
            <w:r>
              <w:rPr>
                <w:bCs/>
                <w:b/>
              </w:rPr>
              <w:t xml:space="preserve">−58 %</w:t>
            </w:r>
          </w:p>
        </w:tc>
      </w:tr>
      <w:tr>
        <w:tc>
          <w:tcPr/>
          <w:p>
            <w:pPr>
              <w:pStyle w:val="Compact"/>
              <w:jc w:val="left"/>
            </w:pPr>
            <w:r>
              <w:t xml:space="preserve">République du Congo</w:t>
            </w:r>
          </w:p>
        </w:tc>
        <w:tc>
          <w:tcPr/>
          <w:p>
            <w:pPr>
              <w:pStyle w:val="Compact"/>
              <w:jc w:val="left"/>
            </w:pPr>
            <w:r>
              <w:t xml:space="preserve">6 534 $ (1976)</w:t>
            </w:r>
          </w:p>
        </w:tc>
        <w:tc>
          <w:tcPr/>
          <w:p>
            <w:pPr>
              <w:pStyle w:val="Compact"/>
              <w:jc w:val="left"/>
            </w:pPr>
            <w:r>
              <w:t xml:space="preserve">~2 700 $</w:t>
            </w:r>
          </w:p>
        </w:tc>
        <w:tc>
          <w:tcPr/>
          <w:p>
            <w:pPr>
              <w:pStyle w:val="Compact"/>
              <w:jc w:val="left"/>
            </w:pPr>
            <w:r>
              <w:rPr>
                <w:bCs/>
                <w:b/>
              </w:rPr>
              <w:t xml:space="preserve">−56 %</w:t>
            </w:r>
          </w:p>
        </w:tc>
      </w:tr>
      <w:tr>
        <w:tc>
          <w:tcPr/>
          <w:p>
            <w:pPr>
              <w:pStyle w:val="Compact"/>
              <w:jc w:val="left"/>
            </w:pPr>
            <w:r>
              <w:t xml:space="preserve">Gabon</w:t>
            </w:r>
          </w:p>
        </w:tc>
        <w:tc>
          <w:tcPr/>
          <w:p>
            <w:pPr>
              <w:pStyle w:val="Compact"/>
              <w:jc w:val="left"/>
            </w:pPr>
            <w:r>
              <w:t xml:space="preserve">pic en 1976</w:t>
            </w:r>
          </w:p>
        </w:tc>
        <w:tc>
          <w:tcPr/>
          <w:p>
            <w:pPr>
              <w:pStyle w:val="Compact"/>
              <w:jc w:val="left"/>
            </w:pPr>
            <w:r>
              <w:t xml:space="preserve">recul majeur</w:t>
            </w:r>
          </w:p>
        </w:tc>
        <w:tc>
          <w:tcPr/>
          <w:p>
            <w:pPr>
              <w:pStyle w:val="Compact"/>
              <w:jc w:val="left"/>
            </w:pPr>
            <w:r>
              <w:rPr>
                <w:bCs/>
                <w:b/>
              </w:rPr>
              <w:t xml:space="preserve">−56 %</w:t>
            </w:r>
          </w:p>
        </w:tc>
      </w:tr>
    </w:tbl>
    <w:p>
      <w:pPr>
        <w:pStyle w:val="BodyText"/>
      </w:pPr>
      <w:r>
        <w:t xml:space="preserve">Un rapport de la Banque mondiale sur l’ajustement structurel indique que le Sénégal a connu le</w:t>
      </w:r>
      <w:r>
        <w:t xml:space="preserve"> </w:t>
      </w:r>
      <w:r>
        <w:rPr>
          <w:bCs/>
          <w:b/>
        </w:rPr>
        <w:t xml:space="preserve">taux de croissance du PIB le plus bas de tous les pays africains n’ayant pas connu de guerre civile</w:t>
      </w:r>
      <w:r>
        <w:t xml:space="preserve">.</w:t>
      </w:r>
    </w:p>
    <w:p>
      <w:pPr>
        <w:pStyle w:val="BodyText"/>
      </w:pPr>
      <w:r>
        <w:t xml:space="preserve">Aucun pays de la zone franc n’est sorti de la catégorie des</w:t>
      </w:r>
      <w:r>
        <w:t xml:space="preserve"> </w:t>
      </w:r>
      <w:r>
        <w:rPr>
          <w:bCs/>
          <w:b/>
        </w:rPr>
        <w:t xml:space="preserve">pays les moins avancés</w:t>
      </w:r>
      <w:r>
        <w:t xml:space="preserve"> </w:t>
      </w:r>
      <w:r>
        <w:t xml:space="preserve">depuis la création de cette catégorie en 1971 — à l’exception de la Guinée équatoriale, dont le revenu par habitant a pourtant reculé de 58 %.</w:t>
      </w:r>
    </w:p>
    <w:bookmarkEnd w:id="212"/>
    <w:bookmarkStart w:id="213" w:name="la-dépendance-structurelle-au-fmi"/>
    <w:p>
      <w:pPr>
        <w:pStyle w:val="Heading2"/>
      </w:pPr>
      <w:r>
        <w:t xml:space="preserve">La dépendance structurelle au FMI</w:t>
      </w:r>
    </w:p>
    <w:p>
      <w:pPr>
        <w:pStyle w:val="FirstParagraph"/>
      </w:pPr>
      <w:r>
        <w:t xml:space="preserve">La balance courante des pays CFA est déficitaire depuis les années 1970. Pour maintenir la parité fixe avec l’euro, les banques centrales doivent accumuler des réserves en devises qu’elles ne gagnent pas par le commerce — elles les</w:t>
      </w:r>
      <w:r>
        <w:t xml:space="preserve"> </w:t>
      </w:r>
      <w:r>
        <w:rPr>
          <w:bCs/>
          <w:b/>
        </w:rPr>
        <w:t xml:space="preserve">empruntent</w:t>
      </w:r>
      <w:r>
        <w:t xml:space="preserve">.</w:t>
      </w:r>
    </w:p>
    <w:p>
      <w:pPr>
        <w:pStyle w:val="BodyText"/>
      </w:pPr>
      <w:r>
        <w:t xml:space="preserve">Sur 609 prêts accordés par le FMI à l’Afrique depuis les indépendances jusqu’en 2023,</w:t>
      </w:r>
      <w:r>
        <w:t xml:space="preserve"> </w:t>
      </w:r>
      <w:r>
        <w:rPr>
          <w:bCs/>
          <w:b/>
        </w:rPr>
        <w:t xml:space="preserve">200 ont bénéficié aux 14 pays CFA</w:t>
      </w:r>
      <w:r>
        <w:t xml:space="preserve">, soit un tiers des prêts et près de</w:t>
      </w:r>
      <w:r>
        <w:t xml:space="preserve"> </w:t>
      </w:r>
      <w:r>
        <w:rPr>
          <w:bCs/>
          <w:b/>
        </w:rPr>
        <w:t xml:space="preserve">19 % de la valeur totale</w:t>
      </w:r>
      <w:r>
        <w:t xml:space="preserve">. Le Sénégal figure dans le top 3 des pays africains les plus dépendants du FMI (22 prêts depuis 1960, soit 2,2 milliards de dollars).</w:t>
      </w:r>
    </w:p>
    <w:p>
      <w:pPr>
        <w:pStyle w:val="BodyText"/>
      </w:pPr>
      <w:r>
        <w:t xml:space="preserve">L’économiste Peter Doyle, ancien directeur du FMI pour la zone euro, a démontré dans une lettre de démission retentissante que le FMI pratiquait ce qu’il appelait une</w:t>
      </w:r>
      <w:r>
        <w:t xml:space="preserve"> </w:t>
      </w:r>
      <w:r>
        <w:rPr>
          <w:iCs/>
          <w:i/>
        </w:rPr>
        <w:t xml:space="preserve">economic malpractice</w:t>
      </w:r>
      <w:r>
        <w:t xml:space="preserve"> </w:t>
      </w:r>
      <w:r>
        <w:t xml:space="preserve">(malfaisance économique) en imposant des surplus primaires excessifs. Aux pays CFA, il a imposé en moyenne</w:t>
      </w:r>
      <w:r>
        <w:t xml:space="preserve"> </w:t>
      </w:r>
      <w:r>
        <w:rPr>
          <w:bCs/>
          <w:b/>
        </w:rPr>
        <w:t xml:space="preserve">1,8 % de surplus primaire</w:t>
      </w:r>
      <w:r>
        <w:t xml:space="preserve">, ce qui comprime l’investissement public et bloque le développement.</w:t>
      </w:r>
    </w:p>
    <w:bookmarkEnd w:id="213"/>
    <w:bookmarkStart w:id="214" w:name="linstabilité-politique-comme-résultat"/>
    <w:p>
      <w:pPr>
        <w:pStyle w:val="Heading2"/>
      </w:pPr>
      <w:r>
        <w:t xml:space="preserve">L’instabilité politique comme résultat</w:t>
      </w:r>
    </w:p>
    <w:p>
      <w:pPr>
        <w:pStyle w:val="FirstParagraph"/>
      </w:pPr>
      <w:r>
        <w:t xml:space="preserve">Depuis 1960 jusqu’en 2023, il y a eu</w:t>
      </w:r>
      <w:r>
        <w:t xml:space="preserve"> </w:t>
      </w:r>
      <w:r>
        <w:rPr>
          <w:bCs/>
          <w:b/>
        </w:rPr>
        <w:t xml:space="preserve">375 coups d’État militaires réussis dans le monde</w:t>
      </w:r>
      <w:r>
        <w:t xml:space="preserve">, dont 160 en Afrique — et</w:t>
      </w:r>
      <w:r>
        <w:t xml:space="preserve"> </w:t>
      </w:r>
      <w:r>
        <w:rPr>
          <w:bCs/>
          <w:b/>
        </w:rPr>
        <w:t xml:space="preserve">71 dans les seuls pays CFA</w:t>
      </w:r>
      <w:r>
        <w:t xml:space="preserve">. Sur la seule période 2020–2023,</w:t>
      </w:r>
      <w:r>
        <w:t xml:space="preserve"> </w:t>
      </w:r>
      <w:r>
        <w:rPr>
          <w:bCs/>
          <w:b/>
        </w:rPr>
        <w:t xml:space="preserve">14 des coups d’État mondiaux</w:t>
      </w:r>
      <w:r>
        <w:t xml:space="preserve"> </w:t>
      </w:r>
      <w:r>
        <w:t xml:space="preserve">ont eu lieu dans des pays de la zone franc historique.</w:t>
      </w:r>
    </w:p>
    <w:p>
      <w:pPr>
        <w:pStyle w:val="BodyText"/>
      </w:pPr>
      <w:r>
        <w:t xml:space="preserve">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pStyle w:val="BodyText"/>
      </w:pPr>
      <w:r>
        <w:rPr>
          <w:iCs/>
          <w:i/>
        </w:rPr>
        <w:t xml:space="preserve">Source : Transcription d’une conférence de Ndongo Samba Sylla, économiste, auteur de</w:t>
      </w:r>
      <w:r>
        <w:t xml:space="preserve"> </w:t>
      </w:r>
      <w:r>
        <w:t xml:space="preserve">La Monnaie Africaine</w:t>
      </w:r>
      <w:r>
        <w:t xml:space="preserve"> </w:t>
      </w:r>
      <w:r>
        <w:rPr>
          <w:iCs/>
          <w:i/>
        </w:rPr>
        <w:t xml:space="preserve">et co-auteur de</w:t>
      </w:r>
      <w:r>
        <w:t xml:space="preserve"> </w:t>
      </w:r>
      <w:r>
        <w:t xml:space="preserve">Economic Justice for Africa.</w:t>
      </w:r>
      <w:r>
        <w:t xml:space="preserve"> </w:t>
      </w:r>
      <w:r>
        <w:rPr>
          <w:iCs/>
          <w:i/>
        </w:rPr>
        <w:t xml:space="preserve">Débat sur le franc CFA et le développement des pays africains.</w:t>
      </w:r>
    </w:p>
    <w:p>
      <w:r>
        <w:pict>
          <v:rect style="width:0;height:1.5pt" o:hralign="center" o:hrstd="t" o:hr="t"/>
        </w:pict>
      </w:r>
    </w:p>
    <w:bookmarkEnd w:id="214"/>
    <w:bookmarkEnd w:id="215"/>
    <w:bookmarkStart w:id="218" w:name="Xbcb4c809ca8e79687ca3294c8b2e4f705caf9a8"/>
    <w:p>
      <w:pPr>
        <w:pStyle w:val="Heading1"/>
      </w:pPr>
      <w:r>
        <w:t xml:space="preserve">Annexe — Suite de l’Attaque de Juin 2026 : Aéroport du Niger et Guerre Informationnelle</w:t>
      </w:r>
    </w:p>
    <w:p>
      <w:pPr>
        <w:pStyle w:val="BlockText"/>
      </w:pPr>
      <w:r>
        <w:t xml:space="preserve">Cette annexe documente les développements survenus après l’attaque de l’aéroport du Niger de</w:t>
      </w:r>
      <w:r>
        <w:t xml:space="preserve"> </w:t>
      </w:r>
      <w:r>
        <w:rPr>
          <w:bCs/>
          <w:b/>
        </w:rPr>
        <w:t xml:space="preserve">juin 2026</w:t>
      </w:r>
      <w:r>
        <w:t xml:space="preserve">, en particulier la dimension de guerre de l’information révélée lors des arrestations.</w:t>
      </w:r>
    </w:p>
    <w:bookmarkStart w:id="216" w:name="X1fd8c2f0e01237d0cc8070f58a5ba4d8443a367"/>
    <w:p>
      <w:pPr>
        <w:pStyle w:val="Heading2"/>
      </w:pPr>
      <w:r>
        <w:t xml:space="preserve">Analyse : la propagande comme composante tactique</w:t>
      </w:r>
    </w:p>
    <w:p>
      <w:pPr>
        <w:pStyle w:val="FirstParagraph"/>
      </w:pPr>
      <w:r>
        <w:t xml:space="preserve">Cet épisode illustre un phénomène documenté tout au long du livre (voir Chapitre 14 — La bataille de l’information) :</w:t>
      </w:r>
      <w:r>
        <w:t xml:space="preserve"> </w:t>
      </w:r>
      <w:r>
        <w:rPr>
          <w:bCs/>
          <w:b/>
        </w:rPr>
        <w:t xml:space="preserve">les attaques armées au Sahel sont désormais systématiquement couplées à un dispositif de diffusion médiatique instantanée</w:t>
      </w:r>
      <w:r>
        <w:t xml:space="preserve">.</w:t>
      </w:r>
    </w:p>
    <w:p>
      <w:pPr>
        <w:pStyle w:val="BodyText"/>
      </w:pPr>
      <w:r>
        <w:t xml:space="preserve">Le schéma révélé ici comporte plusieurs éléments caractéristiques :</w:t>
      </w:r>
    </w:p>
    <w:p>
      <w:pPr>
        <w:numPr>
          <w:ilvl w:val="0"/>
          <w:numId w:val="1002"/>
        </w:numPr>
        <w:pStyle w:val="Compact"/>
      </w:pPr>
      <w:r>
        <w:rPr>
          <w:bCs/>
          <w:b/>
        </w:rPr>
        <w:t xml:space="preserve">Pré-positionnement d’un relais médiatique</w:t>
      </w:r>
      <w:r>
        <w:t xml:space="preserve"> </w:t>
      </w:r>
      <w:r>
        <w:t xml:space="preserve">: le contact est établi avant l’attaque, pas après. La diffusion est planifiée comme partie intégrante de l’opération.</w:t>
      </w:r>
    </w:p>
    <w:p>
      <w:pPr>
        <w:numPr>
          <w:ilvl w:val="0"/>
          <w:numId w:val="1002"/>
        </w:numPr>
        <w:pStyle w:val="Compact"/>
      </w:pPr>
      <w:r>
        <w:rPr>
          <w:bCs/>
          <w:b/>
        </w:rPr>
        <w:t xml:space="preserve">Utilisation de figures journalistiques</w:t>
      </w:r>
      <w:r>
        <w:t xml:space="preserve"> </w:t>
      </w:r>
      <w:r>
        <w:t xml:space="preserve">: un professionnel des médias, disposant d’une audience et d’une crédibilité, est choisi comme vecteur — ce qui confère à la propagande une apparence de légitimité informationnelle.</w:t>
      </w:r>
    </w:p>
    <w:p>
      <w:pPr>
        <w:numPr>
          <w:ilvl w:val="0"/>
          <w:numId w:val="1002"/>
        </w:numPr>
        <w:pStyle w:val="Compact"/>
      </w:pPr>
      <w:r>
        <w:rPr>
          <w:bCs/>
          <w:b/>
        </w:rPr>
        <w:t xml:space="preserve">Ciblage transfrontalier</w:t>
      </w:r>
      <w:r>
        <w:t xml:space="preserve"> </w:t>
      </w:r>
      <w:r>
        <w:t xml:space="preserve">: le relais est basé en Côte d’Ivoire (+225 = indicatif ivoirien), illustrant la dimension régionale et diasporique des réseaux d’information liés aux groupes armés.</w:t>
      </w:r>
    </w:p>
    <w:p>
      <w:pPr>
        <w:numPr>
          <w:ilvl w:val="0"/>
          <w:numId w:val="1002"/>
        </w:numPr>
        <w:pStyle w:val="Compact"/>
      </w:pPr>
      <w:r>
        <w:rPr>
          <w:bCs/>
          <w:b/>
        </w:rPr>
        <w:t xml:space="preserve">Immédiateté recherchée</w:t>
      </w:r>
      <w:r>
        <w:t xml:space="preserve"> </w:t>
      </w:r>
      <w:r>
        <w:t xml:space="preserve">: les « premières images » constituent l’objectif — la vitesse de diffusion prime sur tout autre considération.</w:t>
      </w:r>
    </w:p>
    <w:bookmarkEnd w:id="216"/>
    <w:bookmarkStart w:id="217" w:name="Xf8d37e3aeefddced35999de416645cfc2c995d1"/>
    <w:p>
      <w:pPr>
        <w:pStyle w:val="Heading2"/>
      </w:pPr>
      <w:r>
        <w:t xml:space="preserve">La guerre de l’information : un front permanent</w:t>
      </w:r>
    </w:p>
    <w:p>
      <w:pPr>
        <w:pStyle w:val="FirstParagraph"/>
      </w:pPr>
      <w:r>
        <w:t xml:space="preserve">Comme analysé dans le Chapitre 14, la bataille de l’information au Sahel se déroule sur plusieurs fronts simultanés :</w:t>
      </w:r>
    </w:p>
    <w:p>
      <w:pPr>
        <w:numPr>
          <w:ilvl w:val="0"/>
          <w:numId w:val="1003"/>
        </w:numPr>
        <w:pStyle w:val="Compact"/>
      </w:pPr>
      <w:r>
        <w:rPr>
          <w:bCs/>
          <w:b/>
        </w:rPr>
        <w:t xml:space="preserve">La désinformation offensive</w:t>
      </w:r>
      <w:r>
        <w:t xml:space="preserve"> </w:t>
      </w:r>
      <w:r>
        <w:t xml:space="preserve">— diffusion rapide d’images et de récits favorables aux groupes armés</w:t>
      </w:r>
    </w:p>
    <w:p>
      <w:pPr>
        <w:numPr>
          <w:ilvl w:val="0"/>
          <w:numId w:val="1003"/>
        </w:numPr>
        <w:pStyle w:val="Compact"/>
      </w:pPr>
      <w:r>
        <w:rPr>
          <w:bCs/>
          <w:b/>
        </w:rPr>
        <w:t xml:space="preserve">La contre-narrative des autorités</w:t>
      </w:r>
      <w:r>
        <w:t xml:space="preserve"> </w:t>
      </w:r>
      <w:r>
        <w:t xml:space="preserve">— communiqués officiels, bilans sécuritaires, arrestations médiatisées</w:t>
      </w:r>
    </w:p>
    <w:p>
      <w:pPr>
        <w:numPr>
          <w:ilvl w:val="0"/>
          <w:numId w:val="1003"/>
        </w:numPr>
        <w:pStyle w:val="Compact"/>
      </w:pPr>
      <w:r>
        <w:rPr>
          <w:bCs/>
          <w:b/>
        </w:rPr>
        <w:t xml:space="preserve">Les réseaux diasporiques</w:t>
      </w:r>
      <w:r>
        <w:t xml:space="preserve"> </w:t>
      </w:r>
      <w:r>
        <w:t xml:space="preserve">— amplification via des pages et comptes basés hors du Sahel</w:t>
      </w:r>
    </w:p>
    <w:p>
      <w:pPr>
        <w:numPr>
          <w:ilvl w:val="0"/>
          <w:numId w:val="1003"/>
        </w:numPr>
        <w:pStyle w:val="Compact"/>
      </w:pPr>
      <w:r>
        <w:rPr>
          <w:bCs/>
          <w:b/>
        </w:rPr>
        <w:t xml:space="preserve">La instrumentalisation des médias</w:t>
      </w:r>
      <w:r>
        <w:t xml:space="preserve"> </w:t>
      </w:r>
      <w:r>
        <w:t xml:space="preserve">— utilisation de journalistes ou de pages à forte audience comme relais</w:t>
      </w:r>
    </w:p>
    <w:p>
      <w:pPr>
        <w:pStyle w:val="FirstParagraph"/>
      </w:pPr>
      <w:r>
        <w:t xml:space="preserve">Le cas Yacouba Doumbia, s’il est avéré, représente un exemple concret de la catégorie (3) et (4) combinées : un journaliste étranger, disposant d’une audience propre, intégré dans un dispositif de propagande pré-planifié.</w:t>
      </w:r>
    </w:p>
    <w:p>
      <w:pPr>
        <w:pStyle w:val="BodyText"/>
      </w:pPr>
      <w:r>
        <w:rPr>
          <w:iCs/>
          <w:i/>
        </w:rPr>
        <w:t xml:space="preserve">À rapprocher de : Chapitre 14 — La bataille de l’information ; Chapitre 18 — Niger : le verrou final ; Annexe 40 — Débat sur le franc CFA.</w:t>
      </w:r>
    </w:p>
    <w:p>
      <w:r>
        <w:pict>
          <v:rect style="width:0;height:1.5pt" o:hralign="center" o:hrstd="t" o:hr="t"/>
        </w:pict>
      </w:r>
    </w:p>
    <w:bookmarkEnd w:id="217"/>
    <w:bookmarkEnd w:id="218"/>
    <w:bookmarkStart w:id="224" w:name="Xa77b1112fe850e3b5bd98d52574cc0f257345b3"/>
    <w:p>
      <w:pPr>
        <w:pStyle w:val="Heading1"/>
      </w:pPr>
      <w:r>
        <w:t xml:space="preserve">Chapitre — Kenya : Le Schéma de la Base Permanente</w:t>
      </w:r>
    </w:p>
    <w:p>
      <w:pPr>
        <w:pStyle w:val="BlockText"/>
      </w:pPr>
      <w:r>
        <w:rPr>
          <w:iCs/>
          <w:i/>
        </w:rPr>
        <w:t xml:space="preserve">« Ce qui se passe au Kenya aujourd’hui a vocation à se reproduire ailleurs. À moins que les peuples africains décident que leur sol, leur santé, leur dignité et leur souveraineté ne sont pas à vendre. »</w:t>
      </w:r>
    </w:p>
    <w:bookmarkStart w:id="222" w:name="le-schéma-en-cinq-phases"/>
    <w:p>
      <w:pPr>
        <w:pStyle w:val="Heading2"/>
      </w:pPr>
      <w:r>
        <w:t xml:space="preserve">Le schéma en cinq phases</w:t>
      </w:r>
    </w:p>
    <w:p>
      <w:pPr>
        <w:pStyle w:val="FirstParagraph"/>
      </w:pPr>
      <w:r>
        <w:t xml:space="preserve">Trois cas permettent de comprendre la mécanique à l’œuvre.</w:t>
      </w:r>
    </w:p>
    <w:bookmarkStart w:id="219" w:name="phase-1-la-somalie-et-djibouti-19922002"/>
    <w:p>
      <w:pPr>
        <w:pStyle w:val="Heading3"/>
      </w:pPr>
      <w:r>
        <w:t xml:space="preserve">Phase 1 — La Somalie et Djibouti (1992–2002)</w:t>
      </w:r>
    </w:p>
    <w:p>
      <w:pPr>
        <w:pStyle w:val="FirstParagraph"/>
      </w:pPr>
      <w:r>
        <w:t xml:space="preserve">En 1991, la Somalie s’effondre. La guerre civile, la famine, le chaos. Les images font le tour du monde. La souffrance des populations est réelle. Les États-Unis lancent l’</w:t>
      </w:r>
      <w:r>
        <w:rPr>
          <w:bCs/>
          <w:b/>
        </w:rPr>
        <w:t xml:space="preserve">opération Restore Hope</w:t>
      </w:r>
      <w:r>
        <w:t xml:space="preserve"> </w:t>
      </w:r>
      <w:r>
        <w:t xml:space="preserve">en 1992 — officiellement humanitaire.</w:t>
      </w:r>
    </w:p>
    <w:p>
      <w:pPr>
        <w:pStyle w:val="BodyText"/>
      </w:pPr>
      <w:r>
        <w:t xml:space="preserve">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pStyle w:val="BodyText"/>
      </w:pPr>
      <w:r>
        <w:t xml:space="preserve">Dix ans plus tard, les États-Unis négocient avec Djibouti l’installation d’une base permanente. En</w:t>
      </w:r>
      <w:r>
        <w:t xml:space="preserve"> </w:t>
      </w:r>
      <w:r>
        <w:rPr>
          <w:bCs/>
          <w:b/>
        </w:rPr>
        <w:t xml:space="preserve">2002, le camp Lemonnier ouvre officiellement sur 200 hectares</w:t>
      </w:r>
      <w:r>
        <w:t xml:space="preserve">.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pStyle w:val="BodyText"/>
      </w:pPr>
      <w:r>
        <w:t xml:space="preserve">De mission humanitaire temporaire à commandement militaire permanent :</w:t>
      </w:r>
      <w:r>
        <w:t xml:space="preserve"> </w:t>
      </w:r>
      <w:r>
        <w:rPr>
          <w:bCs/>
          <w:b/>
        </w:rPr>
        <w:t xml:space="preserve">dix ans</w:t>
      </w:r>
      <w:r>
        <w:t xml:space="preserve">.</w:t>
      </w:r>
    </w:p>
    <w:bookmarkEnd w:id="219"/>
    <w:bookmarkStart w:id="220" w:name="X4f66fb9893ed2942323589b300a67a285b1f24d"/>
    <w:p>
      <w:pPr>
        <w:pStyle w:val="Heading3"/>
      </w:pPr>
      <w:r>
        <w:t xml:space="preserve">Phase 2 — L’Ouganda et l’Afrique centrale (2008–2011)</w:t>
      </w:r>
    </w:p>
    <w:p>
      <w:pPr>
        <w:pStyle w:val="FirstParagraph"/>
      </w:pPr>
      <w:r>
        <w:t xml:space="preserve">En 2008, l’Armée de Résistance du Seigneur (LRA) de Joseph Kony terrorise l’Ouganda, la RDC, la Centrafrique et le Soudan du Sud. Enlèvements d’enfants, massacres, déplacements massifs. La crise et la souffrance sont réelles.</w:t>
      </w:r>
    </w:p>
    <w:p>
      <w:pPr>
        <w:pStyle w:val="BodyText"/>
      </w:pPr>
      <w:r>
        <w:t xml:space="preserve">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pStyle w:val="BodyText"/>
      </w:pPr>
      <w:r>
        <w:t xml:space="preserve">En octobre 2011, Barack Obama annonce l’envoi de</w:t>
      </w:r>
      <w:r>
        <w:t xml:space="preserve"> </w:t>
      </w:r>
      <w:r>
        <w:rPr>
          <w:bCs/>
          <w:b/>
        </w:rPr>
        <w:t xml:space="preserve">100 conseillers militaires en Ouganda</w:t>
      </w:r>
      <w:r>
        <w:t xml:space="preserve"> </w:t>
      </w:r>
      <w:r>
        <w:t xml:space="preserve">pour traquer Kony. Ils arrivent dans des zones déjà équipées par trois ans de programmes humanitaires américains. Les pistes existent. Les réseaux de communication sont établis. Le terrain est cartographié.</w:t>
      </w:r>
    </w:p>
    <w:p>
      <w:pPr>
        <w:pStyle w:val="BodyText"/>
      </w:pPr>
      <w:r>
        <w:t xml:space="preserve">Les 100 conseillers deviennent une présence rotative de 300 personnes de façon permanente. Des bases légères s’établissent : en Ouganda à Entebbe, en Centrafrique à Obo, en RDC à Dungu, au Soudan du Sud à Nzara.</w:t>
      </w:r>
    </w:p>
    <w:p>
      <w:pPr>
        <w:pStyle w:val="BodyText"/>
      </w:pPr>
      <w:r>
        <w:t xml:space="preserve">Kony n’est jamais capturé. La mission ne se termine jamais.</w:t>
      </w:r>
      <w:r>
        <w:t xml:space="preserve"> </w:t>
      </w:r>
      <w:r>
        <w:rPr>
          <w:bCs/>
          <w:b/>
        </w:rPr>
        <w:t xml:space="preserve">Les bases, elles, restent.</w:t>
      </w:r>
    </w:p>
    <w:bookmarkEnd w:id="220"/>
    <w:bookmarkStart w:id="221" w:name="phase-3-les-philippines-novembre-2013"/>
    <w:p>
      <w:pPr>
        <w:pStyle w:val="Heading3"/>
      </w:pPr>
      <w:r>
        <w:t xml:space="preserve">Phase 3 — Les Philippines (novembre 2013)</w:t>
      </w:r>
    </w:p>
    <w:p>
      <w:pPr>
        <w:pStyle w:val="FirstParagraph"/>
      </w:pPr>
      <w:r>
        <w:t xml:space="preserve">Typhon Haiyan. Les Marines arrivent avec de la nourriture et des médicaments. Cinq mois plus tard, un accord militaire permanent est signé.</w:t>
      </w:r>
    </w:p>
    <w:p>
      <w:pPr>
        <w:pStyle w:val="BodyText"/>
      </w:pPr>
      <w:r>
        <w:t xml:space="preserve">Djibouti avait pris dix ans. L’Ouganda, trois ans. Les Philippines :</w:t>
      </w:r>
      <w:r>
        <w:t xml:space="preserve"> </w:t>
      </w:r>
      <w:r>
        <w:rPr>
          <w:bCs/>
          <w:b/>
        </w:rPr>
        <w:t xml:space="preserve">cinq mois</w:t>
      </w:r>
      <w:r>
        <w:t xml:space="preserve">. La technique s’affine.</w:t>
      </w:r>
    </w:p>
    <w:bookmarkEnd w:id="221"/>
    <w:bookmarkEnd w:id="222"/>
    <w:bookmarkStart w:id="223" w:name="Xbce203a726359f6ba54e97bdf8d32a7cd3703e6"/>
    <w:p>
      <w:pPr>
        <w:pStyle w:val="Heading2"/>
      </w:pPr>
      <w:r>
        <w:t xml:space="preserve">La Haute Cour dit non — Washington répond qu’il continue</w:t>
      </w:r>
    </w:p>
    <w:p>
      <w:pPr>
        <w:pStyle w:val="FirstParagraph"/>
      </w:pPr>
      <w:r>
        <w:t xml:space="preserve">Heureusement, la Haute Cour de justice kenyane a vu ce que Ruto a feint de ne pas voir — ou ce qu’il a parfaitement vu et délibérément accepté.</w:t>
      </w:r>
    </w:p>
    <w:p>
      <w:pPr>
        <w:pStyle w:val="BodyText"/>
      </w:pPr>
      <w:r>
        <w:t xml:space="preserve">La même cour qui avait déjà suspendu l’</w:t>
      </w:r>
      <w:r>
        <w:rPr>
          <w:iCs/>
          <w:i/>
        </w:rPr>
        <w:t xml:space="preserve">America First Global Health Strategy</w:t>
      </w:r>
      <w:r>
        <w:t xml:space="preserve"> </w:t>
      </w:r>
      <w:r>
        <w:t xml:space="preserve">signée par le gouvernement kenyan est intervenue à nouveau. Elle a</w:t>
      </w:r>
      <w:r>
        <w:t xml:space="preserve"> </w:t>
      </w:r>
      <w:r>
        <w:rPr>
          <w:bCs/>
          <w:b/>
        </w:rPr>
        <w:t xml:space="preserve">suspendu l’accord Ébola</w:t>
      </w:r>
      <w:r>
        <w:t xml:space="preserve"> </w:t>
      </w:r>
      <w:r>
        <w:t xml:space="preserve">en le qualifiant de :</w:t>
      </w:r>
    </w:p>
    <w:p>
      <w:pPr>
        <w:pStyle w:val="BlockText"/>
      </w:pPr>
      <w:r>
        <w:rPr>
          <w:iCs/>
          <w:i/>
        </w:rPr>
        <w:t xml:space="preserve">« menace imminente pour la vie et la sécurité publique »</w:t>
      </w:r>
    </w:p>
    <w:p>
      <w:pPr>
        <w:pStyle w:val="FirstParagraph"/>
      </w:pPr>
      <w:r>
        <w:t xml:space="preserve">Le tribunal a explicitement interdit au gouvernement kenyan d’admettre sur son territoire toute personne exposée ou infectée par Ébola dans le cadre de cet arrangement américain. C’est le</w:t>
      </w:r>
      <w:r>
        <w:t xml:space="preserve"> </w:t>
      </w:r>
      <w:r>
        <w:rPr>
          <w:bCs/>
          <w:b/>
        </w:rPr>
        <w:t xml:space="preserve">Katiba Institute</w:t>
      </w:r>
      <w:r>
        <w:t xml:space="preserve">, organisation de contentieux d’intérêt public, qui a saisi les juges.</w:t>
      </w:r>
    </w:p>
    <w:p>
      <w:pPr>
        <w:pStyle w:val="BodyText"/>
      </w:pPr>
      <w:r>
        <w:t xml:space="preserve">La société civile kenyane s’avère être le meilleur gardien des intérêts du peuple kenyan — contrairement au gouvernement qui a visiblement décidé de servir d’autres intérêts.</w:t>
      </w:r>
    </w:p>
    <w:p>
      <w:pPr>
        <w:pStyle w:val="BodyText"/>
      </w:pPr>
      <w:r>
        <w:t xml:space="preserve">Mais la suspension est temporaire, dans l’attente de la réplique du gouvernement. Et le département d’État américain, officiellement notifié de la décision de la Cour, a communiqué publiquement son intention de</w:t>
      </w:r>
      <w:r>
        <w:t xml:space="preserve"> </w:t>
      </w:r>
      <w:r>
        <w:rPr>
          <w:bCs/>
          <w:b/>
        </w:rPr>
        <w:t xml:space="preserve">ne pas lâcher l’affaire</w:t>
      </w:r>
      <w:r>
        <w:t xml:space="preserve">.</w:t>
      </w:r>
    </w:p>
    <w:p>
      <w:pPr>
        <w:pStyle w:val="BodyText"/>
      </w:pPr>
      <w:r>
        <w:t xml:space="preserve">Un tribunal kenyan souverain dit non. Washington répond qu’il va continuer à pousser.</w:t>
      </w:r>
    </w:p>
    <w:p>
      <w:pPr>
        <w:pStyle w:val="BodyText"/>
      </w:pPr>
      <w:r>
        <w:t xml:space="preserve">Cela s’appelle du mépris de la souveraineté.</w:t>
      </w:r>
    </w:p>
    <w:p>
      <w:pPr>
        <w:pStyle w:val="BodyText"/>
      </w:pPr>
      <w:r>
        <w:rPr>
          <w:iCs/>
          <w:i/>
        </w:rPr>
        <w:t xml:space="preserve">À rapprocher de : Chapitre 20 — La guerre proxy ; Chapitre 21 — L’environnement régional ; Chapitre 29 — Le monde multipolaire : partenaires ou nouveaux maîtres ?</w:t>
      </w:r>
    </w:p>
    <w:p>
      <w:r>
        <w:pict>
          <v:rect style="width:0;height:1.5pt" o:hralign="center" o:hrstd="t" o:hr="t"/>
        </w:pict>
      </w:r>
    </w:p>
    <w:bookmarkEnd w:id="223"/>
    <w:bookmarkEnd w:id="224"/>
    <w:bookmarkStart w:id="229" w:name="X1a453436e672d7cfaec9c07420657fe3b3f7455"/>
    <w:p>
      <w:pPr>
        <w:pStyle w:val="Heading1"/>
      </w:pPr>
      <w:r>
        <w:t xml:space="preserve">Chapitre — La CEDEAO face au Niger : Ultimatum, Illégalité et Impasse</w:t>
      </w:r>
    </w:p>
    <w:p>
      <w:pPr>
        <w:pStyle w:val="FirstParagraph"/>
      </w:pPr>
      <w:r>
        <w:rPr>
          <w:iCs/>
          <w:i/>
        </w:rPr>
        <w:t xml:space="preserve">Analyse de Nathalie Yang — août 2023</w:t>
      </w:r>
    </w:p>
    <w:bookmarkStart w:id="225" w:name="la-métaphore-de-la-voisine"/>
    <w:p>
      <w:pPr>
        <w:pStyle w:val="Heading2"/>
      </w:pPr>
      <w:r>
        <w:t xml:space="preserve">La métaphore de la voisine</w:t>
      </w:r>
    </w:p>
    <w:p>
      <w:pPr>
        <w:pStyle w:val="FirstParagraph"/>
      </w:pPr>
      <w:r>
        <w:t xml:space="preserve">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pStyle w:val="BodyText"/>
      </w:pPr>
      <w:r>
        <w:t xml:space="preserve">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pStyle w:val="BodyText"/>
      </w:pPr>
      <w:r>
        <w:t xml:space="preserve">C’est exactement ce qu’ont fait les dirigeants de la CEDEAO.</w:t>
      </w:r>
    </w:p>
    <w:p>
      <w:pPr>
        <w:pStyle w:val="BodyText"/>
      </w:pPr>
      <w:r>
        <w:t xml:space="preserve">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pStyle w:val="BodyText"/>
      </w:pPr>
      <w:r>
        <w:t xml:space="preserve">C’est exactement ce qui s’est passé au Niger.</w:t>
      </w:r>
    </w:p>
    <w:bookmarkEnd w:id="225"/>
    <w:bookmarkStart w:id="226" w:name="X1de440c1d21509a6c85a45207f4264346a86ce4"/>
    <w:p>
      <w:pPr>
        <w:pStyle w:val="Heading2"/>
      </w:pPr>
      <w:r>
        <w:t xml:space="preserve">Bazoum défenseur des coups d’État — jusqu’au sien</w:t>
      </w:r>
    </w:p>
    <w:p>
      <w:pPr>
        <w:pStyle w:val="FirstParagraph"/>
      </w:pPr>
      <w:r>
        <w:t xml:space="preserve">On nous casse les oreilles avec la nécessité du rétablissement de l’ordre constitutionnel. Mais Mohamed Bazoum lui-même était un ardent défenseur des coups d’État au Niger et ailleurs.</w:t>
      </w:r>
    </w:p>
    <w:p>
      <w:pPr>
        <w:pStyle w:val="BodyText"/>
      </w:pPr>
      <w:r>
        <w:t xml:space="preserve">Lors des manifestations de soutien aux putschistes qui ont renversé Mamadou Tandja en 2010, il était en première ligne pour les acclamer :</w:t>
      </w:r>
      <w:r>
        <w:t xml:space="preserve"> </w:t>
      </w:r>
      <w:r>
        <w:rPr>
          <w:iCs/>
          <w:i/>
        </w:rPr>
        <w:t xml:space="preserve">« Toujours debout au service du Niger ! »</w:t>
      </w:r>
    </w:p>
    <w:p>
      <w:pPr>
        <w:pStyle w:val="BodyText"/>
      </w:pPr>
      <w:r>
        <w:t xml:space="preserve">Plus récemment, aux côtés de son patron Emmanuel Macron, il a défendu le coup d’État au Tchad après l’assassinat du maréchal Idriss Déby :</w:t>
      </w:r>
    </w:p>
    <w:p>
      <w:pPr>
        <w:pStyle w:val="BlockText"/>
      </w:pPr>
      <w:r>
        <w:rPr>
          <w:iCs/>
          <w:i/>
        </w:rPr>
        <w:t xml:space="preserve">« Nous aurions pu dire qu’il s’agit d’un coup d’état, mais ce serait simplifier les choses […] Si la constitution d’un intérim devait être appliquée, il y avait des risques que ce pays, qui constitue un pôle de stabilité dans notre zone, bascule dans l’instabilité. »</w:t>
      </w:r>
      <w:r>
        <w:t xml:space="preserve"> </w:t>
      </w:r>
      <w:r>
        <w:t xml:space="preserve">— Mohamed Bazoum</w:t>
      </w:r>
    </w:p>
    <w:p>
      <w:pPr>
        <w:pStyle w:val="FirstParagraph"/>
      </w:pPr>
      <w:r>
        <w:t xml:space="preserve">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pStyle w:val="BodyText"/>
      </w:pPr>
      <w:r>
        <w:t xml:space="preserve">Condamner par principe un coup d’État, c’est condamner la Révolution française, Charles de Gaulle, Thomas Sankara et Jerry Rawlings — deux coups d’État et demi qui ont propulsé le Ghana dans la stabilité et le progrès.</w:t>
      </w:r>
    </w:p>
    <w:bookmarkEnd w:id="226"/>
    <w:bookmarkStart w:id="227" w:name="bazoum-le-peuple-ne-la-pas-appelé"/>
    <w:p>
      <w:pPr>
        <w:pStyle w:val="Heading2"/>
      </w:pPr>
      <w:r>
        <w:t xml:space="preserve">Bazoum : le peuple ne l’a pas appelé</w:t>
      </w:r>
    </w:p>
    <w:p>
      <w:pPr>
        <w:pStyle w:val="FirstParagraph"/>
      </w:pPr>
      <w:r>
        <w:t xml:space="preserve">C’est pour cela que quand Bazoum a été renversé, il a rédigé une tribune dans le</w:t>
      </w:r>
      <w:r>
        <w:t xml:space="preserve"> </w:t>
      </w:r>
      <w:r>
        <w:rPr>
          <w:iCs/>
          <w:i/>
        </w:rPr>
        <w:t xml:space="preserve">Washington Post</w:t>
      </w:r>
      <w:r>
        <w:t xml:space="preserve"> </w:t>
      </w:r>
      <w:r>
        <w:t xml:space="preserve">pour supplier les Américains, les Français et la communauté occidentale de le remettre au pouvoir. À aucun moment, il n’a appelé son propre peuple à se mobiliser pour le réinstaller.</w:t>
      </w:r>
    </w:p>
    <w:p>
      <w:pPr>
        <w:pStyle w:val="BodyText"/>
      </w:pPr>
      <w:r>
        <w:t xml:space="preserve">On a pourtant tous vu, au Soudan, le peuple sortir massivement dans la rue pour réclamer le retour au pouvoir des civils, et les militaires contraints d’user de la violence pour réprimer les manifestations.</w:t>
      </w:r>
    </w:p>
    <w:p>
      <w:pPr>
        <w:pStyle w:val="BodyText"/>
      </w:pPr>
      <w:r>
        <w:t xml:space="preserve">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bookmarkEnd w:id="227"/>
    <w:bookmarkStart w:id="228" w:name="ce-quil-faut-retenir"/>
    <w:p>
      <w:pPr>
        <w:pStyle w:val="Heading2"/>
      </w:pPr>
      <w:r>
        <w:t xml:space="preserve">Ce qu’il faut retenir</w:t>
      </w:r>
    </w:p>
    <w:p>
      <w:pPr>
        <w:pStyle w:val="FirstParagraph"/>
      </w:pPr>
      <w:r>
        <w:t xml:space="preserve">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pStyle w:val="BodyText"/>
      </w:pPr>
      <w:r>
        <w:t xml:space="preserve">La CEDEAO, syndicat de chefs d’État au service d’intérêts étrangers, ne peut gagner ni politiquement, ni militairement, ni juridiquement. Elle explosera dans la foulée de toute tentative d’agression.</w:t>
      </w:r>
    </w:p>
    <w:p>
      <w:pPr>
        <w:pStyle w:val="BodyText"/>
      </w:pPr>
      <w:r>
        <w:t xml:space="preserve">S’il y avait une intervention militaire, ses premières victimes seraient les agresseurs et leurs commanditaires. En 2023, ce ne seront plus seulement les Africains qui paieront le prix de la violence destinée à empêcher l’émancipation du continent.</w:t>
      </w:r>
    </w:p>
    <w:p>
      <w:r>
        <w:pict>
          <v:rect style="width:0;height:1.5pt" o:hralign="center" o:hrstd="t" o:hr="t"/>
        </w:pict>
      </w:r>
    </w:p>
    <w:bookmarkEnd w:id="228"/>
    <w:bookmarkEnd w:id="229"/>
    <w:bookmarkStart w:id="234" w:name="X7ffcb7bfea894585fae55f9a4069b764233841c"/>
    <w:p>
      <w:pPr>
        <w:pStyle w:val="Heading1"/>
      </w:pPr>
      <w:r>
        <w:t xml:space="preserve">Chapitre — Le GAFI : Bras Armé Financier du Néocolonialisme</w:t>
      </w:r>
    </w:p>
    <w:p>
      <w:pPr>
        <w:pStyle w:val="FirstParagraph"/>
      </w:pPr>
      <w:r>
        <w:rPr>
          <w:iCs/>
          <w:i/>
        </w:rPr>
        <w:t xml:space="preserve">Analyse de Nathalie Yamb</w:t>
      </w:r>
    </w:p>
    <w:bookmarkStart w:id="230" w:name="une-organisation-mondiale-sans-lafrique"/>
    <w:p>
      <w:pPr>
        <w:pStyle w:val="Heading2"/>
      </w:pPr>
      <w:r>
        <w:t xml:space="preserve">Une organisation mondiale… sans l’Afrique</w:t>
      </w:r>
    </w:p>
    <w:p>
      <w:pPr>
        <w:pStyle w:val="FirstParagraph"/>
      </w:pPr>
      <w:r>
        <w:t xml:space="preserve">Le GAFI compte 39 membres. Parmi eux, un seul pays africain : l’Afrique du Sud.</w:t>
      </w:r>
    </w:p>
    <w:p>
      <w:pPr>
        <w:pStyle w:val="BodyText"/>
      </w:pPr>
      <w:r>
        <w:t xml:space="preserve">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pStyle w:val="BodyText"/>
      </w:pPr>
      <w:r>
        <w:t xml:space="preserve">Dans leur dernier rapport, le Cameroun, le Vietnam et la Croatie sont placés sous surveillance renforcée, rejoignant 23 pays sur la liste grise du GAFI. S’y ajoutent, sur la liste noire, la Corée du Nord, l’Iran et la Birmanie.</w:t>
      </w:r>
    </w:p>
    <w:p>
      <w:pPr>
        <w:pStyle w:val="BodyText"/>
      </w:pPr>
      <w:r>
        <w:t xml:space="preserve">Ce que vous ne trouverez nulle part sur le site du GAFI : les pays du Nord. Les membres fondateurs. Le First World.</w:t>
      </w:r>
    </w:p>
    <w:bookmarkEnd w:id="230"/>
    <w:bookmarkStart w:id="231" w:name="X479cc248e3e8cf9ebe5e127260c3f56cddbee3f"/>
    <w:p>
      <w:pPr>
        <w:pStyle w:val="Heading2"/>
      </w:pPr>
      <w:r>
        <w:t xml:space="preserve">Les PEP : un outil de censure financière contre les activistes</w:t>
      </w:r>
    </w:p>
    <w:p>
      <w:pPr>
        <w:pStyle w:val="FirstParagraph"/>
      </w:pPr>
      <w:r>
        <w:t xml:space="preserve">Le GAFI a mis en place ce qu’on appelle les</w:t>
      </w:r>
      <w:r>
        <w:t xml:space="preserve"> </w:t>
      </w:r>
      <w:r>
        <w:rPr>
          <w:bCs/>
          <w:b/>
        </w:rPr>
        <w:t xml:space="preserve">PEP</w:t>
      </w:r>
      <w:r>
        <w:t xml:space="preserve"> </w:t>
      </w:r>
      <w:r>
        <w:t xml:space="preserve">— Personnes Exposées Politiquement. La définition légale est précise :</w:t>
      </w:r>
    </w:p>
    <w:p>
      <w:pPr>
        <w:pStyle w:val="BlockText"/>
      </w:pPr>
      <w:r>
        <w:rPr>
          <w:iCs/>
          <w:i/>
        </w:rPr>
        <w:t xml:space="preserve">«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pStyle w:val="FirstParagraph"/>
      </w:pPr>
      <w:r>
        <w:t xml:space="preserve">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pStyle w:val="BodyText"/>
      </w:pPr>
      <w:r>
        <w:t xml:space="preserve">Et pourtant, leurs comptes bancaires sont fermés les uns après les autres.</w:t>
      </w:r>
    </w:p>
    <w:p>
      <w:pPr>
        <w:pStyle w:val="BodyText"/>
      </w:pPr>
      <w:r>
        <w:t xml:space="preserve">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pStyle w:val="BodyText"/>
      </w:pPr>
      <w:r>
        <w:t xml:space="preserve">La question s’impose : à quel moment, sur quelle base légale, des activistes qui travaillent à l’éveil des populations africaines se retrouvent-ils dans les bases de données PEP — si ce n’est par la volonté des services français de faire taire ceux qui dérangent ?</w:t>
      </w:r>
    </w:p>
    <w:bookmarkEnd w:id="231"/>
    <w:bookmarkStart w:id="232" w:name="X121124320b9022fd36dc5e0f58268f686cb554f"/>
    <w:p>
      <w:pPr>
        <w:pStyle w:val="Heading2"/>
      </w:pPr>
      <w:r>
        <w:t xml:space="preserve">L’architecture néocoloniale : une conception systémique</w:t>
      </w:r>
    </w:p>
    <w:p>
      <w:pPr>
        <w:pStyle w:val="FirstParagraph"/>
      </w:pPr>
      <w:r>
        <w:t xml:space="preserve">Le GAFI n’est pas une anomalie. Il s’inscrit dans une architecture mondiale conçue après la Seconde Guerre mondiale pour perpétuer l’impérialisme occidental et le figer dans le marbre :</w:t>
      </w:r>
    </w:p>
    <w:p>
      <w:pPr>
        <w:numPr>
          <w:ilvl w:val="0"/>
          <w:numId w:val="1004"/>
        </w:numPr>
        <w:pStyle w:val="Compact"/>
      </w:pPr>
      <w:r>
        <w:rPr>
          <w:bCs/>
          <w:b/>
        </w:rPr>
        <w:t xml:space="preserve">1944</w:t>
      </w:r>
      <w:r>
        <w:t xml:space="preserve"> </w:t>
      </w:r>
      <w:r>
        <w:t xml:space="preserve">— Banque mondiale et FMI (accords de Bretton Woods)</w:t>
      </w:r>
    </w:p>
    <w:p>
      <w:pPr>
        <w:numPr>
          <w:ilvl w:val="0"/>
          <w:numId w:val="1004"/>
        </w:numPr>
        <w:pStyle w:val="Compact"/>
      </w:pPr>
      <w:r>
        <w:rPr>
          <w:bCs/>
          <w:b/>
        </w:rPr>
        <w:t xml:space="preserve">1945</w:t>
      </w:r>
      <w:r>
        <w:t xml:space="preserve"> </w:t>
      </w:r>
      <w:r>
        <w:t xml:space="preserve">— ONU</w:t>
      </w:r>
    </w:p>
    <w:p>
      <w:pPr>
        <w:numPr>
          <w:ilvl w:val="0"/>
          <w:numId w:val="1004"/>
        </w:numPr>
        <w:pStyle w:val="Compact"/>
      </w:pPr>
      <w:r>
        <w:rPr>
          <w:bCs/>
          <w:b/>
        </w:rPr>
        <w:t xml:space="preserve">1949</w:t>
      </w:r>
      <w:r>
        <w:t xml:space="preserve"> </w:t>
      </w:r>
      <w:r>
        <w:t xml:space="preserve">— Organisation mondiale de la Santé</w:t>
      </w:r>
    </w:p>
    <w:p>
      <w:pPr>
        <w:numPr>
          <w:ilvl w:val="0"/>
          <w:numId w:val="1004"/>
        </w:numPr>
        <w:pStyle w:val="Compact"/>
      </w:pPr>
      <w:r>
        <w:rPr>
          <w:bCs/>
          <w:b/>
        </w:rPr>
        <w:t xml:space="preserve">1989</w:t>
      </w:r>
      <w:r>
        <w:t xml:space="preserve"> </w:t>
      </w:r>
      <w:r>
        <w:t xml:space="preserve">— GAFI</w:t>
      </w:r>
    </w:p>
    <w:p>
      <w:pPr>
        <w:numPr>
          <w:ilvl w:val="0"/>
          <w:numId w:val="1004"/>
        </w:numPr>
        <w:pStyle w:val="Compact"/>
      </w:pPr>
      <w:r>
        <w:rPr>
          <w:bCs/>
          <w:b/>
        </w:rPr>
        <w:t xml:space="preserve">1995</w:t>
      </w:r>
      <w:r>
        <w:t xml:space="preserve"> </w:t>
      </w:r>
      <w:r>
        <w:t xml:space="preserve">— Organisation mondiale du Commerce</w:t>
      </w:r>
    </w:p>
    <w:p>
      <w:pPr>
        <w:pStyle w:val="FirstParagraph"/>
      </w:pPr>
      <w:r>
        <w:t xml:space="preserve">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pStyle w:val="BodyText"/>
      </w:pPr>
      <w:r>
        <w:t xml:space="preserve">Pendant ce temps, 200 pays qui n’ont voix au chapitre dans aucune de ces instances signent des accords pour se soumettre aux diktats d’Occidentaux qui ne s’y appliquent pas eux-mêmes.</w:t>
      </w:r>
    </w:p>
    <w:bookmarkEnd w:id="232"/>
    <w:bookmarkStart w:id="233" w:name="Xf986d463a574587ddf4aa45a4b3b251935e635c"/>
    <w:p>
      <w:pPr>
        <w:pStyle w:val="Heading2"/>
      </w:pPr>
      <w:r>
        <w:t xml:space="preserve">Ce que doivent faire les chefs d’État africains</w:t>
      </w:r>
    </w:p>
    <w:p>
      <w:pPr>
        <w:pStyle w:val="FirstParagraph"/>
      </w:pPr>
      <w:r>
        <w:t xml:space="preserve">Il faut impérativement revoir les dispositifs institutionnels pour que les chefs d’État passent devant le peuple — via l’Assemblée nationale et la télévision — pour expliquer :</w:t>
      </w:r>
    </w:p>
    <w:p>
      <w:pPr>
        <w:numPr>
          <w:ilvl w:val="0"/>
          <w:numId w:val="1005"/>
        </w:numPr>
        <w:pStyle w:val="Compact"/>
      </w:pPr>
      <w:r>
        <w:t xml:space="preserve">Pourquoi ils se rendent à l’étranger</w:t>
      </w:r>
    </w:p>
    <w:p>
      <w:pPr>
        <w:numPr>
          <w:ilvl w:val="0"/>
          <w:numId w:val="1005"/>
        </w:numPr>
        <w:pStyle w:val="Compact"/>
      </w:pPr>
      <w:r>
        <w:t xml:space="preserve">Ce qu’ils vont y discuter ou y signer</w:t>
      </w:r>
    </w:p>
    <w:p>
      <w:pPr>
        <w:numPr>
          <w:ilvl w:val="0"/>
          <w:numId w:val="1005"/>
        </w:numPr>
        <w:pStyle w:val="Compact"/>
      </w:pPr>
      <w:r>
        <w:t xml:space="preserve">Ce que nous avons à y gagner versus à y perdre</w:t>
      </w:r>
    </w:p>
    <w:p>
      <w:pPr>
        <w:pStyle w:val="FirstParagraph"/>
      </w:pPr>
      <w:r>
        <w:t xml:space="preserve">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pStyle w:val="BodyText"/>
      </w:pPr>
      <w:r>
        <w:rPr>
          <w:bCs/>
          <w:b/>
        </w:rPr>
        <w:t xml:space="preserve">GAFI. ONU. FMI. Banque mondiale. OMC. CPI.</w:t>
      </w:r>
    </w:p>
    <w:p>
      <w:pPr>
        <w:pStyle w:val="BodyText"/>
      </w:pPr>
      <w:r>
        <w:t xml:space="preserve">Pour aller rejoindre et co-créer des entités plus justes, plus équilibrées, en adéquation avec la réalité mondiale actuelle — des entités où chaque pays, petit ou grand, aura une voix qui pèse autant que celle de son voisin.</w:t>
      </w:r>
    </w:p>
    <w:p>
      <w:r>
        <w:pict>
          <v:rect style="width:0;height:1.5pt" o:hralign="center" o:hrstd="t" o:hr="t"/>
        </w:pict>
      </w:r>
    </w:p>
    <w:bookmarkEnd w:id="233"/>
    <w:bookmarkEnd w:id="234"/>
    <w:bookmarkStart w:id="239" w:name="X9194778a9183e5f3b3d84a2410d072281e69c17"/>
    <w:p>
      <w:pPr>
        <w:pStyle w:val="Heading1"/>
      </w:pPr>
      <w:r>
        <w:t xml:space="preserve">Chapitre — Sanctions Européennes : La Prison à Ciel Ouvert</w:t>
      </w:r>
    </w:p>
    <w:p>
      <w:pPr>
        <w:pStyle w:val="FirstParagraph"/>
      </w:pPr>
      <w:r>
        <w:rPr>
          <w:iCs/>
          <w:i/>
        </w:rPr>
        <w:t xml:space="preserve">Entretien de Nathalie Yamb avec Pascal — juin 2025</w:t>
      </w:r>
    </w:p>
    <w:p>
      <w:pPr>
        <w:pStyle w:val="BlockText"/>
      </w:pPr>
      <w:r>
        <w:rPr>
          <w:iCs/>
          <w:i/>
        </w:rPr>
        <w:t xml:space="preserve">« Ce qui se passe en Europe maintenant, c’est ce que nous vivons en Afrique depuis des décennies. C’est contre cela que je me bats. »</w:t>
      </w:r>
      <w:r>
        <w:t xml:space="preserve"> </w:t>
      </w:r>
      <w:r>
        <w:t xml:space="preserve">— Nathalie Yamb</w:t>
      </w:r>
    </w:p>
    <w:bookmarkStart w:id="235" w:name="du-jour-au-lendemain-tout-disparaît"/>
    <w:p>
      <w:pPr>
        <w:pStyle w:val="Heading2"/>
      </w:pPr>
      <w:r>
        <w:t xml:space="preserve">Du jour au lendemain : tout disparaît</w:t>
      </w:r>
    </w:p>
    <w:p>
      <w:pPr>
        <w:pStyle w:val="FirstParagraph"/>
      </w:pPr>
      <w:r>
        <w:t xml:space="preserve">Nathalie Yamb apprend sa sanction en descendant d’un avion dans un pays africain. Son avocat lui écrit :</w:t>
      </w:r>
      <w:r>
        <w:t xml:space="preserve"> </w:t>
      </w:r>
      <w:r>
        <w:rPr>
          <w:iCs/>
          <w:i/>
        </w:rPr>
        <w:t xml:space="preserve">« J’ai été informé, je suis prêt. »</w:t>
      </w:r>
      <w:r>
        <w:t xml:space="preserve"> </w:t>
      </w:r>
      <w:r>
        <w:t xml:space="preserve">Elle cherche son nom sur Google. C’est là qu’elle découvre la décision.</w:t>
      </w:r>
    </w:p>
    <w:p>
      <w:pPr>
        <w:pStyle w:val="BodyText"/>
      </w:pPr>
      <w:r>
        <w:t xml:space="preserve">Personne ne l’a prévenue. Aucune procédure. Aucun droit à la défense. La décision est publiée au Journal officiel de l’Union européenne. C’est suffisant.</w:t>
      </w:r>
    </w:p>
    <w:p>
      <w:pPr>
        <w:pStyle w:val="BodyText"/>
      </w:pPr>
      <w:r>
        <w:t xml:space="preserve">Les conséquences sont immédiates :</w:t>
      </w:r>
    </w:p>
    <w:p>
      <w:pPr>
        <w:numPr>
          <w:ilvl w:val="0"/>
          <w:numId w:val="1006"/>
        </w:numPr>
        <w:pStyle w:val="Compact"/>
      </w:pPr>
      <w:r>
        <w:rPr>
          <w:bCs/>
          <w:b/>
        </w:rPr>
        <w:t xml:space="preserve">Cartes de crédit</w:t>
      </w:r>
      <w:r>
        <w:t xml:space="preserve"> </w:t>
      </w:r>
      <w:r>
        <w:t xml:space="preserve">: annulées</w:t>
      </w:r>
    </w:p>
    <w:p>
      <w:pPr>
        <w:numPr>
          <w:ilvl w:val="0"/>
          <w:numId w:val="1006"/>
        </w:numPr>
        <w:pStyle w:val="Compact"/>
      </w:pPr>
      <w:r>
        <w:rPr>
          <w:bCs/>
          <w:b/>
        </w:rPr>
        <w:t xml:space="preserve">Comptes bancaires suisses</w:t>
      </w:r>
      <w:r>
        <w:t xml:space="preserve"> </w:t>
      </w:r>
      <w:r>
        <w:t xml:space="preserve">: gelés puis fermés</w:t>
      </w:r>
    </w:p>
    <w:p>
      <w:pPr>
        <w:numPr>
          <w:ilvl w:val="0"/>
          <w:numId w:val="1006"/>
        </w:numPr>
        <w:pStyle w:val="Compact"/>
      </w:pPr>
      <w:r>
        <w:rPr>
          <w:bCs/>
          <w:b/>
        </w:rPr>
        <w:t xml:space="preserve">Comptes crypto</w:t>
      </w:r>
      <w:r>
        <w:t xml:space="preserve"> </w:t>
      </w:r>
      <w:r>
        <w:t xml:space="preserve">: clôturés</w:t>
      </w:r>
    </w:p>
    <w:p>
      <w:pPr>
        <w:numPr>
          <w:ilvl w:val="0"/>
          <w:numId w:val="1006"/>
        </w:numPr>
        <w:pStyle w:val="Compact"/>
      </w:pPr>
      <w:r>
        <w:rPr>
          <w:bCs/>
          <w:b/>
        </w:rPr>
        <w:t xml:space="preserve">YouTube</w:t>
      </w:r>
      <w:r>
        <w:t xml:space="preserve"> </w:t>
      </w:r>
      <w:r>
        <w:t xml:space="preserve">: chaîne démonétisée (Google paie depuis l’Irlande, membre de l’UE)</w:t>
      </w:r>
    </w:p>
    <w:p>
      <w:pPr>
        <w:numPr>
          <w:ilvl w:val="0"/>
          <w:numId w:val="1006"/>
        </w:numPr>
        <w:pStyle w:val="Compact"/>
      </w:pPr>
      <w:r>
        <w:rPr>
          <w:bCs/>
          <w:b/>
        </w:rPr>
        <w:t xml:space="preserve">Airbnb, Amazon, Google</w:t>
      </w:r>
      <w:r>
        <w:t xml:space="preserve"> </w:t>
      </w:r>
      <w:r>
        <w:t xml:space="preserve">: accès coupé</w:t>
      </w:r>
    </w:p>
    <w:p>
      <w:pPr>
        <w:numPr>
          <w:ilvl w:val="0"/>
          <w:numId w:val="1006"/>
        </w:numPr>
        <w:pStyle w:val="Compact"/>
      </w:pPr>
      <w:r>
        <w:rPr>
          <w:bCs/>
          <w:b/>
        </w:rPr>
        <w:t xml:space="preserve">Netflix</w:t>
      </w:r>
      <w:r>
        <w:t xml:space="preserve"> </w:t>
      </w:r>
      <w:r>
        <w:t xml:space="preserve">: coupé</w:t>
      </w:r>
    </w:p>
    <w:p>
      <w:pPr>
        <w:numPr>
          <w:ilvl w:val="0"/>
          <w:numId w:val="1006"/>
        </w:numPr>
        <w:pStyle w:val="Compact"/>
      </w:pPr>
      <w:r>
        <w:rPr>
          <w:bCs/>
          <w:b/>
        </w:rPr>
        <w:t xml:space="preserve">Compagnies aériennes</w:t>
      </w:r>
      <w:r>
        <w:t xml:space="preserve"> </w:t>
      </w:r>
      <w:r>
        <w:t xml:space="preserve">: risque de refus d’embarquement</w:t>
      </w:r>
    </w:p>
    <w:p>
      <w:pPr>
        <w:numPr>
          <w:ilvl w:val="0"/>
          <w:numId w:val="1006"/>
        </w:numPr>
        <w:pStyle w:val="Compact"/>
      </w:pPr>
      <w:r>
        <w:rPr>
          <w:bCs/>
          <w:b/>
        </w:rPr>
        <w:t xml:space="preserve">Expedia</w:t>
      </w:r>
      <w:r>
        <w:t xml:space="preserve"> </w:t>
      </w:r>
      <w:r>
        <w:t xml:space="preserve">: vol acheté et payé hors Europe, annulé sans remboursement</w:t>
      </w:r>
    </w:p>
    <w:p>
      <w:pPr>
        <w:pStyle w:val="FirstParagraph"/>
      </w:pPr>
      <w:r>
        <w:t xml:space="preserve">Une banque suisse a gelé ses comptes, puis les a fermés sans explication. Elle a demandé le virement du solde sur son autre compte. Le montant en francs suisses a été transféré.</w:t>
      </w:r>
      <w:r>
        <w:t xml:space="preserve"> </w:t>
      </w:r>
      <w:r>
        <w:rPr>
          <w:bCs/>
          <w:b/>
        </w:rPr>
        <w:t xml:space="preserve">Le montant en euros a disparu. Volé.</w:t>
      </w:r>
    </w:p>
    <w:bookmarkEnd w:id="235"/>
    <w:bookmarkStart w:id="236" w:name="une-citoyenne-coincée-hors-de-chez-elle"/>
    <w:p>
      <w:pPr>
        <w:pStyle w:val="Heading2"/>
      </w:pPr>
      <w:r>
        <w:t xml:space="preserve">Une citoyenne coincée hors de chez elle</w:t>
      </w:r>
    </w:p>
    <w:p>
      <w:pPr>
        <w:pStyle w:val="FirstParagraph"/>
      </w:pPr>
      <w:r>
        <w:t xml:space="preserve">Nathalie Yamb</w:t>
      </w:r>
      <w:r>
        <w:t xml:space="preserve"> </w:t>
      </w:r>
      <w:r>
        <w:rPr>
          <w:bCs/>
          <w:b/>
        </w:rPr>
        <w:t xml:space="preserve">ne peut pas rentrer en Suisse</w:t>
      </w:r>
      <w:r>
        <w:t xml:space="preserv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pStyle w:val="BodyText"/>
      </w:pPr>
      <w:r>
        <w:t xml:space="preserve">Conséquences concrètes :</w:t>
      </w:r>
    </w:p>
    <w:p>
      <w:pPr>
        <w:numPr>
          <w:ilvl w:val="0"/>
          <w:numId w:val="1007"/>
        </w:numPr>
        <w:pStyle w:val="Compact"/>
      </w:pPr>
      <w:r>
        <w:t xml:space="preserve">Elle ne peut pas assister à la naissance de son petit-enfant</w:t>
      </w:r>
    </w:p>
    <w:p>
      <w:pPr>
        <w:numPr>
          <w:ilvl w:val="0"/>
          <w:numId w:val="1007"/>
        </w:numPr>
        <w:pStyle w:val="Compact"/>
      </w:pPr>
      <w:r>
        <w:t xml:space="preserve">Elle ne pourra pas être présente pour les 80 ans de sa mère l’année prochaine</w:t>
      </w:r>
    </w:p>
    <w:p>
      <w:pPr>
        <w:numPr>
          <w:ilvl w:val="0"/>
          <w:numId w:val="1007"/>
        </w:numPr>
        <w:pStyle w:val="Compact"/>
      </w:pPr>
      <w:r>
        <w:t xml:space="preserve">Son fils, qui porte le même nom, voit parfois ses paiements refusés —</w:t>
      </w:r>
      <w:r>
        <w:t xml:space="preserve"> </w:t>
      </w:r>
      <w:r>
        <w:rPr>
          <w:bCs/>
          <w:b/>
        </w:rPr>
        <w:t xml:space="preserve">dommage collatéral</w:t>
      </w:r>
    </w:p>
    <w:p>
      <w:pPr>
        <w:pStyle w:val="FirstParagraph"/>
      </w:pPr>
      <w:r>
        <w:rPr>
          <w:iCs/>
          <w:i/>
        </w:rPr>
        <w:t xml:space="preserve">«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bookmarkEnd w:id="236"/>
    <w:bookmarkStart w:id="237" w:name="Xc82c3f19b94325614b71c69946dfa4f2f3bb297"/>
    <w:p>
      <w:pPr>
        <w:pStyle w:val="Heading2"/>
      </w:pPr>
      <w:r>
        <w:t xml:space="preserve">Un mécanisme administratif sans recours réel</w:t>
      </w:r>
    </w:p>
    <w:p>
      <w:pPr>
        <w:pStyle w:val="FirstParagraph"/>
      </w:pPr>
      <w:r>
        <w:t xml:space="preserve">Les sanctions de l’UE ne sont pas des mesures judiciaires. Elles sont</w:t>
      </w:r>
      <w:r>
        <w:t xml:space="preserve"> </w:t>
      </w:r>
      <w:r>
        <w:rPr>
          <w:bCs/>
          <w:b/>
        </w:rPr>
        <w:t xml:space="preserve">administratives</w:t>
      </w:r>
      <w:r>
        <w:t xml:space="preserve">. Il n’existe aucune loi interdisant ce que Nathalie Yamb a fait. Il n’y a pas eu de procès, pas de présomption d’innocence, pas de droit à la contradiction.</w:t>
      </w:r>
    </w:p>
    <w:p>
      <w:pPr>
        <w:pStyle w:val="BodyText"/>
      </w:pPr>
      <w:r>
        <w:t xml:space="preserve">La justification tient en un seul paragraphe — qui peut contenir n’importe quoi, vrai ou faux. Dans le dossier transmis dans le cadre de la procédure judiciaire engagée, les motifs s’appuient notamment sur des</w:t>
      </w:r>
      <w:r>
        <w:t xml:space="preserve"> </w:t>
      </w:r>
      <w:r>
        <w:rPr>
          <w:bCs/>
          <w:b/>
        </w:rPr>
        <w:t xml:space="preserve">articles de presse</w:t>
      </w:r>
      <w:r>
        <w:t xml:space="preserve">.</w:t>
      </w:r>
    </w:p>
    <w:p>
      <w:pPr>
        <w:pStyle w:val="BodyText"/>
      </w:pPr>
      <w:r>
        <w:t xml:space="preserve">Elle est accusée d’avoir été observatrice électorale dans le Donbas. Elle n’y a jamais mis les pieds.</w:t>
      </w:r>
    </w:p>
    <w:p>
      <w:pPr>
        <w:pStyle w:val="BodyText"/>
      </w:pPr>
      <w:r>
        <w:t xml:space="preserve">Le seul recours : la Cour de justice de l’Union européenne — c’est-à-dire la branche judiciaire de l’institution qui l’a sanctionnée. Et même en cas de victoire, le Conseil peut</w:t>
      </w:r>
      <w:r>
        <w:t xml:space="preserve"> </w:t>
      </w:r>
      <w:r>
        <w:rPr>
          <w:bCs/>
          <w:b/>
        </w:rPr>
        <w:t xml:space="preserve">modifier les motifs en appel</w:t>
      </w:r>
      <w:r>
        <w:t xml:space="preserve"> </w:t>
      </w:r>
      <w:r>
        <w:t xml:space="preserve">et maintenir la sanction. Des personnes ont gagné deux ou trois fois. Elles sont toujours sous sanction.</w:t>
      </w:r>
    </w:p>
    <w:bookmarkEnd w:id="237"/>
    <w:bookmarkStart w:id="238" w:name="X5f4fc9e131bf79e98b98ddfece5f150a138688a"/>
    <w:p>
      <w:pPr>
        <w:pStyle w:val="Heading2"/>
      </w:pPr>
      <w:r>
        <w:t xml:space="preserve">Recommandations pratiques pour les personnes menacées</w:t>
      </w:r>
    </w:p>
    <w:p>
      <w:pPr>
        <w:pStyle w:val="FirstParagraph"/>
      </w:pPr>
      <w:r>
        <w:t xml:space="preserve">Face à cette réalité, Nathalie Yamb formule des conseils concrets :</w:t>
      </w:r>
    </w:p>
    <w:p>
      <w:pPr>
        <w:numPr>
          <w:ilvl w:val="0"/>
          <w:numId w:val="1008"/>
        </w:numPr>
        <w:pStyle w:val="Compact"/>
      </w:pPr>
      <w:r>
        <w:rPr>
          <w:bCs/>
          <w:b/>
        </w:rPr>
        <w:t xml:space="preserve">Compte bancaire hors UE</w:t>
      </w:r>
      <w:r>
        <w:t xml:space="preserve"> </w:t>
      </w:r>
      <w:r>
        <w:t xml:space="preserve">— Asie, monde arabe, Afrique : obtenir impérativement un compte dans une région qui n’applique pas systématiquement les sanctions européennes.</w:t>
      </w:r>
    </w:p>
    <w:p>
      <w:pPr>
        <w:numPr>
          <w:ilvl w:val="0"/>
          <w:numId w:val="1008"/>
        </w:numPr>
        <w:pStyle w:val="Compact"/>
      </w:pPr>
      <w:r>
        <w:rPr>
          <w:bCs/>
          <w:b/>
        </w:rPr>
        <w:t xml:space="preserve">Carte Union Pay</w:t>
      </w:r>
      <w:r>
        <w:t xml:space="preserve"> </w:t>
      </w:r>
      <w:r>
        <w:t xml:space="preserve">— alternative chinoise aux systèmes Visa/Mastercard contrôlés par l’espace financier occidental.</w:t>
      </w:r>
    </w:p>
    <w:p>
      <w:pPr>
        <w:numPr>
          <w:ilvl w:val="0"/>
          <w:numId w:val="1008"/>
        </w:numPr>
        <w:pStyle w:val="Compact"/>
      </w:pPr>
      <w:r>
        <w:rPr>
          <w:bCs/>
          <w:b/>
        </w:rPr>
        <w:t xml:space="preserve">Crypto en portefeuille externe</w:t>
      </w:r>
      <w:r>
        <w:t xml:space="preserve"> </w:t>
      </w:r>
      <w:r>
        <w:t xml:space="preserve">— quitter les plateformes centralisées (Binance et équivalents) pour des wallets physiques (Ledger, Trezor).</w:t>
      </w:r>
    </w:p>
    <w:p>
      <w:pPr>
        <w:numPr>
          <w:ilvl w:val="0"/>
          <w:numId w:val="1008"/>
        </w:numPr>
        <w:pStyle w:val="Compact"/>
      </w:pPr>
      <w:r>
        <w:rPr>
          <w:bCs/>
          <w:b/>
        </w:rPr>
        <w:t xml:space="preserve">Sauvegarder les contenus</w:t>
      </w:r>
      <w:r>
        <w:t xml:space="preserve"> </w:t>
      </w:r>
      <w:r>
        <w:t xml:space="preserve">sur des plateformes hors UE (Rumble et autres alternatives).</w:t>
      </w:r>
    </w:p>
    <w:p>
      <w:pPr>
        <w:numPr>
          <w:ilvl w:val="0"/>
          <w:numId w:val="1008"/>
        </w:numPr>
        <w:pStyle w:val="Compact"/>
      </w:pPr>
      <w:r>
        <w:rPr>
          <w:bCs/>
          <w:b/>
        </w:rPr>
        <w:t xml:space="preserve">Diversifier les éditeurs et partenaires commerciaux</w:t>
      </w:r>
      <w:r>
        <w:t xml:space="preserve"> </w:t>
      </w:r>
      <w:r>
        <w:t xml:space="preserve">hors de l’espace soumis aux sanctions européennes.</w:t>
      </w:r>
    </w:p>
    <w:p>
      <w:pPr>
        <w:numPr>
          <w:ilvl w:val="0"/>
          <w:numId w:val="1008"/>
        </w:numPr>
        <w:pStyle w:val="Compact"/>
      </w:pPr>
      <w:r>
        <w:rPr>
          <w:bCs/>
          <w:b/>
        </w:rPr>
        <w:t xml:space="preserve">Construire un réseau de solidarité</w:t>
      </w:r>
      <w:r>
        <w:t xml:space="preserve"> </w:t>
      </w:r>
      <w:r>
        <w:t xml:space="preserve">transnational, non pyramidal — la seule protection réelle face à un mécanisme administratif sans recours judiciaire effectif.</w:t>
      </w:r>
    </w:p>
    <w:p>
      <w:r>
        <w:pict>
          <v:rect style="width:0;height:1.5pt" o:hralign="center" o:hrstd="t" o:hr="t"/>
        </w:pict>
      </w:r>
    </w:p>
    <w:bookmarkEnd w:id="238"/>
    <w:bookmarkEnd w:id="239"/>
    <w:bookmarkStart w:id="246" w:name="X10ce5d6842d703f7615e46a56397fd9fe950554"/>
    <w:p>
      <w:pPr>
        <w:pStyle w:val="Heading1"/>
      </w:pPr>
      <w:r>
        <w:t xml:space="preserve">Chapitre — RCA : La CPC, Bozizé et la Souveraineté Retrouvée</w:t>
      </w:r>
    </w:p>
    <w:p>
      <w:pPr>
        <w:pStyle w:val="FirstParagraph"/>
      </w:pPr>
      <w:r>
        <w:rPr>
          <w:iCs/>
          <w:i/>
        </w:rPr>
        <w:t xml:space="preserve">Intervention de Fidèle Gouandjika — Ministre Conseiller Spécial à la Présidence de la République Centrafricaine</w:t>
      </w:r>
    </w:p>
    <w:p>
      <w:pPr>
        <w:pStyle w:val="BlockText"/>
      </w:pPr>
      <w:r>
        <w:rPr>
          <w:iCs/>
          <w:i/>
        </w:rPr>
        <w:t xml:space="preserve">« La République centrafricaine est un État souverain. Nous traitons d’égal à égal avec les États-Unis, la France, la Belgique — avec tout le monde. »</w:t>
      </w:r>
      <w:r>
        <w:t xml:space="preserve"> </w:t>
      </w:r>
      <w:r>
        <w:t xml:space="preserve">— Fidèle Gouandjika</w:t>
      </w:r>
    </w:p>
    <w:bookmarkStart w:id="240" w:name="Xe8697d74ae231b273be95905ef19f11e55d9dd4"/>
    <w:p>
      <w:pPr>
        <w:pStyle w:val="Heading2"/>
      </w:pPr>
      <w:r>
        <w:t xml:space="preserve">Bozizé : portrait d’un putschiste professionnel</w:t>
      </w:r>
    </w:p>
    <w:p>
      <w:pPr>
        <w:pStyle w:val="FirstParagraph"/>
      </w:pPr>
      <w:r>
        <w:t xml:space="preserve">François Bozizé est un cas d’école. Sa carrière entière s’est construite sur les coups d’État — ou les tentatives.</w:t>
      </w:r>
    </w:p>
    <w:p>
      <w:pPr>
        <w:pStyle w:val="BodyText"/>
      </w:pPr>
      <w:r>
        <w:rPr>
          <w:bCs/>
          <w:b/>
        </w:rPr>
        <w:t xml:space="preserve">1982</w:t>
      </w:r>
      <w:r>
        <w:t xml:space="preserve"> </w:t>
      </w:r>
      <w:r>
        <w:t xml:space="preserve">: première tentative contre le président Patassé. Échec. Exil.</w:t>
      </w:r>
    </w:p>
    <w:p>
      <w:pPr>
        <w:pStyle w:val="BodyText"/>
      </w:pPr>
      <w:r>
        <w:rPr>
          <w:bCs/>
          <w:b/>
        </w:rPr>
        <w:t xml:space="preserve">2003</w:t>
      </w:r>
      <w:r>
        <w:t xml:space="preserve"> </w:t>
      </w:r>
      <w:r>
        <w:t xml:space="preserve">: après des années de guérilla depuis le Tchad, avec le soutien d’Idriss Déby et la bienveillance de Paris, il entre dans Bangui et renverse Patassé. Succès. Bozizé gouverne pendant dix ans.</w:t>
      </w:r>
    </w:p>
    <w:p>
      <w:pPr>
        <w:pStyle w:val="BodyText"/>
      </w:pPr>
      <w:r>
        <w:rPr>
          <w:bCs/>
          <w:b/>
        </w:rPr>
        <w:t xml:space="preserve">2013</w:t>
      </w:r>
      <w:r>
        <w:t xml:space="preserve"> </w:t>
      </w:r>
      <w:r>
        <w:t xml:space="preserve">: la Séléka le chasse à son tour. Il fuit. Il s’installe à l’étranger.</w:t>
      </w:r>
    </w:p>
    <w:p>
      <w:pPr>
        <w:pStyle w:val="BodyText"/>
      </w:pPr>
      <w:r>
        <w:rPr>
          <w:bCs/>
          <w:b/>
        </w:rPr>
        <w:t xml:space="preserve">Depuis 2020</w:t>
      </w:r>
      <w:r>
        <w:t xml:space="preserve"> </w:t>
      </w:r>
      <w:r>
        <w:t xml:space="preserve">: sa candidature à l’élection présidentielle est rejetée pour violations des conditions légales. Il choisit alors la seule voie qu’il connaît : les armes. Il co-fonde la</w:t>
      </w:r>
      <w:r>
        <w:t xml:space="preserve"> </w:t>
      </w:r>
      <w:r>
        <w:rPr>
          <w:bCs/>
          <w:b/>
        </w:rPr>
        <w:t xml:space="preserve">CPC — Coalition des Patriotes pour le Changement</w:t>
      </w:r>
      <w:r>
        <w:t xml:space="preserve"> </w:t>
      </w:r>
      <w:r>
        <w:t xml:space="preserve">avec Abdou Karim Meckassoua, et utilise des mercenaires pour déstabiliser le pays qu’il prétend vouloir libérer.</w:t>
      </w:r>
    </w:p>
    <w:p>
      <w:pPr>
        <w:pStyle w:val="BodyText"/>
      </w:pPr>
      <w:r>
        <w:t xml:space="preserve">Ce schéma n’est pas propre à la RCA. En Côte d’Ivoire,</w:t>
      </w:r>
      <w:r>
        <w:t xml:space="preserve"> </w:t>
      </w:r>
      <w:r>
        <w:rPr>
          <w:bCs/>
          <w:b/>
        </w:rPr>
        <w:t xml:space="preserve">Alassane Ouattara</w:t>
      </w:r>
      <w:r>
        <w:t xml:space="preserve"> </w:t>
      </w:r>
      <w:r>
        <w:t xml:space="preserve">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pStyle w:val="BodyText"/>
      </w:pPr>
      <w:r>
        <w:t xml:space="preserve">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bookmarkEnd w:id="240"/>
    <w:bookmarkStart w:id="241" w:name="touadéra-la-légitimité-par-les-urnes"/>
    <w:p>
      <w:pPr>
        <w:pStyle w:val="Heading2"/>
      </w:pPr>
      <w:r>
        <w:t xml:space="preserve">Touadéra : la légitimité par les urnes</w:t>
      </w:r>
    </w:p>
    <w:p>
      <w:pPr>
        <w:pStyle w:val="FirstParagraph"/>
      </w:pPr>
      <w:r>
        <w:t xml:space="preserve">Face à ces hommes qui cherchent le pouvoir par les armes,</w:t>
      </w:r>
      <w:r>
        <w:t xml:space="preserve"> </w:t>
      </w:r>
      <w:r>
        <w:rPr>
          <w:bCs/>
          <w:b/>
        </w:rPr>
        <w:t xml:space="preserve">Faustin-Archange Touadéra</w:t>
      </w:r>
      <w:r>
        <w:t xml:space="preserve"> </w:t>
      </w:r>
      <w:r>
        <w:t xml:space="preserve">représente quelque chose d’inédit dans l’histoire centrafricaine : un président élu démocratiquement, dont la légitimité ne repose sur aucun coup d’État, aucune intervention militaire étrangère, aucune manipulation de résultats.</w:t>
      </w:r>
    </w:p>
    <w:p>
      <w:pPr>
        <w:pStyle w:val="BodyText"/>
      </w:pPr>
      <w:r>
        <w:t xml:space="preserve">Premier professeur des universités à diriger la République centrafricaine, Touadéra est le produit de l’école centrafricaine. Il n’est pas arrivé dans des chars. Il n’est pas arrivé avec des milices. Il est arrivé par le vote du peuple souverain.</w:t>
      </w:r>
    </w:p>
    <w:p>
      <w:pPr>
        <w:pStyle w:val="BodyText"/>
      </w:pPr>
      <w:r>
        <w:t xml:space="preserve">Ses opposants — ceux qui font des scores de 3% et 4% aux élections — préfèrent les armes précisément parce qu’ils savent que le vote ne leur donnera jamais le pouvoir. Quand on ne peut pas gagner par les urnes, on prend les fusils. C’est la seule logique de la CPC.</w:t>
      </w:r>
    </w:p>
    <w:bookmarkEnd w:id="241"/>
    <w:bookmarkStart w:id="242" w:name="Xf0f0480dfcca9d556a910bc564b8d92fa51bcb6"/>
    <w:p>
      <w:pPr>
        <w:pStyle w:val="Heading2"/>
      </w:pPr>
      <w:r>
        <w:t xml:space="preserve">La question des ressources : reprendre ce qui appartient au peuple</w:t>
      </w:r>
    </w:p>
    <w:p>
      <w:pPr>
        <w:pStyle w:val="FirstParagraph"/>
      </w:pPr>
      <w:r>
        <w:t xml:space="preserve">L’enjeu réel de cette déstabilisation n’est pas la démocratie. C’est le</w:t>
      </w:r>
      <w:r>
        <w:t xml:space="preserve"> </w:t>
      </w:r>
      <w:r>
        <w:rPr>
          <w:bCs/>
          <w:b/>
        </w:rPr>
        <w:t xml:space="preserve">pétrole</w:t>
      </w:r>
      <w:r>
        <w:t xml:space="preserve">. C’est l’</w:t>
      </w:r>
      <w:r>
        <w:rPr>
          <w:bCs/>
          <w:b/>
        </w:rPr>
        <w:t xml:space="preserve">uranium</w:t>
      </w:r>
      <w:r>
        <w:t xml:space="preserve">. Ce sont les ressources naturelles centrafricaines que le gouvernement Touadéra entend reprendre sous le contrôle de l’État et faire bénéficier au peuple.</w:t>
      </w:r>
    </w:p>
    <w:p>
      <w:pPr>
        <w:pStyle w:val="BodyText"/>
      </w:pPr>
      <w:r>
        <w:t xml:space="preserve">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bookmarkEnd w:id="242"/>
    <w:bookmarkStart w:id="243" w:name="X06eb7b6d726edc2423ea47711082404560cbd5d"/>
    <w:p>
      <w:pPr>
        <w:pStyle w:val="Heading2"/>
      </w:pPr>
      <w:r>
        <w:t xml:space="preserve">Russie et Rwanda : des partenaires qui aident vraiment</w:t>
      </w:r>
    </w:p>
    <w:p>
      <w:pPr>
        <w:pStyle w:val="FirstParagraph"/>
      </w:pPr>
      <w:r>
        <w:t xml:space="preserve">Face à l’incapacité de certains partenaires traditionnels à sécuriser le territoire centrafricain, le gouvernement a fait un choix souverain : diversifier ses alliances. Le partenariat avec la</w:t>
      </w:r>
      <w:r>
        <w:t xml:space="preserve"> </w:t>
      </w:r>
      <w:r>
        <w:rPr>
          <w:bCs/>
          <w:b/>
        </w:rPr>
        <w:t xml:space="preserve">Russie</w:t>
      </w:r>
      <w:r>
        <w:t xml:space="preserve"> </w:t>
      </w:r>
      <w:r>
        <w:t xml:space="preserve">et le</w:t>
      </w:r>
      <w:r>
        <w:t xml:space="preserve"> </w:t>
      </w:r>
      <w:r>
        <w:rPr>
          <w:bCs/>
          <w:b/>
        </w:rPr>
        <w:t xml:space="preserve">Rwanda</w:t>
      </w:r>
      <w:r>
        <w:t xml:space="preserve"> </w:t>
      </w:r>
      <w:r>
        <w:t xml:space="preserve">n’est pas une trahison — c’est un résultat.</w:t>
      </w:r>
    </w:p>
    <w:p>
      <w:pPr>
        <w:pStyle w:val="BodyText"/>
      </w:pPr>
      <w:r>
        <w:t xml:space="preserve">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pStyle w:val="BodyText"/>
      </w:pPr>
      <w:r>
        <w:t xml:space="preserve">Les opposants qui cherchent refuge et soutien à Paris pour déstabiliser leur propre pays illustrent exactement ce que cette diversification cherche à dépasser.</w:t>
      </w:r>
    </w:p>
    <w:bookmarkEnd w:id="243"/>
    <w:bookmarkStart w:id="244" w:name="X0ade299e93495b4c7dbfdb8c481a0e5399e7d6d"/>
    <w:p>
      <w:pPr>
        <w:pStyle w:val="Heading2"/>
      </w:pPr>
      <w:r>
        <w:t xml:space="preserve">Le G-16 : les visages de la déstabilisation financée par Paris</w:t>
      </w:r>
    </w:p>
    <w:p>
      <w:pPr>
        <w:pStyle w:val="FirstParagraph"/>
      </w:pPr>
      <w:r>
        <w:t xml:space="preserve">En juin 2022, un groupe se constituant sous le nom</w:t>
      </w:r>
      <w:r>
        <w:t xml:space="preserve"> </w:t>
      </w:r>
      <w:r>
        <w:rPr>
          <w:bCs/>
          <w:b/>
        </w:rPr>
        <w:t xml:space="preserve">G-16</w:t>
      </w:r>
      <w:r>
        <w:t xml:space="preserve"> </w:t>
      </w:r>
      <w:r>
        <w:t xml:space="preserve">organise depuis Paris une conférence de presse sur financement français, avec pour objectif déclaré de s’opposer à la révision constitutionnelle souhaitée par plus de 102 députés de l’Assemblée nationale et par la majorité des Centrafricains.</w:t>
      </w:r>
    </w:p>
    <w:p>
      <w:pPr>
        <w:pStyle w:val="BodyText"/>
      </w:pPr>
      <w:r>
        <w:t xml:space="preserve">Deux figures en sont les principaux initiateurs.</w:t>
      </w:r>
    </w:p>
    <w:p>
      <w:pPr>
        <w:pStyle w:val="BodyText"/>
      </w:pPr>
      <w:r>
        <w:rPr>
          <w:bCs/>
          <w:b/>
        </w:rPr>
        <w:t xml:space="preserve">Jean-François Akandji-Kombé</w:t>
      </w:r>
      <w:r>
        <w:t xml:space="preserve"> </w:t>
      </w:r>
      <w:r>
        <w:t xml:space="preserve">—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w:t>
      </w:r>
      <w:r>
        <w:t xml:space="preserve"> </w:t>
      </w:r>
      <w:r>
        <w:rPr>
          <w:bCs/>
          <w:b/>
        </w:rPr>
        <w:t xml:space="preserve">conseiller juridique d’Abdoul Karim Meckassoua</w:t>
      </w:r>
      <w:r>
        <w:t xml:space="preserve"> </w:t>
      </w:r>
      <w:r>
        <w:t xml:space="preserve">lorsque celui-ci présidait l’Assemblée nationale de 2016 à 2018. Le fil qui relie les acteurs de la déstabilisation est court.</w:t>
      </w:r>
    </w:p>
    <w:p>
      <w:pPr>
        <w:pStyle w:val="BodyText"/>
      </w:pPr>
      <w:r>
        <w:rPr>
          <w:bCs/>
          <w:b/>
        </w:rPr>
        <w:t xml:space="preserve">Rodrigue Joseph Prudence Mayté</w:t>
      </w:r>
      <w:r>
        <w:t xml:space="preserve"> </w:t>
      </w:r>
      <w:r>
        <w:t xml:space="preserve">— alias Kerembesse, déjà mentionné dans le communiqué de novembre 2022. Son parcours mérite d’être retracé. Il fut membre actif de la jeunesse du parti</w:t>
      </w:r>
      <w:r>
        <w:t xml:space="preserve"> </w:t>
      </w:r>
      <w:r>
        <w:rPr>
          <w:bCs/>
          <w:b/>
        </w:rPr>
        <w:t xml:space="preserve">KNK de François Bozizé</w:t>
      </w:r>
      <w:r>
        <w:t xml:space="preserve">. Sous Bozizé, il a participé aux milices</w:t>
      </w:r>
      <w:r>
        <w:t xml:space="preserve"> </w:t>
      </w:r>
      <w:r>
        <w:rPr>
          <w:bCs/>
          <w:b/>
        </w:rPr>
        <w:t xml:space="preserve">COCARA</w:t>
      </w:r>
      <w:r>
        <w:t xml:space="preserve"> </w:t>
      </w:r>
      <w:r>
        <w:t xml:space="preserve">— et selon les sources centrafricaines, il aurait détourné plus de</w:t>
      </w:r>
      <w:r>
        <w:t xml:space="preserve"> </w:t>
      </w:r>
      <w:r>
        <w:rPr>
          <w:bCs/>
          <w:b/>
        </w:rPr>
        <w:t xml:space="preserve">70 millions de FCFA</w:t>
      </w:r>
      <w:r>
        <w:t xml:space="preserve"> </w:t>
      </w:r>
      <w:r>
        <w:t xml:space="preserve">destinés à ces miliciens. En 2012, il participait à l’</w:t>
      </w:r>
      <w:r>
        <w:rPr>
          <w:bCs/>
          <w:b/>
        </w:rPr>
        <w:t xml:space="preserve">incendie du drapeau français</w:t>
      </w:r>
      <w:r>
        <w:t xml:space="preserve"> </w:t>
      </w:r>
      <w:r>
        <w:t xml:space="preserve">devant l’ambassade de France à Bangui. Aujourd’hui, il vit en France, bénéficie du statut de réfugié politique, et coordonne depuis Paris le réseau des</w:t>
      </w:r>
      <w:r>
        <w:t xml:space="preserve"> </w:t>
      </w:r>
      <w:r>
        <w:rPr>
          <w:bCs/>
          <w:b/>
        </w:rPr>
        <w:t xml:space="preserve">« 12 Apôtres »</w:t>
      </w:r>
      <w:r>
        <w:t xml:space="preserve"> </w:t>
      </w:r>
      <w:r>
        <w:t xml:space="preserve">— surnommés « les 12 démons » par les Centrafricains — dont les manifestations ne rassemblent pas plus de trente personnes mais prétendent représenter l’opinion centrafricaine.</w:t>
      </w:r>
    </w:p>
    <w:p>
      <w:pPr>
        <w:pStyle w:val="BodyText"/>
      </w:pPr>
      <w:r>
        <w:t xml:space="preserve">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pStyle w:val="BodyText"/>
      </w:pPr>
      <w:r>
        <w:rPr>
          <w:iCs/>
          <w:i/>
        </w:rPr>
        <w:t xml:space="preserve">Source : Basta Balouwa — Ndjoni Sango, Bangui, 13 juin 2022</w:t>
      </w:r>
    </w:p>
    <w:bookmarkEnd w:id="244"/>
    <w:bookmarkStart w:id="245" w:name="une-note-sur-le-contexte-sanitaire"/>
    <w:p>
      <w:pPr>
        <w:pStyle w:val="Heading2"/>
      </w:pPr>
      <w:r>
        <w:t xml:space="preserve">Une note sur le contexte sanitaire</w:t>
      </w:r>
    </w:p>
    <w:p>
      <w:pPr>
        <w:pStyle w:val="FirstParagraph"/>
      </w:pPr>
      <w:r>
        <w:t xml:space="preserve">Cette intervention a été enregistrée dans le contexte de la pandémie de</w:t>
      </w:r>
      <w:r>
        <w:t xml:space="preserve"> </w:t>
      </w:r>
      <w:r>
        <w:rPr>
          <w:bCs/>
          <w:b/>
        </w:rPr>
        <w:t xml:space="preserve">Covid-19</w:t>
      </w:r>
      <w:r>
        <w:t xml:space="preserve">.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pStyle w:val="BodyText"/>
      </w:pPr>
      <w:r>
        <w:t xml:space="preserve">Ce geste dit quelque chose sur l’homme : dans un contexte politique tendu, il a choisi de commencer par la santé publique.</w:t>
      </w:r>
    </w:p>
    <w:p>
      <w:r>
        <w:pict>
          <v:rect style="width:0;height:1.5pt" o:hralign="center" o:hrstd="t" o:hr="t"/>
        </w:pict>
      </w:r>
    </w:p>
    <w:bookmarkEnd w:id="245"/>
    <w:bookmarkEnd w:id="246"/>
    <w:bookmarkStart w:id="250" w:name="X8ca98d6f3b14ad436f8dedfea79efd31fd74fb1"/>
    <w:p>
      <w:pPr>
        <w:pStyle w:val="Heading1"/>
      </w:pPr>
      <w:r>
        <w:t xml:space="preserve">Chapitre — Mali : Le Complot de Paris et les Redditions du FLA</w:t>
      </w:r>
    </w:p>
    <w:p>
      <w:pPr>
        <w:pStyle w:val="FirstParagraph"/>
      </w:pPr>
      <w:r>
        <w:rPr>
          <w:iCs/>
          <w:i/>
        </w:rPr>
        <w:t xml:space="preserve">Analyse — juin 2026</w:t>
      </w:r>
    </w:p>
    <w:p>
      <w:pPr>
        <w:pStyle w:val="BlockText"/>
      </w:pPr>
      <w:r>
        <w:rPr>
          <w:iCs/>
          <w:i/>
        </w:rPr>
        <w:t xml:space="preserve">« Si cette opération avait visé n’importe quel gouvernement européen, le mot serait : complot, ingérence, acte hostile. Ici, on appelle ça la géopolitique africaine. C’est la même chose. »</w:t>
      </w:r>
    </w:p>
    <w:bookmarkStart w:id="247" w:name="ce-que-cette-affaire-établit"/>
    <w:p>
      <w:pPr>
        <w:pStyle w:val="Heading2"/>
      </w:pPr>
      <w:r>
        <w:t xml:space="preserve">Ce que cette affaire établit</w:t>
      </w:r>
    </w:p>
    <w:p>
      <w:pPr>
        <w:pStyle w:val="FirstParagraph"/>
      </w:pPr>
      <w:r>
        <w:t xml:space="preserve">Les exilés maliens approchés ont refusé. Ils ont décliné toute alliance avec des groupes armés au nord, refusé tout contact avec des djihadistes. Le mémorandum d’entente n’a jamais été signé.</w:t>
      </w:r>
    </w:p>
    <w:p>
      <w:pPr>
        <w:pStyle w:val="BodyText"/>
      </w:pPr>
      <w:r>
        <w:t xml:space="preserve">Mais le fond de l’affaire reste entier.</w:t>
      </w:r>
    </w:p>
    <w:p>
      <w:pPr>
        <w:pStyle w:val="BodyText"/>
      </w:pPr>
      <w:r>
        <w:t xml:space="preserve">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w:t>
      </w:r>
      <w:r>
        <w:t xml:space="preserve"> </w:t>
      </w:r>
      <w:r>
        <w:rPr>
          <w:bCs/>
          <w:b/>
        </w:rPr>
        <w:t xml:space="preserve">GUR</w:t>
      </w:r>
      <w:r>
        <w:t xml:space="preserve"> </w:t>
      </w:r>
      <w:r>
        <w:t xml:space="preserve">— dans le but explicite de déstabiliser un État.</w:t>
      </w:r>
    </w:p>
    <w:p>
      <w:pPr>
        <w:pStyle w:val="BodyText"/>
      </w:pPr>
      <w:r>
        <w:t xml:space="preserve">Si cette séquence avait visé un gouvernement européen, les mots seraient : complot, ingérence, acte hostile, casus belli. Ici, certains l’appellent</w:t>
      </w:r>
      <w:r>
        <w:t xml:space="preserve"> </w:t>
      </w:r>
      <w:r>
        <w:rPr>
          <w:iCs/>
          <w:i/>
        </w:rPr>
        <w:t xml:space="preserve">géopolitique africaine</w:t>
      </w:r>
      <w:r>
        <w:t xml:space="preserve">. C’est pourtant la même chose.</w:t>
      </w:r>
    </w:p>
    <w:p>
      <w:pPr>
        <w:pStyle w:val="BodyText"/>
      </w:pPr>
      <w:r>
        <w:t xml:space="preserve">Cette affaire donne au gouvernement malien des munitions concrètes pour ce qu’il demande depuis des mois : une réunion spécifique du</w:t>
      </w:r>
      <w:r>
        <w:t xml:space="preserve"> </w:t>
      </w:r>
      <w:r>
        <w:rPr>
          <w:bCs/>
          <w:b/>
        </w:rPr>
        <w:t xml:space="preserve">Conseil de sécurité de l’ONU</w:t>
      </w:r>
      <w:r>
        <w:t xml:space="preserve"> </w:t>
      </w:r>
      <w:r>
        <w:t xml:space="preserve">pour présenter des preuves des actes de duplicité, d’espionnage et de déstabilisation de la France à l’encontre du Mali.</w:t>
      </w:r>
    </w:p>
    <w:p>
      <w:pPr>
        <w:pStyle w:val="BodyText"/>
      </w:pPr>
      <w:r>
        <w:t xml:space="preserve">La question de fond reste entière :</w:t>
      </w:r>
      <w:r>
        <w:t xml:space="preserve"> </w:t>
      </w:r>
      <w:r>
        <w:rPr>
          <w:bCs/>
          <w:b/>
        </w:rPr>
        <w:t xml:space="preserve">qui, en Europe, autorise que son territoire serve de base logistique à des opérations visant à armer des opposants à des États africains souverains ?</w:t>
      </w:r>
    </w:p>
    <w:bookmarkEnd w:id="247"/>
    <w:bookmarkStart w:id="248" w:name="Xf83b759acfd68d7c3c43490fd3294f76866fc96"/>
    <w:p>
      <w:pPr>
        <w:pStyle w:val="Heading2"/>
      </w:pPr>
      <w:r>
        <w:t xml:space="preserve">Le programme DDR : désarmer, démobiliser, réinsérer</w:t>
      </w:r>
    </w:p>
    <w:p>
      <w:pPr>
        <w:pStyle w:val="FirstParagraph"/>
      </w:pPr>
      <w:r>
        <w:t xml:space="preserve">Ces redditions s’inscrivent dans le</w:t>
      </w:r>
      <w:r>
        <w:t xml:space="preserve"> </w:t>
      </w:r>
      <w:r>
        <w:rPr>
          <w:bCs/>
          <w:b/>
        </w:rPr>
        <w:t xml:space="preserve">programme DDR</w:t>
      </w:r>
      <w:r>
        <w:t xml:space="preserve"> </w:t>
      </w:r>
      <w:r>
        <w:t xml:space="preserve">— Désarmement, Démobilisation, Réinsertion et Intégration — lancé officiellement en</w:t>
      </w:r>
      <w:r>
        <w:t xml:space="preserve"> </w:t>
      </w:r>
      <w:r>
        <w:rPr>
          <w:bCs/>
          <w:b/>
        </w:rPr>
        <w:t xml:space="preserve">février 2025</w:t>
      </w:r>
      <w:r>
        <w:t xml:space="preserve">.</w:t>
      </w:r>
    </w:p>
    <w:p>
      <w:pPr>
        <w:pStyle w:val="BodyText"/>
      </w:pPr>
      <w:r>
        <w:t xml:space="preserve">L’objectif : 3 000 anciens combattants.</w:t>
      </w:r>
      <w:r>
        <w:t xml:space="preserve"> </w:t>
      </w:r>
      <w:r>
        <w:t xml:space="preserve">-</w:t>
      </w:r>
      <w:r>
        <w:t xml:space="preserve"> </w:t>
      </w:r>
      <w:r>
        <w:rPr>
          <w:bCs/>
          <w:b/>
        </w:rPr>
        <w:t xml:space="preserve">2 000</w:t>
      </w:r>
      <w:r>
        <w:t xml:space="preserve"> </w:t>
      </w:r>
      <w:r>
        <w:t xml:space="preserve">intégrés dans les Forces armées maliennes comme soldats de 2e classe, avec solde et formation.</w:t>
      </w:r>
      <w:r>
        <w:t xml:space="preserve"> </w:t>
      </w:r>
      <w:r>
        <w:t xml:space="preserve">-</w:t>
      </w:r>
      <w:r>
        <w:t xml:space="preserve"> </w:t>
      </w:r>
      <w:r>
        <w:rPr>
          <w:bCs/>
          <w:b/>
        </w:rPr>
        <w:t xml:space="preserve">1 000</w:t>
      </w:r>
      <w:r>
        <w:t xml:space="preserve"> </w:t>
      </w:r>
      <w:r>
        <w:t xml:space="preserve">orientés vers une réinsertion civile : formation professionnelle, microprojets économiques, aide au retour à la vie civile via le ministère de la Réconciliation.</w:t>
      </w:r>
    </w:p>
    <w:p>
      <w:pPr>
        <w:pStyle w:val="BodyText"/>
      </w:pPr>
      <w:r>
        <w:t xml:space="preserve">Des sessions concrètes ont eu lieu. Le programme a été étendu aux groupes d’autodéfense en novembre 2025.</w:t>
      </w:r>
    </w:p>
    <w:p>
      <w:pPr>
        <w:pStyle w:val="BodyText"/>
      </w:pPr>
      <w:r>
        <w:t xml:space="preserve">Le</w:t>
      </w:r>
      <w:r>
        <w:t xml:space="preserve"> </w:t>
      </w:r>
      <w:r>
        <w:rPr>
          <w:bCs/>
          <w:b/>
        </w:rPr>
        <w:t xml:space="preserve">général Alad Gamou</w:t>
      </w:r>
      <w:r>
        <w:t xml:space="preserve"> </w:t>
      </w:r>
      <w:r>
        <w:t xml:space="preserve">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bookmarkEnd w:id="248"/>
    <w:bookmarkStart w:id="249" w:name="la-guerre-financière-souvre"/>
    <w:p>
      <w:pPr>
        <w:pStyle w:val="Heading2"/>
      </w:pPr>
      <w:r>
        <w:t xml:space="preserve">La guerre financière s’ouvre</w:t>
      </w:r>
    </w:p>
    <w:p>
      <w:pPr>
        <w:pStyle w:val="FirstParagraph"/>
      </w:pPr>
      <w:r>
        <w:t xml:space="preserve">Le</w:t>
      </w:r>
      <w:r>
        <w:t xml:space="preserve"> </w:t>
      </w:r>
      <w:r>
        <w:rPr>
          <w:bCs/>
          <w:b/>
        </w:rPr>
        <w:t xml:space="preserve">18 juin 2026</w:t>
      </w:r>
      <w:r>
        <w:t xml:space="preserve">, par arrêté du ministre des Finances malien, les avoirs de</w:t>
      </w:r>
      <w:r>
        <w:t xml:space="preserve"> </w:t>
      </w:r>
      <w:r>
        <w:rPr>
          <w:bCs/>
          <w:b/>
        </w:rPr>
        <w:t xml:space="preserve">12 personnes</w:t>
      </w:r>
      <w:r>
        <w:t xml:space="preserve"> </w:t>
      </w:r>
      <w:r>
        <w:t xml:space="preserve">sont gelés pour six mois pour liens présumés avec le GNIM et le FLA. Les profils sont variés : un journaliste, un magistrat, un ingénieur, des juristes. Bien au-delà des cercles armés.</w:t>
      </w:r>
    </w:p>
    <w:p>
      <w:pPr>
        <w:pStyle w:val="BodyText"/>
      </w:pPr>
      <w:r>
        <w:t xml:space="preserve">Il s’agit d’une mesure administrative, pas d’une condamnation judiciaire. Mais le signal est clair : Bamako cible désormais les</w:t>
      </w:r>
      <w:r>
        <w:t xml:space="preserve"> </w:t>
      </w:r>
      <w:r>
        <w:rPr>
          <w:bCs/>
          <w:b/>
        </w:rPr>
        <w:t xml:space="preserve">réseaux de soutien civil</w:t>
      </w:r>
      <w:r>
        <w:t xml:space="preserve"> </w:t>
      </w:r>
      <w:r>
        <w:t xml:space="preserve">aux groupes armés. La guerre financière a commencé.</w:t>
      </w:r>
    </w:p>
    <w:p>
      <w:pPr>
        <w:pStyle w:val="BodyText"/>
      </w:pPr>
      <w:r>
        <w:rPr>
          <w:iCs/>
          <w:i/>
        </w:rPr>
        <w:t xml:space="preserve">À rapprocher de : Chapitre 18 — Niger : le verrou final ; Chapitre 19 — La naissance de l’AES ; Chapitre 20 — La guerre proxy ; Chapitre 44 — Le GAFI : bras armé financier du néocolonialisme ; Annexe 41 — Guerre informationnelle au Niger.</w:t>
      </w:r>
    </w:p>
    <w:p>
      <w:r>
        <w:pict>
          <v:rect style="width:0;height:1.5pt" o:hralign="center" o:hrstd="t" o:hr="t"/>
        </w:pict>
      </w:r>
    </w:p>
    <w:bookmarkEnd w:id="249"/>
    <w:bookmarkEnd w:id="250"/>
    <w:bookmarkStart w:id="253" w:name="Xe9935a76cd42839071e5fb28a28ea9d40afc499"/>
    <w:p>
      <w:pPr>
        <w:pStyle w:val="Heading1"/>
      </w:pPr>
      <w:r>
        <w:t xml:space="preserve">Chapitre — Burkina Faso : Convocation de l’Ambassadeur de l’UE</w:t>
      </w:r>
    </w:p>
    <w:p>
      <w:pPr>
        <w:pStyle w:val="FirstParagraph"/>
      </w:pPr>
      <w:r>
        <w:rPr>
          <w:iCs/>
          <w:i/>
        </w:rPr>
        <w:t xml:space="preserve">Bangui, 22 juin 2026</w:t>
      </w:r>
    </w:p>
    <w:p>
      <w:pPr>
        <w:pStyle w:val="BlockText"/>
      </w:pPr>
      <w:r>
        <w:rPr>
          <w:iCs/>
          <w:i/>
        </w:rPr>
        <w:t xml:space="preserve">« Le Burkina Faso reste un pays souverain et n’a de leçons à recevoir de personne. »</w:t>
      </w:r>
      <w:r>
        <w:t xml:space="preserve"> </w:t>
      </w:r>
      <w:r>
        <w:t xml:space="preserve">— Ministre Karamoko Jean-Marie Traoré, ministre des Affaires étrangères du Burkina Faso</w:t>
      </w:r>
    </w:p>
    <w:bookmarkStart w:id="251" w:name="X499a9b9996bcb21c05e375d281634264ae92988"/>
    <w:p>
      <w:pPr>
        <w:pStyle w:val="Heading2"/>
      </w:pPr>
      <w:r>
        <w:t xml:space="preserve">Ce qui est reproché au Parlement européen</w:t>
      </w:r>
    </w:p>
    <w:p>
      <w:pPr>
        <w:pStyle w:val="FirstParagraph"/>
      </w:pPr>
      <w:r>
        <w:t xml:space="preserve">Selon le ministre Traoré, le discours de Gomard comporte plusieurs violations graves :</w:t>
      </w:r>
    </w:p>
    <w:p>
      <w:pPr>
        <w:pStyle w:val="BodyText"/>
      </w:pPr>
      <w:r>
        <w:rPr>
          <w:bCs/>
          <w:b/>
        </w:rPr>
        <w:t xml:space="preserve">Premièrement, les faits sont faux.</w:t>
      </w:r>
      <w:r>
        <w:t xml:space="preserve"> </w:t>
      </w:r>
      <w:r>
        <w:t xml:space="preserve">Les arguments avancés devant les députés européens s’appuient sur des informations</w:t>
      </w:r>
      <w:r>
        <w:t xml:space="preserve"> </w:t>
      </w:r>
      <w:r>
        <w:rPr>
          <w:iCs/>
          <w:i/>
        </w:rPr>
        <w:t xml:space="preserve">« totalement erronées »</w:t>
      </w:r>
      <w:r>
        <w:t xml:space="preserve"> </w:t>
      </w:r>
      <w:r>
        <w:t xml:space="preserve">concernant la situation au Burkina Faso. Un parlementaire qui donne des chiffres sur un pays qu’il n’a pas visité, devant une institution qui prétend légiférer sur ce pays — c’est du mépris déguisé en expertise.</w:t>
      </w:r>
    </w:p>
    <w:p>
      <w:pPr>
        <w:pStyle w:val="BodyText"/>
      </w:pPr>
      <w:r>
        <w:rPr>
          <w:bCs/>
          <w:b/>
        </w:rPr>
        <w:t xml:space="preserve">Deuxièmement, c’est de l’ingérence.</w:t>
      </w:r>
      <w:r>
        <w:t xml:space="preserve"> </w:t>
      </w:r>
      <w:r>
        <w:t xml:space="preserve">En agissant ainsi, le Parlement européen a</w:t>
      </w:r>
      <w:r>
        <w:t xml:space="preserve"> </w:t>
      </w:r>
      <w:r>
        <w:rPr>
          <w:iCs/>
          <w:i/>
        </w:rPr>
        <w:t xml:space="preserve">« totalement violé le droit d’ingérence »</w:t>
      </w:r>
      <w:r>
        <w:t xml:space="preserve"> </w:t>
      </w:r>
      <w:r>
        <w:t xml:space="preserve">— marchant sur toutes les dispositions du droit international en la matière. L’Union européenne, en tant qu’institution, n’a pas vocation à commenter les affaires intérieures d’un État souverain depuis ses tribunes législatives.</w:t>
      </w:r>
    </w:p>
    <w:p>
      <w:pPr>
        <w:pStyle w:val="BodyText"/>
      </w:pPr>
      <w:r>
        <w:rPr>
          <w:bCs/>
          <w:b/>
        </w:rPr>
        <w:t xml:space="preserve">Troisièmement, c’est du mépris.</w:t>
      </w:r>
      <w:r>
        <w:t xml:space="preserve"> </w:t>
      </w:r>
      <w:r>
        <w:t xml:space="preserve">Le Burkina Faso se bat, aux côtés du Mali et du Niger, pour maintenir ce que le ministre appelle</w:t>
      </w:r>
      <w:r>
        <w:t xml:space="preserve"> </w:t>
      </w:r>
      <w:r>
        <w:rPr>
          <w:iCs/>
          <w:i/>
        </w:rPr>
        <w:t xml:space="preserve">« cette digue »</w:t>
      </w:r>
      <w:r>
        <w:t xml:space="preserve"> </w:t>
      </w:r>
      <w:r>
        <w:t xml:space="preserve">que les trois États de l’AES tentent de consolider pour protéger leurs voisins du sud. Voir un parlementaire européen venir disserter sur ce combat avec des données fausses, c’est</w:t>
      </w:r>
      <w:r>
        <w:t xml:space="preserve"> </w:t>
      </w:r>
      <w:r>
        <w:rPr>
          <w:iCs/>
          <w:i/>
        </w:rPr>
        <w:t xml:space="preserve">« souiller la sacralité du Parlement européen »</w:t>
      </w:r>
      <w:r>
        <w:t xml:space="preserve"> </w:t>
      </w:r>
      <w:r>
        <w:t xml:space="preserve">avec des relents néocoloniaux.</w:t>
      </w:r>
    </w:p>
    <w:bookmarkEnd w:id="251"/>
    <w:bookmarkStart w:id="252" w:name="ce-que-cette-convocation-signifie"/>
    <w:p>
      <w:pPr>
        <w:pStyle w:val="Heading2"/>
      </w:pPr>
      <w:r>
        <w:t xml:space="preserve">Ce que cette convocation signifie</w:t>
      </w:r>
    </w:p>
    <w:p>
      <w:pPr>
        <w:pStyle w:val="FirstParagraph"/>
      </w:pPr>
      <w:r>
        <w:t xml:space="preserve">La convocation d’un ambassadeur est l’un des actes diplomatiques les plus forts à la disposition d’un État souverain en dessous de la rupture des relations. Elle dit :</w:t>
      </w:r>
      <w:r>
        <w:t xml:space="preserve"> </w:t>
      </w:r>
      <w:r>
        <w:rPr>
          <w:iCs/>
          <w:i/>
        </w:rPr>
        <w:t xml:space="preserve">nous sommes ici, nous existons, et ce que vous faites a des conséquences</w:t>
      </w:r>
      <w:r>
        <w:t xml:space="preserve">.</w:t>
      </w:r>
    </w:p>
    <w:p>
      <w:pPr>
        <w:pStyle w:val="BodyText"/>
      </w:pPr>
      <w:r>
        <w:t xml:space="preserve">Le Burkina Faso envoie un message à plusieurs niveaux :</w:t>
      </w:r>
    </w:p>
    <w:p>
      <w:pPr>
        <w:numPr>
          <w:ilvl w:val="0"/>
          <w:numId w:val="1009"/>
        </w:numPr>
        <w:pStyle w:val="Compact"/>
      </w:pPr>
      <w:r>
        <w:rPr>
          <w:bCs/>
          <w:b/>
        </w:rPr>
        <w:t xml:space="preserve">À l’UE</w:t>
      </w:r>
      <w:r>
        <w:t xml:space="preserve"> </w:t>
      </w:r>
      <w:r>
        <w:t xml:space="preserve">: vos tribunes ne sont pas au-dessus du droit international. Les discours de vos parlementaires sur nos pays ont des effets réels et nous les traitons comme tels.</w:t>
      </w:r>
    </w:p>
    <w:p>
      <w:pPr>
        <w:numPr>
          <w:ilvl w:val="0"/>
          <w:numId w:val="1009"/>
        </w:numPr>
        <w:pStyle w:val="Compact"/>
      </w:pPr>
      <w:r>
        <w:rPr>
          <w:bCs/>
          <w:b/>
        </w:rPr>
        <w:t xml:space="preserve">À l’AES</w:t>
      </w:r>
      <w:r>
        <w:t xml:space="preserve"> </w:t>
      </w:r>
      <w:r>
        <w:t xml:space="preserve">: la solidarité des trois pays n’est pas rhétorique. Ce qui touche l’un est assumé par les trois dans les enceintes diplomatiques.</w:t>
      </w:r>
    </w:p>
    <w:p>
      <w:pPr>
        <w:numPr>
          <w:ilvl w:val="0"/>
          <w:numId w:val="1009"/>
        </w:numPr>
        <w:pStyle w:val="Compact"/>
      </w:pPr>
      <w:r>
        <w:rPr>
          <w:bCs/>
          <w:b/>
        </w:rPr>
        <w:t xml:space="preserve">À l’Afrique</w:t>
      </w:r>
      <w:r>
        <w:t xml:space="preserve"> </w:t>
      </w:r>
      <w:r>
        <w:t xml:space="preserve">: la convocation d’ambassadeur est un outil. Il faut l’utiliser. Il faut cesser de subir en silence.</w:t>
      </w:r>
    </w:p>
    <w:p>
      <w:pPr>
        <w:pStyle w:val="FirstParagraph"/>
      </w:pPr>
      <w:r>
        <w:t xml:space="preserve">Le ministre Traoré a conclu en termes sans ambiguïté :</w:t>
      </w:r>
      <w:r>
        <w:t xml:space="preserve"> </w:t>
      </w:r>
      <w:r>
        <w:rPr>
          <w:iCs/>
          <w:i/>
        </w:rPr>
        <w:t xml:space="preserve">« Le Burkina Faso reste un pays souverain et n’a de leçons à recevoir de personne. »</w:t>
      </w:r>
    </w:p>
    <w:p>
      <w:pPr>
        <w:pStyle w:val="BodyText"/>
      </w:pPr>
      <w:r>
        <w:t xml:space="preserve">Ce n’est pas une posture. C’est une doctrine.</w:t>
      </w:r>
    </w:p>
    <w:p>
      <w:r>
        <w:pict>
          <v:rect style="width:0;height:1.5pt" o:hralign="center" o:hrstd="t" o:hr="t"/>
        </w:pict>
      </w:r>
    </w:p>
    <w:bookmarkEnd w:id="252"/>
    <w:bookmarkEnd w:id="253"/>
    <w:bookmarkStart w:id="257" w:name="chapitre-rca-la-guerre-qui-vient"/>
    <w:p>
      <w:pPr>
        <w:pStyle w:val="Heading1"/>
      </w:pPr>
      <w:r>
        <w:t xml:space="preserve">Chapitre — RCA : La Guerre Qui Vient</w:t>
      </w:r>
    </w:p>
    <w:p>
      <w:pPr>
        <w:pStyle w:val="FirstParagraph"/>
      </w:pPr>
      <w:r>
        <w:rPr>
          <w:iCs/>
          <w:i/>
        </w:rPr>
        <w:t xml:space="preserve">Analyse de Thomas Dietrich — 22 juin 2026</w:t>
      </w:r>
    </w:p>
    <w:p>
      <w:pPr>
        <w:pStyle w:val="BlockText"/>
      </w:pPr>
      <w:r>
        <w:rPr>
          <w:iCs/>
          <w:i/>
        </w:rPr>
        <w:t xml:space="preserve">« Mon pays est prêt à recommencer. On est prêt à tout pour garder nos derniers lambeaux d’empire et nos dernières illusions de grandeur. On est prêt à tout, y compris à mettre des pays entiers à feu et à sang. »</w:t>
      </w:r>
      <w:r>
        <w:t xml:space="preserve"> </w:t>
      </w:r>
      <w:r>
        <w:t xml:space="preserve">— Thomas Dietrich</w:t>
      </w:r>
    </w:p>
    <w:bookmarkStart w:id="254" w:name="les-deux-russies-en-rca"/>
    <w:p>
      <w:pPr>
        <w:pStyle w:val="Heading2"/>
      </w:pPr>
      <w:r>
        <w:t xml:space="preserve">Les deux Russies en RCA</w:t>
      </w:r>
    </w:p>
    <w:p>
      <w:pPr>
        <w:pStyle w:val="FirstParagraph"/>
      </w:pPr>
      <w:r>
        <w:t xml:space="preserve">La présence russe en RCA est réelle mais</w:t>
      </w:r>
      <w:r>
        <w:t xml:space="preserve"> </w:t>
      </w:r>
      <w:r>
        <w:rPr>
          <w:bCs/>
          <w:b/>
        </w:rPr>
        <w:t xml:space="preserve">divisée en deux camps qui s’affrontent</w:t>
      </w:r>
      <w:r>
        <w:t xml:space="preserve">.</w:t>
      </w:r>
    </w:p>
    <w:p>
      <w:pPr>
        <w:pStyle w:val="BodyText"/>
      </w:pPr>
      <w:r>
        <w:t xml:space="preserve">D’un côté, la</w:t>
      </w:r>
      <w:r>
        <w:t xml:space="preserve"> </w:t>
      </w:r>
      <w:r>
        <w:rPr>
          <w:bCs/>
          <w:b/>
        </w:rPr>
        <w:t xml:space="preserve">vieille garde Wagner</w:t>
      </w:r>
      <w:r>
        <w:t xml:space="preserve"> </w:t>
      </w:r>
      <w:r>
        <w:t xml:space="preserve">— les mercenaires ayant survécu à la mort de Prigojine — qui continuent d’entourer le président Touadéra depuis 2018. Leur figure centrale :</w:t>
      </w:r>
      <w:r>
        <w:t xml:space="preserve"> </w:t>
      </w:r>
      <w:r>
        <w:rPr>
          <w:bCs/>
          <w:b/>
        </w:rPr>
        <w:t xml:space="preserve">Dmitri Sytyi</w:t>
      </w:r>
      <w:r>
        <w:t xml:space="preserve">, une sorte de vice-roi des ex-Wagner en Centrafrique.</w:t>
      </w:r>
    </w:p>
    <w:p>
      <w:pPr>
        <w:pStyle w:val="BodyText"/>
      </w:pPr>
      <w:r>
        <w:t xml:space="preserve">De l’autre, la</w:t>
      </w:r>
      <w:r>
        <w:t xml:space="preserve"> </w:t>
      </w:r>
      <w:r>
        <w:rPr>
          <w:bCs/>
          <w:b/>
        </w:rPr>
        <w:t xml:space="preserve">Russie officielle</w:t>
      </w:r>
      <w:r>
        <w:t xml:space="preserve"> </w:t>
      </w:r>
      <w:r>
        <w:t xml:space="preserve">— l’ambassade de Moscou à Bangui et le groupe paramilitaire</w:t>
      </w:r>
      <w:r>
        <w:t xml:space="preserve"> </w:t>
      </w:r>
      <w:r>
        <w:rPr>
          <w:bCs/>
          <w:b/>
        </w:rPr>
        <w:t xml:space="preserve">Africa Corps</w:t>
      </w:r>
      <w:r>
        <w:t xml:space="preserve">, directement rattaché à Vladimir Poutine, qui veut remplacer Wagner en Centrafrique.</w:t>
      </w:r>
    </w:p>
    <w:p>
      <w:pPr>
        <w:pStyle w:val="BodyText"/>
      </w:pPr>
      <w:r>
        <w:t xml:space="preserve">Touadéra ne veut pas lâcher ses compagnons de route de la première heure. Africa Corps veut les supplanter. L’affrontement entre les deux factions est réel, à couteaux tirés. À Paris, on observe cela avec intérêt.</w:t>
      </w:r>
    </w:p>
    <w:bookmarkEnd w:id="254"/>
    <w:bookmarkStart w:id="255" w:name="le-triple-pivot-de-mahamat-déby"/>
    <w:p>
      <w:pPr>
        <w:pStyle w:val="Heading2"/>
      </w:pPr>
      <w:r>
        <w:t xml:space="preserve">Le triple pivot de Mahamat Déby</w:t>
      </w:r>
    </w:p>
    <w:p>
      <w:pPr>
        <w:pStyle w:val="FirstParagraph"/>
      </w:pPr>
      <w:r>
        <w:t xml:space="preserve">Le président tchadien</w:t>
      </w:r>
      <w:r>
        <w:t xml:space="preserve"> </w:t>
      </w:r>
      <w:r>
        <w:rPr>
          <w:bCs/>
          <w:b/>
        </w:rPr>
        <w:t xml:space="preserve">Mahamat Idriss Déby</w:t>
      </w:r>
      <w:r>
        <w:t xml:space="preserve"> </w:t>
      </w:r>
      <w:r>
        <w:t xml:space="preserve">a exécuté trois virages géopolitiques majeurs depuis début 2026.</w:t>
      </w:r>
    </w:p>
    <w:p>
      <w:pPr>
        <w:pStyle w:val="BodyText"/>
      </w:pPr>
      <w:r>
        <w:rPr>
          <w:bCs/>
          <w:b/>
        </w:rPr>
        <w:t xml:space="preserve">Premier pivot</w:t>
      </w:r>
      <w:r>
        <w:t xml:space="preserve"> </w:t>
      </w:r>
      <w:r>
        <w:t xml:space="preserve">: se rabibocher avec Macron. Des officiers français chassés du Tchad un an plus tôt ont repris quartier à N’Djamena pour aider le régime tchadien en matière de renseignement.</w:t>
      </w:r>
    </w:p>
    <w:p>
      <w:pPr>
        <w:pStyle w:val="BodyText"/>
      </w:pPr>
      <w:r>
        <w:rPr>
          <w:bCs/>
          <w:b/>
        </w:rPr>
        <w:t xml:space="preserve">Deuxième pivot</w:t>
      </w:r>
      <w:r>
        <w:t xml:space="preserve"> </w:t>
      </w:r>
      <w:r>
        <w:t xml:space="preserve">: lâcher progressivement Hemedti pour se rapprocher du camp Bourhan. Des sommes importantes auraient été versées au Tchad par l’Arabie Saoudite — l’un des parrains de Bourhan. Déby junior ne veut plus mettre tous ses œufs dans le même panier soudanais.</w:t>
      </w:r>
    </w:p>
    <w:p>
      <w:pPr>
        <w:pStyle w:val="BodyText"/>
      </w:pPr>
      <w:r>
        <w:rPr>
          <w:bCs/>
          <w:b/>
        </w:rPr>
        <w:t xml:space="preserve">Troisième pivot</w:t>
      </w:r>
      <w:r>
        <w:t xml:space="preserve"> </w:t>
      </w:r>
      <w:r>
        <w:t xml:space="preserve">: après une période de relative bonne entente avec Bangui depuis 2021 et la réouverture de la frontière commune, N’Djamena semble de nouveau chercher à</w:t>
      </w:r>
      <w:r>
        <w:t xml:space="preserve"> </w:t>
      </w:r>
      <w:r>
        <w:rPr>
          <w:bCs/>
          <w:b/>
        </w:rPr>
        <w:t xml:space="preserve">déstabiliser la Centrafrique</w:t>
      </w:r>
      <w:r>
        <w:t xml:space="preserv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bookmarkEnd w:id="255"/>
    <w:bookmarkStart w:id="256" w:name="larchitecture-de-loffensive-à-venir"/>
    <w:p>
      <w:pPr>
        <w:pStyle w:val="Heading2"/>
      </w:pPr>
      <w:r>
        <w:t xml:space="preserve">L’architecture de l’offensive à venir</w:t>
      </w:r>
    </w:p>
    <w:p>
      <w:pPr>
        <w:pStyle w:val="FirstParagraph"/>
      </w:pPr>
      <w:r>
        <w:t xml:space="preserve">Les différentes pièces s’assemblent en une offensive convergente :</w:t>
      </w:r>
    </w:p>
    <w:p>
      <w:pPr>
        <w:numPr>
          <w:ilvl w:val="0"/>
          <w:numId w:val="1010"/>
        </w:numPr>
        <w:pStyle w:val="Compact"/>
      </w:pPr>
      <w:r>
        <w:rPr>
          <w:bCs/>
          <w:b/>
        </w:rPr>
        <w:t xml:space="preserve">Au nord</w:t>
      </w:r>
      <w:r>
        <w:t xml:space="preserve"> </w:t>
      </w:r>
      <w:r>
        <w:t xml:space="preserve">: les combattants de Nouredine Adam, à majorité musulmane, déboulant depuis leurs bases arrière du Tchad et du Soudan</w:t>
      </w:r>
    </w:p>
    <w:p>
      <w:pPr>
        <w:numPr>
          <w:ilvl w:val="0"/>
          <w:numId w:val="1010"/>
        </w:numPr>
        <w:pStyle w:val="Compact"/>
      </w:pPr>
      <w:r>
        <w:rPr>
          <w:bCs/>
          <w:b/>
        </w:rPr>
        <w:t xml:space="preserve">À l’est</w:t>
      </w:r>
      <w:r>
        <w:t xml:space="preserve"> </w:t>
      </w:r>
      <w:r>
        <w:t xml:space="preserve">: les milices Zandé — surnommées les « Wagner Noirs », anciens membres de groupes d’autodéfense formés par les mercenaires russes qui se sont retournés contre leurs anciens maîtres — réunis au sein de la rébellion</w:t>
      </w:r>
      <w:r>
        <w:t xml:space="preserve"> </w:t>
      </w:r>
      <w:r>
        <w:rPr>
          <w:bCs/>
          <w:b/>
        </w:rPr>
        <w:t xml:space="preserve">Aka-Gé</w:t>
      </w:r>
      <w:r>
        <w:t xml:space="preserve"> </w:t>
      </w:r>
      <w:r>
        <w:t xml:space="preserve">et visant la ville de Bangassou</w:t>
      </w:r>
    </w:p>
    <w:p>
      <w:pPr>
        <w:numPr>
          <w:ilvl w:val="0"/>
          <w:numId w:val="1010"/>
        </w:numPr>
        <w:pStyle w:val="Compact"/>
      </w:pPr>
      <w:r>
        <w:rPr>
          <w:bCs/>
          <w:b/>
        </w:rPr>
        <w:t xml:space="preserve">Dans l’ombre</w:t>
      </w:r>
      <w:r>
        <w:t xml:space="preserve"> </w:t>
      </w:r>
      <w:r>
        <w:t xml:space="preserve">: des barbouzes français comme</w:t>
      </w:r>
      <w:r>
        <w:t xml:space="preserve"> </w:t>
      </w:r>
      <w:r>
        <w:rPr>
          <w:bCs/>
          <w:b/>
        </w:rPr>
        <w:t xml:space="preserve">Christophe Rento</w:t>
      </w:r>
      <w:r>
        <w:t xml:space="preserve">, mercenaire ayant participé à un attentat à la grenade dans une église de Bangui en 2018 faisant une vingtaine de morts</w:t>
      </w:r>
    </w:p>
    <w:p>
      <w:pPr>
        <w:pStyle w:val="FirstParagraph"/>
      </w:pPr>
      <w:r>
        <w:t xml:space="preserve">Ces insurgés aux profils antagonistes — militants islamistes et rebelles chrétiens, partisans de Bozizé et milices Zandé — peuvent s’unir sur un seul programme : chasser les Russes et renverser Touadéra.</w:t>
      </w:r>
    </w:p>
    <w:p>
      <w:pPr>
        <w:pStyle w:val="BodyText"/>
      </w:pPr>
      <w:r>
        <w:t xml:space="preserve">À Bangui, la psychose s’installe. Deux proches du président ont été entendus par la justice centrafricaine :</w:t>
      </w:r>
      <w:r>
        <w:t xml:space="preserve"> </w:t>
      </w:r>
      <w:r>
        <w:rPr>
          <w:bCs/>
          <w:b/>
        </w:rPr>
        <w:t xml:space="preserve">S. Yalo</w:t>
      </w:r>
      <w:r>
        <w:t xml:space="preserve"> </w:t>
      </w:r>
      <w:r>
        <w:t xml:space="preserve">et le ministre des Grands Travaux</w:t>
      </w:r>
      <w:r>
        <w:t xml:space="preserve"> </w:t>
      </w:r>
      <w:r>
        <w:rPr>
          <w:bCs/>
          <w:b/>
        </w:rPr>
        <w:t xml:space="preserve">Pascal Bida Koyak Bélé</w:t>
      </w:r>
      <w:r>
        <w:t xml:space="preserve">, soupçonnés d’être mêlés à l’organisation d’un coup d’État. Les traîtres présumés seraient déjà dans la place.</w:t>
      </w:r>
    </w:p>
    <w:p>
      <w:pPr>
        <w:pStyle w:val="BodyText"/>
      </w:pPr>
      <w:r>
        <w:rPr>
          <w:iCs/>
          <w:i/>
        </w:rPr>
        <w:t xml:space="preserve">À rapprocher de : Chapitre 46 — Histoire de la RCA : Fidèle Gouandjika ; Chapitre 20 — La guerre proxy ; Chapitre 18 — Niger : le verrou final ; Chapitre 30 — France-Afrique 2.0 : la recomposition de la domination.</w:t>
      </w:r>
    </w:p>
    <w:p>
      <w:r>
        <w:pict>
          <v:rect style="width:0;height:1.5pt" o:hralign="center" o:hrstd="t" o:hr="t"/>
        </w:pict>
      </w:r>
    </w:p>
    <w:bookmarkEnd w:id="256"/>
    <w:bookmarkEnd w:id="257"/>
    <w:bookmarkStart w:id="261" w:name="X5ea167b8ed38630fe6cc93697bc7669ed132181"/>
    <w:p>
      <w:pPr>
        <w:pStyle w:val="Heading1"/>
      </w:pPr>
      <w:r>
        <w:t xml:space="preserve">Chapitre — Mali : Le 25 Avril 2026 — L’Offensive et le Silence de Paris</w:t>
      </w:r>
    </w:p>
    <w:p>
      <w:pPr>
        <w:pStyle w:val="FirstParagraph"/>
      </w:pPr>
      <w:r>
        <w:rPr>
          <w:iCs/>
          <w:i/>
        </w:rPr>
        <w:t xml:space="preserve">Analyse de Thomas Dietrich</w:t>
      </w:r>
    </w:p>
    <w:p>
      <w:pPr>
        <w:pStyle w:val="BlockText"/>
      </w:pPr>
      <w:r>
        <w:rPr>
          <w:iCs/>
          <w:i/>
        </w:rPr>
        <w:t xml:space="preserve">« La France sera-t-elle prête à tout pour se venger ? Y compris à laisser le drapeau noir des islamistes flotter sur Bamako ? »</w:t>
      </w:r>
      <w:r>
        <w:t xml:space="preserve"> </w:t>
      </w:r>
      <w:r>
        <w:t xml:space="preserve">— Thomas Dietrich</w:t>
      </w:r>
    </w:p>
    <w:bookmarkStart w:id="258" w:name="kidal-la-ville-symbole-tombe-brièvement"/>
    <w:p>
      <w:pPr>
        <w:pStyle w:val="Heading2"/>
      </w:pPr>
      <w:r>
        <w:t xml:space="preserve">Kidal : la ville symbole tombe brièvement</w:t>
      </w:r>
    </w:p>
    <w:p>
      <w:pPr>
        <w:pStyle w:val="FirstParagraph"/>
      </w:pPr>
      <w:r>
        <w:t xml:space="preserve">À la mi-journée, les rebelles Touareg du FLA revendiquent le contrôle de</w:t>
      </w:r>
      <w:r>
        <w:t xml:space="preserve"> </w:t>
      </w:r>
      <w:r>
        <w:rPr>
          <w:bCs/>
          <w:b/>
        </w:rPr>
        <w:t xml:space="preserve">Kidal</w:t>
      </w:r>
      <w:r>
        <w:t xml:space="preserve"> </w:t>
      </w:r>
      <w:r>
        <w:t xml:space="preserve">—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pStyle w:val="BodyText"/>
      </w:pPr>
      <w:r>
        <w:t xml:space="preserve">Pour le FLA, c’est un retour en force. Pour Bamako, c’est une humiliation symbolique — Kidal avait été reprise par les FAMAS et leurs partenaires russes en 2023.</w:t>
      </w:r>
    </w:p>
    <w:bookmarkEnd w:id="258"/>
    <w:bookmarkStart w:id="259" w:name="le-jeu-trouble-de-la-france"/>
    <w:p>
      <w:pPr>
        <w:pStyle w:val="Heading2"/>
      </w:pPr>
      <w:r>
        <w:t xml:space="preserve">Le jeu trouble de la France</w:t>
      </w:r>
    </w:p>
    <w:p>
      <w:pPr>
        <w:pStyle w:val="FirstParagraph"/>
      </w:pPr>
      <w:r>
        <w:t xml:space="preserve">La France nie toute ingérence. Mais son passé au Mali ne plaide pas en sa faveur.</w:t>
      </w:r>
    </w:p>
    <w:p>
      <w:pPr>
        <w:pStyle w:val="BodyText"/>
      </w:pPr>
      <w:r>
        <w:rPr>
          <w:bCs/>
          <w:b/>
        </w:rPr>
        <w:t xml:space="preserve">Dès 2010-2011</w:t>
      </w:r>
      <w:r>
        <w:t xml:space="preserve">, des envoyés de Nicolas Sarkozy — dont le colonel de la DGSE</w:t>
      </w:r>
      <w:r>
        <w:t xml:space="preserve"> </w:t>
      </w:r>
      <w:r>
        <w:rPr>
          <w:bCs/>
          <w:b/>
        </w:rPr>
        <w:t xml:space="preserve">Jean-Marc Gadoulet</w:t>
      </w:r>
      <w:r>
        <w:t xml:space="preserve"> </w:t>
      </w:r>
      <w:r>
        <w:t xml:space="preserve">— auraient promis aux rebelles du nord Mali l’indépendance du nord du pays en échange d’une rupture avec Kadhafi. Nombre de ces rebelles avaient été embauchés comme mercenaires par le guide libyen.</w:t>
      </w:r>
    </w:p>
    <w:p>
      <w:pPr>
        <w:pStyle w:val="BodyText"/>
      </w:pPr>
      <w:r>
        <w:t xml:space="preserve">Ensuite, l’épisode de</w:t>
      </w:r>
      <w:r>
        <w:t xml:space="preserve"> </w:t>
      </w:r>
      <w:r>
        <w:rPr>
          <w:bCs/>
          <w:b/>
        </w:rPr>
        <w:t xml:space="preserve">Kidal</w:t>
      </w:r>
      <w:r>
        <w:t xml:space="preserve"> </w:t>
      </w:r>
      <w:r>
        <w:t xml:space="preserve">: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w:t>
      </w:r>
      <w:r>
        <w:t xml:space="preserve"> </w:t>
      </w:r>
      <w:r>
        <w:rPr>
          <w:iCs/>
          <w:i/>
        </w:rPr>
        <w:t xml:space="preserve">« sanctuaire pour les terroristes »</w:t>
      </w:r>
      <w:r>
        <w:t xml:space="preserve">.</w:t>
      </w:r>
    </w:p>
    <w:p>
      <w:pPr>
        <w:pStyle w:val="BodyText"/>
      </w:pPr>
      <w:r>
        <w:rPr>
          <w:bCs/>
          <w:b/>
        </w:rPr>
        <w:t xml:space="preserve">Mai 2025</w:t>
      </w:r>
      <w:r>
        <w:t xml:space="preserve"> </w:t>
      </w:r>
      <w:r>
        <w:t xml:space="preserve">: selon</w:t>
      </w:r>
      <w:r>
        <w:t xml:space="preserve"> </w:t>
      </w:r>
      <w:r>
        <w:rPr>
          <w:iCs/>
          <w:i/>
        </w:rPr>
        <w:t xml:space="preserve">Africa Intelligence</w:t>
      </w:r>
      <w:r>
        <w:t xml:space="preserve">,</w:t>
      </w:r>
      <w:r>
        <w:t xml:space="preserve"> </w:t>
      </w:r>
      <w:r>
        <w:rPr>
          <w:bCs/>
          <w:b/>
        </w:rPr>
        <w:t xml:space="preserve">Bilal Sharif</w:t>
      </w:r>
      <w:r>
        <w:t xml:space="preserve">, leader du FLA, se rend en Italie puis en France avec un visa Schengen, alors que son mouvement est déjà en alliance avec le JNIM. À Paris, il est reçu par la</w:t>
      </w:r>
      <w:r>
        <w:t xml:space="preserve"> </w:t>
      </w:r>
      <w:r>
        <w:rPr>
          <w:bCs/>
          <w:b/>
        </w:rPr>
        <w:t xml:space="preserve">direction du renseignement militaire français</w:t>
      </w:r>
      <w:r>
        <w:t xml:space="preserve">. Il rentre ensuite tranquillement en Mauritanie — sa base arrière, et dernier allié de la France au Sahel. Le président mauritanien</w:t>
      </w:r>
      <w:r>
        <w:t xml:space="preserve"> </w:t>
      </w:r>
      <w:r>
        <w:rPr>
          <w:bCs/>
          <w:b/>
        </w:rPr>
        <w:t xml:space="preserve">Mohamed El-Ghazouani</w:t>
      </w:r>
      <w:r>
        <w:t xml:space="preserve"> </w:t>
      </w:r>
      <w:r>
        <w:t xml:space="preserve">a d’ailleurs été reçu en visite d’État par Macron quelques jours avant les attaques. Le Mali était au cœur des discussions.</w:t>
      </w:r>
    </w:p>
    <w:p>
      <w:pPr>
        <w:pStyle w:val="BodyText"/>
      </w:pPr>
      <w:r>
        <w:rPr>
          <w:bCs/>
          <w:b/>
        </w:rPr>
        <w:t xml:space="preserve">L’Ukraine dans le tableau</w:t>
      </w:r>
      <w:r>
        <w:t xml:space="preserve"> </w:t>
      </w:r>
      <w:r>
        <w:t xml:space="preserve">: un porte-parole du FLA a reconnu sur un plateau parisien entretenir</w:t>
      </w:r>
      <w:r>
        <w:t xml:space="preserve"> </w:t>
      </w:r>
      <w:r>
        <w:rPr>
          <w:iCs/>
          <w:i/>
        </w:rPr>
        <w:t xml:space="preserve">« de bons contacts avec les Ukrainiens, tout comme avec la France »</w:t>
      </w:r>
      <w:r>
        <w:t xml:space="preserve">. Selon des informations de presse, le renseignement militaire ukrainien (</w:t>
      </w:r>
      <w:r>
        <w:rPr>
          <w:bCs/>
          <w:b/>
        </w:rPr>
        <w:t xml:space="preserve">GUR</w:t>
      </w:r>
      <w:r>
        <w:t xml:space="preserve">) aurait fourni des renseignements et formé le FLA au maniement des drones — pour « embêter » les Russes présents au Mali dans le camp adverse.</w:t>
      </w:r>
    </w:p>
    <w:p>
      <w:pPr>
        <w:pStyle w:val="BodyText"/>
      </w:pPr>
      <w:r>
        <w:rPr>
          <w:bCs/>
          <w:b/>
        </w:rPr>
        <w:t xml:space="preserve">L’agent de la DGSE arrêté</w:t>
      </w:r>
      <w:r>
        <w:t xml:space="preserve"> </w:t>
      </w:r>
      <w:r>
        <w:t xml:space="preserve">: en août 2025, Bamako a fait arrêter</w:t>
      </w:r>
      <w:r>
        <w:t xml:space="preserve"> </w:t>
      </w:r>
      <w:r>
        <w:rPr>
          <w:bCs/>
          <w:b/>
        </w:rPr>
        <w:t xml:space="preserve">Jean Vesiller</w:t>
      </w:r>
      <w:r>
        <w:t xml:space="preserve">, secrétaire à l’ambassade de France au Mali et agent présumé de la DGSE, accusé d’avoir voulu préparer un coup d’État en connivence avec des officiers maliens. Il est toujours détenu.</w:t>
      </w:r>
    </w:p>
    <w:bookmarkEnd w:id="259"/>
    <w:bookmarkStart w:id="260" w:name="la-formule-de-burkhard"/>
    <w:p>
      <w:pPr>
        <w:pStyle w:val="Heading2"/>
      </w:pPr>
      <w:r>
        <w:t xml:space="preserve">La formule de Burkhard</w:t>
      </w:r>
    </w:p>
    <w:p>
      <w:pPr>
        <w:pStyle w:val="FirstParagraph"/>
      </w:pPr>
      <w:r>
        <w:t xml:space="preserve">En septembre 2024, à huis clos devant la commission de défense de l’Assemblée nationale française, l’ancien chef d’état-major des armées</w:t>
      </w:r>
      <w:r>
        <w:t xml:space="preserve"> </w:t>
      </w:r>
      <w:r>
        <w:rPr>
          <w:bCs/>
          <w:b/>
        </w:rPr>
        <w:t xml:space="preserve">Thierry Burkhard</w:t>
      </w:r>
      <w:r>
        <w:t xml:space="preserve"> </w:t>
      </w:r>
      <w:r>
        <w:t xml:space="preserve">avait résumé la position française avec une franchise troublante : la France</w:t>
      </w:r>
      <w:r>
        <w:t xml:space="preserve"> </w:t>
      </w:r>
      <w:r>
        <w:rPr>
          <w:bCs/>
          <w:b/>
        </w:rPr>
        <w:t xml:space="preserve">n’a pas d’amis au Mali</w:t>
      </w:r>
      <w:r>
        <w:t xml:space="preserve"> </w:t>
      </w:r>
      <w:r>
        <w:t xml:space="preserve">et ne peut pas choisir entre</w:t>
      </w:r>
      <w:r>
        <w:t xml:space="preserve"> </w:t>
      </w:r>
      <w:r>
        <w:rPr>
          <w:iCs/>
          <w:i/>
        </w:rPr>
        <w:t xml:space="preserve">« des terroristes »</w:t>
      </w:r>
      <w:r>
        <w:t xml:space="preserve"> </w:t>
      </w:r>
      <w:r>
        <w:t xml:space="preserve">(le JNIM) et</w:t>
      </w:r>
      <w:r>
        <w:t xml:space="preserve"> </w:t>
      </w:r>
      <w:r>
        <w:rPr>
          <w:iCs/>
          <w:i/>
        </w:rPr>
        <w:t xml:space="preserve">« des mercenaires »</w:t>
      </w:r>
      <w:r>
        <w:t xml:space="preserve"> </w:t>
      </w:r>
      <w:r>
        <w:t xml:space="preserve">(Wagner/Africa Corps). Renvoyant les deux camps dos à dos.</w:t>
      </w:r>
    </w:p>
    <w:p>
      <w:pPr>
        <w:pStyle w:val="BodyText"/>
      </w:pPr>
      <w:r>
        <w:t xml:space="preserve">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pPr>
        <w:pStyle w:val="BodyText"/>
      </w:pPr>
      <w:r>
        <w:rPr>
          <w:iCs/>
          <w:i/>
        </w:rPr>
        <w:t xml:space="preserve">À rapprocher de : Chapitre 47 — Mali : le complot de Paris et les redditions du FLA ; Chapitre 18 — Niger : le verrou final ; Chapitre 19 — La naissance de l’AES ; Chapitre 20 — La guerre proxy ; Chapitre 49 — RCA : la guerre qui vient.</w:t>
      </w:r>
    </w:p>
    <w:p>
      <w:r>
        <w:pict>
          <v:rect style="width:0;height:1.5pt" o:hralign="center" o:hrstd="t" o:hr="t"/>
        </w:pict>
      </w:r>
    </w:p>
    <w:bookmarkEnd w:id="260"/>
    <w:bookmarkEnd w:id="261"/>
    <w:bookmarkStart w:id="267" w:name="Xab96b5f8c4957ccba5a576563e93f4be5bf35d1"/>
    <w:p>
      <w:pPr>
        <w:pStyle w:val="Heading1"/>
      </w:pPr>
      <w:r>
        <w:t xml:space="preserve">Chapitre — Burkina Faso : Gomart au Parlement européen — Le Prétexte et le Précédent</w:t>
      </w:r>
    </w:p>
    <w:p>
      <w:pPr>
        <w:pStyle w:val="FirstParagraph"/>
      </w:pPr>
      <w:r>
        <w:rPr>
          <w:iCs/>
          <w:i/>
        </w:rPr>
        <w:t xml:space="preserve">Christophe Gomart, député européen et officier supérieur de l’armée française — et la réponse</w:t>
      </w:r>
    </w:p>
    <w:p>
      <w:pPr>
        <w:pStyle w:val="BlockText"/>
      </w:pPr>
      <w:r>
        <w:rPr>
          <w:iCs/>
          <w:i/>
        </w:rPr>
        <w:t xml:space="preserve">« Évitez la drogue. Parce que la drogue peut vous amener à divaguer, comme le monsieur que vous avez vu dans la vidéo. »</w:t>
      </w:r>
      <w:r>
        <w:t xml:space="preserve"> </w:t>
      </w:r>
      <w:r>
        <w:t xml:space="preserve">— Réponse africaine aux propos de Gomart</w:t>
      </w:r>
    </w:p>
    <w:bookmarkStart w:id="264" w:name="la-déconstruction-reconnaître-le-schéma"/>
    <w:p>
      <w:pPr>
        <w:pStyle w:val="Heading2"/>
      </w:pPr>
      <w:r>
        <w:t xml:space="preserve">La déconstruction : reconnaître le schéma</w:t>
      </w:r>
    </w:p>
    <w:p>
      <w:pPr>
        <w:pStyle w:val="FirstParagraph"/>
      </w:pPr>
      <w:r>
        <w:t xml:space="preserve">La réponse à Gomart n’attaque pas les chiffres. Elle identifie le</w:t>
      </w:r>
      <w:r>
        <w:t xml:space="preserve"> </w:t>
      </w:r>
      <w:r>
        <w:rPr>
          <w:bCs/>
          <w:b/>
        </w:rPr>
        <w:t xml:space="preserve">schéma</w:t>
      </w:r>
      <w:r>
        <w:t xml:space="preserve">.</w:t>
      </w:r>
    </w:p>
    <w:p>
      <w:pPr>
        <w:pStyle w:val="BodyText"/>
      </w:pPr>
      <w:r>
        <w:rPr>
          <w:bCs/>
          <w:b/>
        </w:rPr>
        <w:t xml:space="preserve">Première observation</w:t>
      </w:r>
      <w:r>
        <w:t xml:space="preserve"> </w:t>
      </w:r>
      <w:r>
        <w:t xml:space="preserve">: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pStyle w:val="BodyText"/>
      </w:pPr>
      <w:r>
        <w:rPr>
          <w:bCs/>
          <w:b/>
        </w:rPr>
        <w:t xml:space="preserve">Deuxième observation</w:t>
      </w:r>
      <w:r>
        <w:t xml:space="preserve"> </w:t>
      </w:r>
      <w:r>
        <w:t xml:space="preserve">: ce schéma a déjà été utilisé. Deux fois, de manière documentée.</w:t>
      </w:r>
    </w:p>
    <w:bookmarkStart w:id="262" w:name="la-libye"/>
    <w:p>
      <w:pPr>
        <w:pStyle w:val="Heading3"/>
      </w:pPr>
      <w:r>
        <w:t xml:space="preserve">La Libye</w:t>
      </w:r>
    </w:p>
    <w:p>
      <w:pPr>
        <w:pStyle w:val="FirstParagraph"/>
      </w:pPr>
      <w:r>
        <w:t xml:space="preserve">Mouammar Kadhafi a été présenté comme un dictateur. Le peuple libyen, comme une victime de son propre président. La communauté internationale est intervenue pour</w:t>
      </w:r>
      <w:r>
        <w:t xml:space="preserve"> </w:t>
      </w:r>
      <w:r>
        <w:rPr>
          <w:iCs/>
          <w:i/>
        </w:rPr>
        <w:t xml:space="preserve">libérer</w:t>
      </w:r>
      <w:r>
        <w:t xml:space="preserve"> </w:t>
      </w:r>
      <w:r>
        <w:t xml:space="preserve">ce peuple. On sait comment Kadhafi a terminé. On sait dans quel état se trouve la Libye aujourd’hui — quinze ans plus tard, toujours déchirée, toujours en guerre, sans État central fonctionnel.</w:t>
      </w:r>
    </w:p>
    <w:bookmarkEnd w:id="262"/>
    <w:bookmarkStart w:id="263" w:name="la-côte-divoire"/>
    <w:p>
      <w:pPr>
        <w:pStyle w:val="Heading3"/>
      </w:pPr>
      <w:r>
        <w:t xml:space="preserve">La Côte d’Ivoire</w:t>
      </w:r>
    </w:p>
    <w:p>
      <w:pPr>
        <w:pStyle w:val="FirstParagraph"/>
      </w:pPr>
      <w:r>
        <w:t xml:space="preserve">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bookmarkEnd w:id="263"/>
    <w:bookmarkEnd w:id="264"/>
    <w:bookmarkStart w:id="265" w:name="ibrahim-traoré-avait-prévu-cela"/>
    <w:p>
      <w:pPr>
        <w:pStyle w:val="Heading2"/>
      </w:pPr>
      <w:r>
        <w:t xml:space="preserve">Ibrahim Traoré avait prévu cela</w:t>
      </w:r>
    </w:p>
    <w:p>
      <w:pPr>
        <w:pStyle w:val="FirstParagraph"/>
      </w:pPr>
      <w:r>
        <w:t xml:space="preserve">La réponse africaine souligne un point : le capitaine</w:t>
      </w:r>
      <w:r>
        <w:t xml:space="preserve"> </w:t>
      </w:r>
      <w:r>
        <w:rPr>
          <w:bCs/>
          <w:b/>
        </w:rPr>
        <w:t xml:space="preserve">Ibrahim Traoré</w:t>
      </w:r>
      <w:r>
        <w:t xml:space="preserve"> </w:t>
      </w:r>
      <w:r>
        <w:t xml:space="preserve">avait lui-même parlé de</w:t>
      </w:r>
      <w:r>
        <w:t xml:space="preserve"> </w:t>
      </w:r>
      <w:r>
        <w:rPr>
          <w:iCs/>
          <w:i/>
        </w:rPr>
        <w:t xml:space="preserve">l’hiver noir</w:t>
      </w:r>
      <w:r>
        <w:t xml:space="preserve"> </w:t>
      </w:r>
      <w:r>
        <w:t xml:space="preserve">— une période de pression maximale, de tentatives de déstabilisation, de prétextes fabriqués pour justifier une intervention.</w:t>
      </w:r>
    </w:p>
    <w:p>
      <w:pPr>
        <w:pStyle w:val="BodyText"/>
      </w:pPr>
      <w:r>
        <w:t xml:space="preserve">Cette anticipation n’est pas de la paranoïa. C’est de la lecture d’histoire. Kadhafi avait prévenu. Gbagbo avait prévenu. Sankara avait prévenu avant d’être assassiné. La mécanique est connue : on construit d’abord le récit de la victime, ensuite vient le</w:t>
      </w:r>
      <w:r>
        <w:t xml:space="preserve"> </w:t>
      </w:r>
      <w:r>
        <w:rPr>
          <w:iCs/>
          <w:i/>
        </w:rPr>
        <w:t xml:space="preserve">sauveur</w:t>
      </w:r>
      <w:r>
        <w:t xml:space="preserve">.</w:t>
      </w:r>
    </w:p>
    <w:p>
      <w:pPr>
        <w:pStyle w:val="BodyText"/>
      </w:pPr>
      <w:r>
        <w:t xml:space="preserve">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pStyle w:val="BodyText"/>
      </w:pPr>
      <w:r>
        <w:t xml:space="preserve">La guerre de l’information a changé de terrain.</w:t>
      </w:r>
    </w:p>
    <w:bookmarkEnd w:id="265"/>
    <w:bookmarkStart w:id="266" w:name="la-réponse-du-burkina-faso-en-actes"/>
    <w:p>
      <w:pPr>
        <w:pStyle w:val="Heading2"/>
      </w:pPr>
      <w:r>
        <w:t xml:space="preserve">La réponse du Burkina Faso : en actes</w:t>
      </w:r>
    </w:p>
    <w:p>
      <w:pPr>
        <w:pStyle w:val="FirstParagraph"/>
      </w:pPr>
      <w:r>
        <w:t xml:space="preserve">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pStyle w:val="BodyText"/>
      </w:pPr>
      <w:r>
        <w:rPr>
          <w:iCs/>
          <w:i/>
        </w:rPr>
        <w:t xml:space="preserve">Vive le peuple de l’AES.</w:t>
      </w:r>
    </w:p>
    <w:p>
      <w:r>
        <w:pict>
          <v:rect style="width:0;height:1.5pt" o:hralign="center" o:hrstd="t" o:hr="t"/>
        </w:pict>
      </w:r>
    </w:p>
    <w:bookmarkEnd w:id="266"/>
    <w:bookmarkEnd w:id="267"/>
    <w:bookmarkStart w:id="272" w:name="X6ab0d416981be4474b44c46d4adeab3b134fc14"/>
    <w:p>
      <w:pPr>
        <w:pStyle w:val="Heading1"/>
      </w:pPr>
      <w:r>
        <w:t xml:space="preserve">Chapitre — Christophe Raineteau : Le Barbouze Condamné qui Annonce un Coup d’État</w:t>
      </w:r>
    </w:p>
    <w:p>
      <w:pPr>
        <w:pStyle w:val="FirstParagraph"/>
      </w:pPr>
      <w:r>
        <w:rPr>
          <w:iCs/>
          <w:i/>
        </w:rPr>
        <w:t xml:space="preserve">Source : Erick Ngaba — Ndjoni Sango, Bangui, 14 novembre 2022</w:t>
      </w:r>
    </w:p>
    <w:p>
      <w:pPr>
        <w:pStyle w:val="BlockText"/>
      </w:pPr>
      <w:r>
        <w:rPr>
          <w:iCs/>
          <w:i/>
        </w:rPr>
        <w:t xml:space="preserve">« Il se pourrait qu’un coup d’État voit le jour à Bangui dans les mois qui viennent. D’ici quelques mois, nous n’aurons plus en place le président Touadéra. »</w:t>
      </w:r>
      <w:r>
        <w:t xml:space="preserve"> </w:t>
      </w:r>
      <w:r>
        <w:t xml:space="preserve">— Christophe Raineteau, novembre 2022</w:t>
      </w:r>
    </w:p>
    <w:bookmarkStart w:id="269" w:name="qui-est-christophe-raineteau"/>
    <w:p>
      <w:pPr>
        <w:pStyle w:val="Heading2"/>
      </w:pPr>
      <w:r>
        <w:t xml:space="preserve">Qui est Christophe Raineteau</w:t>
      </w:r>
    </w:p>
    <w:p>
      <w:pPr>
        <w:pStyle w:val="FirstParagraph"/>
      </w:pPr>
      <w:r>
        <w:t xml:space="preserve">Christophe Raineteau n’est pas un observateur extérieur qui commente la situation centrafricaine depuis Paris. Il est</w:t>
      </w:r>
      <w:r>
        <w:t xml:space="preserve"> </w:t>
      </w:r>
      <w:r>
        <w:rPr>
          <w:bCs/>
          <w:b/>
        </w:rPr>
        <w:t xml:space="preserve">poursuivi par la justice centrafricaine</w:t>
      </w:r>
      <w:r>
        <w:t xml:space="preserve"> </w:t>
      </w:r>
      <w:r>
        <w:t xml:space="preserve">sous dix chefs d’accusation, dont mandat d’arrêt international émis par la Cour d’appel de Bangui le 4 juin 2018.</w:t>
      </w:r>
    </w:p>
    <w:p>
      <w:pPr>
        <w:pStyle w:val="BodyText"/>
      </w:pPr>
      <w:r>
        <w:t xml:space="preserve">Il opère sous l’alias</w:t>
      </w:r>
      <w:r>
        <w:t xml:space="preserve"> </w:t>
      </w:r>
      <w:r>
        <w:rPr>
          <w:bCs/>
          <w:b/>
        </w:rPr>
        <w:t xml:space="preserve">« Alpha »</w:t>
      </w:r>
      <w:r>
        <w:t xml:space="preserve">.</w:t>
      </w:r>
    </w:p>
    <w:bookmarkStart w:id="268" w:name="Xf3143adfe6bb71a5445758d2c0bafc62c1a334f"/>
    <w:p>
      <w:pPr>
        <w:pStyle w:val="Heading3"/>
      </w:pPr>
      <w:r>
        <w:t xml:space="preserve">L’attentat du 1er mai 2018 — église Notre-Dame de Fatima</w:t>
      </w:r>
    </w:p>
    <w:p>
      <w:pPr>
        <w:pStyle w:val="FirstParagraph"/>
      </w:pPr>
      <w:r>
        <w:t xml:space="preserve">Le</w:t>
      </w:r>
      <w:r>
        <w:t xml:space="preserve"> </w:t>
      </w:r>
      <w:r>
        <w:rPr>
          <w:bCs/>
          <w:b/>
        </w:rPr>
        <w:t xml:space="preserve">1er mai 2018</w:t>
      </w:r>
      <w:r>
        <w:t xml:space="preserve">, des extrémistes armés du quartier KM5 de Bangui attaquent l’église catholique Notre-Dame de Fatima pendant une messe de la Fraternité Saint-Joseph. Bilan :</w:t>
      </w:r>
      <w:r>
        <w:t xml:space="preserve"> </w:t>
      </w:r>
      <w:r>
        <w:rPr>
          <w:bCs/>
          <w:b/>
        </w:rPr>
        <w:t xml:space="preserve">une vingtaine de morts</w:t>
      </w:r>
      <w:r>
        <w:t xml:space="preserve">, dont l’</w:t>
      </w:r>
      <w:r>
        <w:rPr>
          <w:bCs/>
          <w:b/>
        </w:rPr>
        <w:t xml:space="preserve">abbé Albert Toungoumalet Baba</w:t>
      </w:r>
      <w:r>
        <w:t xml:space="preserve">, et une cinquantaine de blessés.</w:t>
      </w:r>
    </w:p>
    <w:p>
      <w:pPr>
        <w:pStyle w:val="BodyText"/>
      </w:pPr>
      <w:r>
        <w:t xml:space="preserve">L’enquête de la Cour d’appel de Bangui établit la complicité de Raineteau avec</w:t>
      </w:r>
      <w:r>
        <w:t xml:space="preserve"> </w:t>
      </w:r>
      <w:r>
        <w:rPr>
          <w:bCs/>
          <w:b/>
        </w:rPr>
        <w:t xml:space="preserve">Djamous Nimery Matar alias Force</w:t>
      </w:r>
      <w:r>
        <w:t xml:space="preserve">, chef des extrémistes armés du KM5, et</w:t>
      </w:r>
      <w:r>
        <w:t xml:space="preserve"> </w:t>
      </w:r>
      <w:r>
        <w:rPr>
          <w:bCs/>
          <w:b/>
        </w:rPr>
        <w:t xml:space="preserve">Bernard Cousin</w:t>
      </w:r>
      <w:r>
        <w:t xml:space="preserve">, autre mercenaire français présent sur le territoire centrafricain.</w:t>
      </w:r>
    </w:p>
    <w:p>
      <w:pPr>
        <w:pStyle w:val="BodyText"/>
      </w:pPr>
      <w:r>
        <w:t xml:space="preserve">Déclaration du</w:t>
      </w:r>
      <w:r>
        <w:t xml:space="preserve"> </w:t>
      </w:r>
      <w:r>
        <w:rPr>
          <w:bCs/>
          <w:b/>
        </w:rPr>
        <w:t xml:space="preserve">Procureur général de la Cour d’appel de Bangui, Eric Didier Tambo</w:t>
      </w:r>
      <w:r>
        <w:t xml:space="preserve"> </w:t>
      </w:r>
      <w:r>
        <w:t xml:space="preserve">:</w:t>
      </w:r>
    </w:p>
    <w:p>
      <w:pPr>
        <w:pStyle w:val="BlockText"/>
      </w:pPr>
      <w:r>
        <w:rPr>
          <w:iCs/>
          <w:i/>
        </w:rPr>
        <w:t xml:space="preserve">« L’enquête étant en cours, nous avons collecté des informations, des images, des sons d’appel téléphonique démontrant que des étrangers et des personnalités politiques centrafricains ont soutenu Djamous Nimery Matar Alias Force dans l’attaque de l’église Notre-Dame de Fatima. Le juge d’instruction a délivré un mandat d’arrêt contre Djamous Nimery Matar Alias Force avec 10 chefs d’accusation. Et ces 10 chefs d’accusation concernent également Christophe Raineteau Alias Alpha et Bernard Cousin pour complicité. »</w:t>
      </w:r>
    </w:p>
    <w:p>
      <w:pPr>
        <w:pStyle w:val="FirstParagraph"/>
      </w:pPr>
      <w:r>
        <w:t xml:space="preserve">Les</w:t>
      </w:r>
      <w:r>
        <w:t xml:space="preserve"> </w:t>
      </w:r>
      <w:r>
        <w:rPr>
          <w:bCs/>
          <w:b/>
        </w:rPr>
        <w:t xml:space="preserve">dix chefs d’accusation</w:t>
      </w:r>
      <w:r>
        <w:t xml:space="preserve"> </w:t>
      </w:r>
      <w:r>
        <w:t xml:space="preserve">retenus contre Raineteau, Cousin et Nimery Matar :</w:t>
      </w:r>
    </w:p>
    <w:p>
      <w:pPr>
        <w:numPr>
          <w:ilvl w:val="0"/>
          <w:numId w:val="1011"/>
        </w:numPr>
        <w:pStyle w:val="Compact"/>
      </w:pPr>
      <w:r>
        <w:t xml:space="preserve">Acte de terrorisme</w:t>
      </w:r>
    </w:p>
    <w:p>
      <w:pPr>
        <w:numPr>
          <w:ilvl w:val="0"/>
          <w:numId w:val="1011"/>
        </w:numPr>
        <w:pStyle w:val="Compact"/>
      </w:pPr>
      <w:r>
        <w:t xml:space="preserve">Incendie volontaire de maisons d’habitation</w:t>
      </w:r>
    </w:p>
    <w:p>
      <w:pPr>
        <w:numPr>
          <w:ilvl w:val="0"/>
          <w:numId w:val="1011"/>
        </w:numPr>
        <w:pStyle w:val="Compact"/>
      </w:pPr>
      <w:r>
        <w:t xml:space="preserve">Assassinats volontaires</w:t>
      </w:r>
    </w:p>
    <w:p>
      <w:pPr>
        <w:numPr>
          <w:ilvl w:val="0"/>
          <w:numId w:val="1011"/>
        </w:numPr>
        <w:pStyle w:val="Compact"/>
      </w:pPr>
      <w:r>
        <w:t xml:space="preserve">Association de malfaiteurs</w:t>
      </w:r>
    </w:p>
    <w:p>
      <w:pPr>
        <w:numPr>
          <w:ilvl w:val="0"/>
          <w:numId w:val="1011"/>
        </w:numPr>
        <w:pStyle w:val="Compact"/>
      </w:pPr>
      <w:r>
        <w:t xml:space="preserve">Atteinte à la sûreté intérieure de l’État</w:t>
      </w:r>
    </w:p>
    <w:p>
      <w:pPr>
        <w:numPr>
          <w:ilvl w:val="0"/>
          <w:numId w:val="1011"/>
        </w:numPr>
        <w:pStyle w:val="Compact"/>
      </w:pPr>
      <w:r>
        <w:t xml:space="preserve">Offense au chef de l’État</w:t>
      </w:r>
    </w:p>
    <w:p>
      <w:pPr>
        <w:numPr>
          <w:ilvl w:val="0"/>
          <w:numId w:val="1011"/>
        </w:numPr>
        <w:pStyle w:val="Compact"/>
      </w:pPr>
      <w:r>
        <w:t xml:space="preserve">Rébellion</w:t>
      </w:r>
    </w:p>
    <w:p>
      <w:pPr>
        <w:numPr>
          <w:ilvl w:val="0"/>
          <w:numId w:val="1011"/>
        </w:numPr>
        <w:pStyle w:val="Compact"/>
      </w:pPr>
      <w:r>
        <w:t xml:space="preserve">Haine tribale</w:t>
      </w:r>
    </w:p>
    <w:p>
      <w:pPr>
        <w:numPr>
          <w:ilvl w:val="0"/>
          <w:numId w:val="1011"/>
        </w:numPr>
        <w:pStyle w:val="Compact"/>
      </w:pPr>
      <w:r>
        <w:t xml:space="preserve">Trouble à l’ordre public</w:t>
      </w:r>
    </w:p>
    <w:p>
      <w:pPr>
        <w:numPr>
          <w:ilvl w:val="0"/>
          <w:numId w:val="1011"/>
        </w:numPr>
        <w:pStyle w:val="Compact"/>
      </w:pPr>
      <w:r>
        <w:rPr>
          <w:iCs/>
          <w:i/>
        </w:rPr>
        <w:t xml:space="preserve">(complicité sur les chefs précédents)</w:t>
      </w:r>
    </w:p>
    <w:p>
      <w:pPr>
        <w:pStyle w:val="FirstParagraph"/>
      </w:pPr>
      <w:r>
        <w:t xml:space="preserve">Les mandats d’arrêt sont</w:t>
      </w:r>
      <w:r>
        <w:t xml:space="preserve"> </w:t>
      </w:r>
      <w:r>
        <w:rPr>
          <w:bCs/>
          <w:b/>
        </w:rPr>
        <w:t xml:space="preserve">exécutables dans les pays où résident les mercenaires français</w:t>
      </w:r>
      <w:r>
        <w:t xml:space="preserve">. Une commission rogatoire internationale a été mise en place. Raineteau fuit Bangui en 2018.</w:t>
      </w:r>
    </w:p>
    <w:p>
      <w:pPr>
        <w:pStyle w:val="BodyText"/>
      </w:pPr>
      <w:r>
        <w:rPr>
          <w:iCs/>
          <w:i/>
        </w:rPr>
        <w:t xml:space="preserve">Source : Erick Ngaba — Ndjoni Sango, Bangui, 3 juin 2018</w:t>
      </w:r>
    </w:p>
    <w:bookmarkEnd w:id="268"/>
    <w:bookmarkEnd w:id="269"/>
    <w:bookmarkStart w:id="270" w:name="la-demande-de-ndjoni-sango"/>
    <w:p>
      <w:pPr>
        <w:pStyle w:val="Heading2"/>
      </w:pPr>
      <w:r>
        <w:t xml:space="preserve">La demande de Ndjoni Sango</w:t>
      </w:r>
    </w:p>
    <w:p>
      <w:pPr>
        <w:pStyle w:val="FirstParagraph"/>
      </w:pPr>
      <w:r>
        <w:t xml:space="preserve">Face à cette déclaration, le journaliste Erick Ngaba formule une demande claire aux autorités centrafricaines :</w:t>
      </w:r>
    </w:p>
    <w:p>
      <w:pPr>
        <w:pStyle w:val="BodyText"/>
      </w:pPr>
      <w:r>
        <w:rPr>
          <w:bCs/>
          <w:b/>
        </w:rPr>
        <w:t xml:space="preserve">Convoquer l’ambassadeur de France à Bangui</w:t>
      </w:r>
      <w:r>
        <w:t xml:space="preserve"> </w:t>
      </w:r>
      <w:r>
        <w:t xml:space="preserve">pour obtenir des explications — ou le déclarer</w:t>
      </w:r>
      <w:r>
        <w:t xml:space="preserve"> </w:t>
      </w:r>
      <w:r>
        <w:rPr>
          <w:bCs/>
          <w:b/>
        </w:rPr>
        <w:t xml:space="preserve">persona non grata</w:t>
      </w:r>
      <w:r>
        <w:t xml:space="preserve">.</w:t>
      </w:r>
    </w:p>
    <w:p>
      <w:pPr>
        <w:pStyle w:val="BodyText"/>
      </w:pPr>
      <w:r>
        <w:t xml:space="preserve">La déclaration de Raineteau est qualifiée dans l’article d’</w:t>
      </w:r>
      <w:r>
        <w:rPr>
          <w:iCs/>
          <w:i/>
        </w:rPr>
        <w:t xml:space="preserve">incitation à l’insurrection et à la rébellion</w:t>
      </w:r>
      <w:r>
        <w:t xml:space="preserve">. Elle mérite une réponse diplomatique formelle. Laisser passer sans réaction une telle déclaration publique, c’est valider implicitement que la France peut organiser depuis son territoire des coups d’État contre des États africains souverains sans en subir de conséquences.</w:t>
      </w:r>
    </w:p>
    <w:bookmarkEnd w:id="270"/>
    <w:bookmarkStart w:id="271" w:name="la-cohérence-du-tableau"/>
    <w:p>
      <w:pPr>
        <w:pStyle w:val="Heading2"/>
      </w:pPr>
      <w:r>
        <w:t xml:space="preserve">La cohérence du tableau</w:t>
      </w:r>
    </w:p>
    <w:p>
      <w:pPr>
        <w:pStyle w:val="FirstParagraph"/>
      </w:pPr>
      <w:r>
        <w:t xml:space="preserve">La déclaration de Raineteau en novembre 2022 s’inscrit dans une séquence documentée :</w:t>
      </w:r>
    </w:p>
    <w:p>
      <w:pPr>
        <w:numPr>
          <w:ilvl w:val="0"/>
          <w:numId w:val="1012"/>
        </w:numPr>
        <w:pStyle w:val="Compact"/>
      </w:pPr>
      <w:r>
        <w:rPr>
          <w:bCs/>
          <w:b/>
        </w:rPr>
        <w:t xml:space="preserve">Novembre 2022</w:t>
      </w:r>
      <w:r>
        <w:t xml:space="preserve"> </w:t>
      </w:r>
      <w:r>
        <w:t xml:space="preserve">: Raineteau annonce un coup d’État depuis Paris</w:t>
      </w:r>
    </w:p>
    <w:p>
      <w:pPr>
        <w:numPr>
          <w:ilvl w:val="0"/>
          <w:numId w:val="1012"/>
        </w:numPr>
        <w:pStyle w:val="Compact"/>
      </w:pPr>
      <w:r>
        <w:rPr>
          <w:bCs/>
          <w:b/>
        </w:rPr>
        <w:t xml:space="preserve">Novembre 2022</w:t>
      </w:r>
      <w:r>
        <w:t xml:space="preserve"> </w:t>
      </w:r>
      <w:r>
        <w:t xml:space="preserve">: le groupe G-16 (Akandji-Kombé, Mayté) organise ses activités de déstabilisation depuis la France</w:t>
      </w:r>
    </w:p>
    <w:p>
      <w:pPr>
        <w:numPr>
          <w:ilvl w:val="0"/>
          <w:numId w:val="1012"/>
        </w:numPr>
        <w:pStyle w:val="Compact"/>
      </w:pPr>
      <w:r>
        <w:rPr>
          <w:bCs/>
          <w:b/>
        </w:rPr>
        <w:t xml:space="preserve">Novembre 2022</w:t>
      </w:r>
      <w:r>
        <w:t xml:space="preserve"> </w:t>
      </w:r>
      <w:r>
        <w:t xml:space="preserve">: la Galaxie Nationale Centrafricaine demande la convocation de l’ambassadeur Grosgurin pour les agissements de Rodrigue Mayté (chapitre 46)</w:t>
      </w:r>
    </w:p>
    <w:p>
      <w:pPr>
        <w:numPr>
          <w:ilvl w:val="0"/>
          <w:numId w:val="1012"/>
        </w:numPr>
        <w:pStyle w:val="Compact"/>
      </w:pPr>
      <w:r>
        <w:rPr>
          <w:bCs/>
          <w:b/>
        </w:rPr>
        <w:t xml:space="preserve">Décembre 2025</w:t>
      </w:r>
      <w:r>
        <w:t xml:space="preserve"> </w:t>
      </w:r>
      <w:r>
        <w:t xml:space="preserve">: Nouredine Adam séjourne présumément en France pour préparer l’offensive (chapitre 49)</w:t>
      </w:r>
    </w:p>
    <w:p>
      <w:pPr>
        <w:numPr>
          <w:ilvl w:val="0"/>
          <w:numId w:val="1012"/>
        </w:numPr>
        <w:pStyle w:val="Compact"/>
      </w:pPr>
      <w:r>
        <w:rPr>
          <w:bCs/>
          <w:b/>
        </w:rPr>
        <w:t xml:space="preserve">Juin 2026</w:t>
      </w:r>
      <w:r>
        <w:t xml:space="preserve"> </w:t>
      </w:r>
      <w:r>
        <w:t xml:space="preserve">: Thomas Dietrich documente la préparation d’une grande offensive sur Bangui</w:t>
      </w:r>
    </w:p>
    <w:p>
      <w:pPr>
        <w:pStyle w:val="FirstParagraph"/>
      </w:pPr>
      <w:r>
        <w:t xml:space="preserve">Ce n’est pas une série d’incidents isolés. C’est un programme continu, dont le territoire français est la base arrière, et dont la déclaration publique de Raineteau est l’un des rares moments où le masque tombe.</w:t>
      </w:r>
    </w:p>
    <w:p>
      <w:r>
        <w:pict>
          <v:rect style="width:0;height:1.5pt" o:hralign="center" o:hrstd="t" o:hr="t"/>
        </w:pict>
      </w:r>
    </w:p>
    <w:bookmarkEnd w:id="271"/>
    <w:bookmarkEnd w:id="272"/>
    <w:bookmarkStart w:id="276" w:name="X3801aaf70b4b3876feba2a95333b26058a1609b"/>
    <w:p>
      <w:pPr>
        <w:pStyle w:val="Heading1"/>
      </w:pPr>
      <w:r>
        <w:t xml:space="preserve">Chapitre — RCA : Le Sangocoin, la Cour Constitutionnelle et les Limites du G-16</w:t>
      </w:r>
    </w:p>
    <w:p>
      <w:pPr>
        <w:pStyle w:val="FirstParagraph"/>
      </w:pPr>
      <w:r>
        <w:rPr>
          <w:iCs/>
          <w:i/>
        </w:rPr>
        <w:t xml:space="preserve">Source : Gisèle Moloma — Corbeaunews Centrafrique, 30 août 2022</w:t>
      </w:r>
    </w:p>
    <w:bookmarkStart w:id="273" w:name="la-décision-de-la-cour-constitutionnelle"/>
    <w:p>
      <w:pPr>
        <w:pStyle w:val="Heading2"/>
      </w:pPr>
      <w:r>
        <w:t xml:space="preserve">La décision de la Cour constitutionnelle</w:t>
      </w:r>
    </w:p>
    <w:p>
      <w:pPr>
        <w:pStyle w:val="FirstParagraph"/>
      </w:pPr>
      <w:r>
        <w:t xml:space="preserve">Le 1er août 2022, des membres du</w:t>
      </w:r>
      <w:r>
        <w:t xml:space="preserve"> </w:t>
      </w:r>
      <w:r>
        <w:rPr>
          <w:bCs/>
          <w:b/>
        </w:rPr>
        <w:t xml:space="preserve">G-16</w:t>
      </w:r>
      <w:r>
        <w:t xml:space="preserve"> </w:t>
      </w:r>
      <w:r>
        <w:t xml:space="preserve">— dont le professeur</w:t>
      </w:r>
      <w:r>
        <w:t xml:space="preserve"> </w:t>
      </w:r>
      <w:r>
        <w:rPr>
          <w:bCs/>
          <w:b/>
        </w:rPr>
        <w:t xml:space="preserve">Jean-François Akandji-Kombé</w:t>
      </w:r>
      <w:r>
        <w:t xml:space="preserve">, Karl Blague, Sydney Tchikaya, Ben Wilson Ngassan, Ludovic Lédo et maître Arlette Sombo-Dibélé — déposent une requête devant la Cour constitutionnelle centrafricaine pour faire déclarer ces dispositions contraires à la Constitution.</w:t>
      </w:r>
    </w:p>
    <w:p>
      <w:pPr>
        <w:pStyle w:val="BodyText"/>
      </w:pPr>
      <w:r>
        <w:t xml:space="preserve">Le</w:t>
      </w:r>
      <w:r>
        <w:t xml:space="preserve"> </w:t>
      </w:r>
      <w:r>
        <w:rPr>
          <w:bCs/>
          <w:b/>
        </w:rPr>
        <w:t xml:space="preserve">29 août 2022</w:t>
      </w:r>
      <w:r>
        <w:t xml:space="preserve">, la Cour constitutionnelle rend sa décision n° 008/CC/22. Elle donne raison aux requérants sur les points essentiels :</w:t>
      </w:r>
    </w:p>
    <w:p>
      <w:pPr>
        <w:numPr>
          <w:ilvl w:val="0"/>
          <w:numId w:val="1013"/>
        </w:numPr>
        <w:pStyle w:val="Compact"/>
      </w:pPr>
      <w:r>
        <w:t xml:space="preserve">La vente de la nationalité centrafricaine est déclarée</w:t>
      </w:r>
      <w:r>
        <w:t xml:space="preserve"> </w:t>
      </w:r>
      <w:r>
        <w:rPr>
          <w:bCs/>
          <w:b/>
        </w:rPr>
        <w:t xml:space="preserve">inconstitutionnelle</w:t>
      </w:r>
      <w:r>
        <w:t xml:space="preserve"> </w:t>
      </w:r>
      <w:r>
        <w:t xml:space="preserve">— annulée en application du principe de séparation des pouvoirs et de l’article 80 de la Constitution</w:t>
      </w:r>
    </w:p>
    <w:p>
      <w:pPr>
        <w:numPr>
          <w:ilvl w:val="0"/>
          <w:numId w:val="1013"/>
        </w:numPr>
        <w:pStyle w:val="Compact"/>
      </w:pPr>
      <w:r>
        <w:t xml:space="preserve">La création et la vente d’une</w:t>
      </w:r>
      <w:r>
        <w:t xml:space="preserve"> </w:t>
      </w:r>
      <w:r>
        <w:rPr>
          <w:iCs/>
          <w:i/>
        </w:rPr>
        <w:t xml:space="preserve">e-Résidence</w:t>
      </w:r>
      <w:r>
        <w:t xml:space="preserve"> </w:t>
      </w:r>
      <w:r>
        <w:t xml:space="preserve">via le Sango Genesis Paper sont déclarées</w:t>
      </w:r>
      <w:r>
        <w:t xml:space="preserve"> </w:t>
      </w:r>
      <w:r>
        <w:rPr>
          <w:bCs/>
          <w:b/>
        </w:rPr>
        <w:t xml:space="preserve">inconstitutionnelles</w:t>
      </w:r>
    </w:p>
    <w:p>
      <w:pPr>
        <w:numPr>
          <w:ilvl w:val="0"/>
          <w:numId w:val="1013"/>
        </w:numPr>
        <w:pStyle w:val="Compact"/>
      </w:pPr>
      <w:r>
        <w:t xml:space="preserve">La vente de terrains et de richesses naturelles via le même document est déclarée</w:t>
      </w:r>
      <w:r>
        <w:t xml:space="preserve"> </w:t>
      </w:r>
      <w:r>
        <w:rPr>
          <w:bCs/>
          <w:b/>
        </w:rPr>
        <w:t xml:space="preserve">inconstitutionnelle</w:t>
      </w:r>
    </w:p>
    <w:p>
      <w:pPr>
        <w:pStyle w:val="FirstParagraph"/>
      </w:pPr>
      <w:r>
        <w:t xml:space="preserve">Les 10 000 nationalités déjà vendues sont nulles et non avenues. L’État centrafricain doit rembourser les investisseurs. Le Sangocoin est définitivement mort.</w:t>
      </w:r>
    </w:p>
    <w:bookmarkEnd w:id="273"/>
    <w:bookmarkStart w:id="274" w:name="Xf5788e7fdc1dd22aefb25f9cb090a4a9e89087d"/>
    <w:p>
      <w:pPr>
        <w:pStyle w:val="Heading2"/>
      </w:pPr>
      <w:r>
        <w:t xml:space="preserve">La question des ressources naturelles centrafricaines</w:t>
      </w:r>
    </w:p>
    <w:p>
      <w:pPr>
        <w:pStyle w:val="FirstParagraph"/>
      </w:pPr>
      <w:r>
        <w:t xml:space="preserve">Ce que le projet Sangocoin a mis en lumière — involontairement — c’est la vulnérabilité structurelle de la RCA face à ses propres ressources naturelles.</w:t>
      </w:r>
    </w:p>
    <w:p>
      <w:pPr>
        <w:pStyle w:val="BodyText"/>
      </w:pPr>
      <w:r>
        <w:t xml:space="preserve">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pStyle w:val="BodyText"/>
      </w:pPr>
      <w:r>
        <w:t xml:space="preserve">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bookmarkEnd w:id="274"/>
    <w:bookmarkStart w:id="275" w:name="les-principaux-motifs-retenus"/>
    <w:p>
      <w:pPr>
        <w:pStyle w:val="Heading2"/>
      </w:pPr>
      <w:r>
        <w:t xml:space="preserve">Les principaux motifs retenus</w:t>
      </w:r>
    </w:p>
    <w:p>
      <w:pPr>
        <w:pStyle w:val="FirstParagraph"/>
      </w:pPr>
      <w:r>
        <w:t xml:space="preserve">Trois motifs constitutionnels fondent les annulations :</w:t>
      </w:r>
    </w:p>
    <w:p>
      <w:pPr>
        <w:numPr>
          <w:ilvl w:val="0"/>
          <w:numId w:val="1014"/>
        </w:numPr>
      </w:pPr>
      <w:r>
        <w:rPr>
          <w:bCs/>
          <w:b/>
        </w:rPr>
        <w:t xml:space="preserve">Article 80</w:t>
      </w:r>
      <w:r>
        <w:t xml:space="preserve"> </w:t>
      </w:r>
      <w:r>
        <w:t xml:space="preserve">— il appartient au législateur, non à l’exécutif, de fixer les règles en matière d’acquisition de nationalité, de statut des étrangers et d’immigration. Le Sangocoin contournait l’Assemblée nationale sur ces matières réservées à la loi.</w:t>
      </w:r>
    </w:p>
    <w:p>
      <w:pPr>
        <w:numPr>
          <w:ilvl w:val="0"/>
          <w:numId w:val="1014"/>
        </w:numPr>
      </w:pPr>
      <w:r>
        <w:rPr>
          <w:bCs/>
          <w:b/>
        </w:rPr>
        <w:t xml:space="preserve">Article 60 alinéa 3</w:t>
      </w:r>
      <w:r>
        <w:t xml:space="preserve"> </w:t>
      </w:r>
      <w:r>
        <w:t xml:space="preserve">—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numPr>
          <w:ilvl w:val="0"/>
          <w:numId w:val="1014"/>
        </w:numPr>
      </w:pPr>
      <w:r>
        <w:rPr>
          <w:bCs/>
          <w:b/>
        </w:rPr>
        <w:t xml:space="preserve">Article 24</w:t>
      </w:r>
      <w:r>
        <w:t xml:space="preserve"> </w:t>
      </w:r>
      <w:r>
        <w:t xml:space="preserve">— les seules langues officielles de la RCA sont le sango et le français. Le Sango Genesis Paper était rédigé</w:t>
      </w:r>
      <w:r>
        <w:t xml:space="preserve"> </w:t>
      </w:r>
      <w:r>
        <w:rPr>
          <w:bCs/>
          <w:b/>
        </w:rPr>
        <w:t xml:space="preserve">uniquement en anglais</w:t>
      </w:r>
      <w:r>
        <w:t xml:space="preserve">, privant la majorité des Centrafricains de la possibilité d’en comprendre le contenu.</w:t>
      </w:r>
    </w:p>
    <w:p>
      <w:pPr>
        <w:pStyle w:val="FirstParagraph"/>
      </w:pPr>
      <w:r>
        <w:t xml:space="preserve">À noter : le gouvernement de Touadéra, dûment notifié le 4 août 2022,</w:t>
      </w:r>
      <w:r>
        <w:t xml:space="preserve"> </w:t>
      </w:r>
      <w:r>
        <w:rPr>
          <w:bCs/>
          <w:b/>
        </w:rPr>
        <w:t xml:space="preserve">n’a fourni aucune réponse</w:t>
      </w:r>
      <w:r>
        <w:t xml:space="preserve"> </w:t>
      </w:r>
      <w:r>
        <w:t xml:space="preserve">à la Cour constitutionnelle.</w:t>
      </w:r>
    </w:p>
    <w:p>
      <w:pPr>
        <w:pStyle w:val="BodyText"/>
      </w:pPr>
      <w:r>
        <w:rPr>
          <w:iCs/>
          <w:i/>
        </w:rPr>
        <w:t xml:space="preserve">À rapprocher de : Chapitre 46 — Histoire de la RCA : le G-16 et ses visages ; Chapitre 49 — RCA : la guerre qui vient ; Chapitre 44 — Le GAFI : bras armé financier du néocolonialisme.</w:t>
      </w:r>
    </w:p>
    <w:p>
      <w:r>
        <w:pict>
          <v:rect style="width:0;height:1.5pt" o:hralign="center" o:hrstd="t" o:hr="t"/>
        </w:pict>
      </w:r>
    </w:p>
    <w:bookmarkEnd w:id="275"/>
    <w:bookmarkEnd w:id="276"/>
    <w:bookmarkStart w:id="303" w:name="X8a0dd57e2f3a9e8e787d93b1361b87be94cc66b"/>
    <w:p>
      <w:pPr>
        <w:pStyle w:val="Heading1"/>
      </w:pPr>
      <w:r>
        <w:t xml:space="preserve">Chapitre — Libye : Les Câbles Clinton — Les Coulisses de l’Intervention (2011)</w:t>
      </w:r>
    </w:p>
    <w:p>
      <w:pPr>
        <w:pStyle w:val="FirstParagraph"/>
      </w:pPr>
      <w:r>
        <w:rPr>
          <w:iCs/>
          <w:i/>
        </w:rPr>
        <w:t xml:space="preserve">Source primaire : Département d’État américain, dossier F-2014-20439 — câbles déclassifiés, publiés le 1er juillet 2016 (et 29 février 2016)</w:t>
      </w:r>
    </w:p>
    <w:bookmarkStart w:id="277" w:name="pourquoi-ces-documents"/>
    <w:p>
      <w:pPr>
        <w:pStyle w:val="Heading2"/>
      </w:pPr>
      <w:r>
        <w:t xml:space="preserve">Pourquoi ces documents</w:t>
      </w:r>
    </w:p>
    <w:p>
      <w:pPr>
        <w:pStyle w:val="FirstParagraph"/>
      </w:pPr>
      <w:r>
        <w:t xml:space="preserve">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pStyle w:val="BodyText"/>
      </w:pPr>
      <w:r>
        <w:t xml:space="preserve">Ces documents — câbles confidentiels, notes de renseignement, échanges internes — permettent de reconstituer de l’intérieur les décisions qui ont conduit à l’intervention militaire en Libye et à la mort de Mouammar Kadhafi en octobre 2011.</w:t>
      </w:r>
    </w:p>
    <w:p>
      <w:pPr>
        <w:pStyle w:val="BodyText"/>
      </w:pPr>
      <w:r>
        <w:t xml:space="preserve">Ils éclairent d’un jour particulier le chapitre libyen de ce livre, en donnant accès aux délibérations réelles des décideurs américains au moment où elles se produisaient.</w:t>
      </w:r>
    </w:p>
    <w:bookmarkEnd w:id="277"/>
    <w:bookmarkStart w:id="282" w:name="ii.-le-tournant-de-clinton-mars-2011"/>
    <w:p>
      <w:pPr>
        <w:pStyle w:val="Heading2"/>
      </w:pPr>
      <w:r>
        <w:t xml:space="preserve">II. Le tournant de Clinton — mars 2011</w:t>
      </w:r>
    </w:p>
    <w:bookmarkStart w:id="278" w:name="X99e13036153b01f9500eac2f0dc490ff728cbc4"/>
    <w:p>
      <w:pPr>
        <w:pStyle w:val="Heading3"/>
      </w:pPr>
      <w:r>
        <w:t xml:space="preserve">Document : C05787006 (Washington Post, 30 octobre 2011)</w:t>
      </w:r>
    </w:p>
    <w:p>
      <w:pPr>
        <w:pStyle w:val="FirstParagraph"/>
      </w:pPr>
      <w:r>
        <w:t xml:space="preserve">Un article du</w:t>
      </w:r>
      <w:r>
        <w:t xml:space="preserve"> </w:t>
      </w:r>
      <w:r>
        <w:rPr>
          <w:iCs/>
          <w:i/>
        </w:rPr>
        <w:t xml:space="preserve">Washington Post</w:t>
      </w:r>
      <w:r>
        <w:t xml:space="preserve"> </w:t>
      </w:r>
      <w:r>
        <w:t xml:space="preserve">par Joby Warrick, transmis à Clinton par son équipe le 30 octobre 2011, reconstitue sa trajectoire depuis le scepticisme vers l’intervention :</w:t>
      </w:r>
    </w:p>
    <w:p>
      <w:pPr>
        <w:pStyle w:val="BlockText"/>
      </w:pPr>
      <w:r>
        <w:rPr>
          <w:iCs/>
          <w:i/>
        </w:rPr>
        <w:t xml:space="preserve">« Pendant les premières semaines de troubles en Libye, Clinton était parmi les officiels de la Maison Blanche s’accrochant à l’espoir que Gaddafi pourrait tomber sans aide de l’Ouest. »</w:t>
      </w:r>
    </w:p>
    <w:p>
      <w:pPr>
        <w:pStyle w:val="FirstParagraph"/>
      </w:pPr>
      <w:r>
        <w:t xml:space="preserve">Le tournant se produit lors de son voyage à Paris en mars 2011, lors de la réunion des ministres des Affaires étrangères du G8. En trois jours, Clinton passe de réticente à</w:t>
      </w:r>
      <w:r>
        <w:t xml:space="preserve"> </w:t>
      </w:r>
      <w:r>
        <w:rPr>
          <w:iCs/>
          <w:i/>
        </w:rPr>
        <w:t xml:space="preserve">fervente défenseure</w:t>
      </w:r>
      <w:r>
        <w:t xml:space="preserve"> </w:t>
      </w:r>
      <w:r>
        <w:t xml:space="preserve">:</w:t>
      </w:r>
    </w:p>
    <w:p>
      <w:pPr>
        <w:pStyle w:val="BlockText"/>
      </w:pPr>
      <w:r>
        <w:rPr>
          <w:iCs/>
          <w:i/>
        </w:rPr>
        <w:t xml:space="preserve">« C’était une opportunité pour les États-Unis de répondre à une demande d’aide arabe. Cela augmenterait le standing des États-Unis dans le monde arabe, et cela enverrait un signal important pour le mouvement du Printemps arabe. »</w:t>
      </w:r>
    </w:p>
    <w:bookmarkEnd w:id="278"/>
    <w:bookmarkStart w:id="279" w:name="les-conditions-posées-par-clinton"/>
    <w:p>
      <w:pPr>
        <w:pStyle w:val="Heading3"/>
      </w:pPr>
      <w:r>
        <w:t xml:space="preserve">Les conditions posées par Clinton</w:t>
      </w:r>
    </w:p>
    <w:p>
      <w:pPr>
        <w:pStyle w:val="FirstParagraph"/>
      </w:pPr>
      <w:r>
        <w:t xml:space="preserve">Avant de basculer, Clinton avait dressé une liste de conditions :</w:t>
      </w:r>
    </w:p>
    <w:p>
      <w:pPr>
        <w:numPr>
          <w:ilvl w:val="0"/>
          <w:numId w:val="1015"/>
        </w:numPr>
        <w:pStyle w:val="Compact"/>
      </w:pPr>
      <w:r>
        <w:t xml:space="preserve">Une demande formelle des États arabes — la Ligue arabe vote le 12 mars pour demander l’approbation d’une zone d’exclusion aérienne</w:t>
      </w:r>
    </w:p>
    <w:p>
      <w:pPr>
        <w:numPr>
          <w:ilvl w:val="0"/>
          <w:numId w:val="1015"/>
        </w:numPr>
        <w:pStyle w:val="Compact"/>
      </w:pPr>
      <w:r>
        <w:t xml:space="preserve">Un mandat du Conseil de sécurité de l’ONU — obtenu le 17 mars (résolution 1973, 10 voix pour, 5 abstentions dont Russie et Chine)</w:t>
      </w:r>
    </w:p>
    <w:p>
      <w:pPr>
        <w:numPr>
          <w:ilvl w:val="0"/>
          <w:numId w:val="1015"/>
        </w:numPr>
        <w:pStyle w:val="Compact"/>
      </w:pPr>
      <w:r>
        <w:t xml:space="preserve">Un soutien militaire arabe — Qatar, Émirats arabes unis, Jordanie promettent des avions</w:t>
      </w:r>
    </w:p>
    <w:p>
      <w:pPr>
        <w:pStyle w:val="FirstParagraph"/>
      </w:pPr>
      <w:r>
        <w:t xml:space="preserve">Le 15 mars, Clinton appelle Obama depuis Paris. Il se range à son avis. La décision est prise.</w:t>
      </w:r>
    </w:p>
    <w:bookmarkEnd w:id="279"/>
    <w:bookmarkStart w:id="280" w:name="la-fracture-française"/>
    <w:p>
      <w:pPr>
        <w:pStyle w:val="Heading3"/>
      </w:pPr>
      <w:r>
        <w:t xml:space="preserve">La fracture française</w:t>
      </w:r>
    </w:p>
    <w:p>
      <w:pPr>
        <w:pStyle w:val="FirstParagraph"/>
      </w:pPr>
      <w:r>
        <w:rPr>
          <w:bCs/>
          <w:b/>
        </w:rPr>
        <w:t xml:space="preserve">Le 19 mars à 17h45</w:t>
      </w:r>
      <w:r>
        <w:t xml:space="preserve">, trois heures avant le début officiel de la campagne, quatre Rafales français frappent une colonne de chars se dirigeant vers Benghazi. La France a voulu frapper en premier, symbole et signal politique de Sarkozy. Cette initiative unilatérale provoque :</w:t>
      </w:r>
    </w:p>
    <w:p>
      <w:pPr>
        <w:numPr>
          <w:ilvl w:val="0"/>
          <w:numId w:val="1016"/>
        </w:numPr>
        <w:pStyle w:val="Compact"/>
      </w:pPr>
      <w:r>
        <w:t xml:space="preserve">La fureur du Premier ministre Berlusconi, qui menace de couper l’accès aux bases aériennes italiennes</w:t>
      </w:r>
    </w:p>
    <w:p>
      <w:pPr>
        <w:numPr>
          <w:ilvl w:val="0"/>
          <w:numId w:val="1016"/>
        </w:numPr>
        <w:pStyle w:val="Compact"/>
      </w:pPr>
      <w:r>
        <w:t xml:space="preserve">Les soupçons de la Turquie sur les</w:t>
      </w:r>
      <w:r>
        <w:t xml:space="preserve"> </w:t>
      </w:r>
      <w:r>
        <w:rPr>
          <w:iCs/>
          <w:i/>
        </w:rPr>
        <w:t xml:space="preserve">agendas cachés</w:t>
      </w:r>
      <w:r>
        <w:t xml:space="preserve"> </w:t>
      </w:r>
      <w:r>
        <w:t xml:space="preserve">français</w:t>
      </w:r>
    </w:p>
    <w:p>
      <w:pPr>
        <w:numPr>
          <w:ilvl w:val="0"/>
          <w:numId w:val="1016"/>
        </w:numPr>
        <w:pStyle w:val="Compact"/>
      </w:pPr>
      <w:r>
        <w:t xml:space="preserve">Une crise de coalition dès les premières heures</w:t>
      </w:r>
    </w:p>
    <w:p>
      <w:pPr>
        <w:pStyle w:val="FirstParagraph"/>
      </w:pPr>
      <w:r>
        <w:t xml:space="preserve">C’est Clinton qui passe les heures suivantes au téléphone avec Berlusconi, Frattini, les Turcs et les Arabes pour sauver l’alliance — une conférence à quatre avec Sarkozy, Hague (Royaume-Uni) et Davutoglu (Turquie) pour fixer la chaîne de commandement.</w:t>
      </w:r>
    </w:p>
    <w:p>
      <w:pPr>
        <w:pStyle w:val="BodyText"/>
      </w:pPr>
      <w:r>
        <w:rPr>
          <w:iCs/>
          <w:i/>
        </w:rPr>
        <w:t xml:space="preserve">«</w:t>
      </w:r>
      <w:r>
        <w:rPr>
          <w:iCs/>
          <w:i/>
        </w:rPr>
        <w:t xml:space="preserve"> </w:t>
      </w:r>
      <w:r>
        <w:rPr>
          <w:iCs/>
          <w:i/>
        </w:rPr>
        <w:t xml:space="preserve">“</w:t>
      </w:r>
      <w:r>
        <w:rPr>
          <w:iCs/>
          <w:i/>
        </w:rPr>
        <w:t xml:space="preserve">Ça a failli faire exploser la coalition</w:t>
      </w:r>
      <w:r>
        <w:rPr>
          <w:iCs/>
          <w:i/>
        </w:rPr>
        <w:t xml:space="preserve">”</w:t>
      </w:r>
      <w:r>
        <w:rPr>
          <w:iCs/>
          <w:i/>
        </w:rPr>
        <w:t xml:space="preserve">, a dit un diplomate européen.</w:t>
      </w:r>
      <w:r>
        <w:rPr>
          <w:iCs/>
          <w:i/>
        </w:rPr>
        <w:t xml:space="preserve"> </w:t>
      </w:r>
      <w:r>
        <w:rPr>
          <w:iCs/>
          <w:i/>
        </w:rPr>
        <w:t xml:space="preserve">“</w:t>
      </w:r>
      <w:r>
        <w:rPr>
          <w:iCs/>
          <w:i/>
        </w:rPr>
        <w:t xml:space="preserve">C’est Hillary qui a rattrapé le coup.</w:t>
      </w:r>
      <w:r>
        <w:rPr>
          <w:iCs/>
          <w:i/>
        </w:rPr>
        <w:t xml:space="preserve">”</w:t>
      </w:r>
      <w:r>
        <w:rPr>
          <w:iCs/>
          <w:i/>
        </w:rPr>
        <w:t xml:space="preserve"> </w:t>
      </w:r>
      <w:r>
        <w:rPr>
          <w:iCs/>
          <w:i/>
        </w:rPr>
        <w:t xml:space="preserve">»</w:t>
      </w:r>
    </w:p>
    <w:bookmarkEnd w:id="280"/>
    <w:bookmarkStart w:id="281" w:name="les-arabes-qui-se-retirent"/>
    <w:p>
      <w:pPr>
        <w:pStyle w:val="Heading3"/>
      </w:pPr>
      <w:r>
        <w:t xml:space="preserve">Les Arabes qui se retirent</w:t>
      </w:r>
    </w:p>
    <w:p>
      <w:pPr>
        <w:pStyle w:val="FirstParagraph"/>
      </w:pPr>
      <w:r>
        <w:t xml:space="preserve">Trois jours après le début des bombardements, les États arabes hésitent :</w:t>
      </w:r>
      <w:r>
        <w:t xml:space="preserve"> </w:t>
      </w:r>
      <w:r>
        <w:t xml:space="preserve">- Crainte d’un retour de bâton dans leurs propres pays</w:t>
      </w:r>
      <w:r>
        <w:t xml:space="preserve"> </w:t>
      </w:r>
      <w:r>
        <w:t xml:space="preserve">- Colère face aux critiques américaines de l’intervention saoudienne au Bahreïn contre les manifestants</w:t>
      </w:r>
      <w:r>
        <w:t xml:space="preserve"> </w:t>
      </w:r>
      <w:r>
        <w:t xml:space="preserve">- Le 24 mars : les quatre jets promis par le Qatar n’ont pas encore survolé la Libye ; les Émirats et la Jordanie annoncent qu’ils ne fourniront qu’une aide humanitaire</w:t>
      </w:r>
    </w:p>
    <w:p>
      <w:pPr>
        <w:pStyle w:val="BodyText"/>
      </w:pPr>
      <w:r>
        <w:t xml:space="preserve">Clinton passe 90 minutes au téléphone avec le ministre qatari des Affaires étrangères, appelle les Émirats, appelle le roi de Jordanie :</w:t>
      </w:r>
    </w:p>
    <w:p>
      <w:pPr>
        <w:pStyle w:val="BlockText"/>
      </w:pPr>
      <w:r>
        <w:rPr>
          <w:iCs/>
          <w:i/>
        </w:rPr>
        <w:t xml:space="preserve">«</w:t>
      </w:r>
      <w:r>
        <w:rPr>
          <w:iCs/>
          <w:i/>
        </w:rPr>
        <w:t xml:space="preserve"> </w:t>
      </w:r>
      <w:r>
        <w:rPr>
          <w:iCs/>
          <w:i/>
        </w:rPr>
        <w:t xml:space="preserve">“</w:t>
      </w:r>
      <w:r>
        <w:rPr>
          <w:iCs/>
          <w:i/>
        </w:rPr>
        <w:t xml:space="preserve">C’est important pour les États-Unis, c’est important pour le président et c’est important pour moi, personnellement.</w:t>
      </w:r>
      <w:r>
        <w:rPr>
          <w:iCs/>
          <w:i/>
        </w:rPr>
        <w:t xml:space="preserve">”</w:t>
      </w:r>
      <w:r>
        <w:rPr>
          <w:iCs/>
          <w:i/>
        </w:rPr>
        <w:t xml:space="preserve"> </w:t>
      </w:r>
      <w:r>
        <w:rPr>
          <w:iCs/>
          <w:i/>
        </w:rPr>
        <w:t xml:space="preserve">»</w:t>
      </w:r>
    </w:p>
    <w:p>
      <w:pPr>
        <w:pStyle w:val="FirstParagraph"/>
      </w:pPr>
      <w:r>
        <w:t xml:space="preserve">Le 25 mars, les Mirage 2000 qataris effectuent leurs premières sorties.</w:t>
      </w:r>
    </w:p>
    <w:bookmarkEnd w:id="281"/>
    <w:bookmarkEnd w:id="282"/>
    <w:bookmarkStart w:id="287" w:name="Xc38ba351389a5179b943dc0dfededacade23d70"/>
    <w:p>
      <w:pPr>
        <w:pStyle w:val="Heading2"/>
      </w:pPr>
      <w:r>
        <w:t xml:space="preserve">IV. Ce que ces documents ajoutent au tableau</w:t>
      </w:r>
    </w:p>
    <w:bookmarkStart w:id="283" w:name="la-libye-comme-modèle-exportable"/>
    <w:p>
      <w:pPr>
        <w:pStyle w:val="Heading3"/>
      </w:pPr>
      <w:r>
        <w:t xml:space="preserve">La Libye comme modèle exportable</w:t>
      </w:r>
    </w:p>
    <w:p>
      <w:pPr>
        <w:pStyle w:val="FirstParagraph"/>
      </w:pPr>
      <w:r>
        <w:t xml:space="preserve">Le discours d’Obama présente l’intervention libyenne comme un</w:t>
      </w:r>
      <w:r>
        <w:t xml:space="preserve"> </w:t>
      </w:r>
      <w:r>
        <w:rPr>
          <w:iCs/>
          <w:i/>
        </w:rPr>
        <w:t xml:space="preserve">modèle</w:t>
      </w:r>
      <w:r>
        <w:t xml:space="preserve"> </w:t>
      </w:r>
      <w:r>
        <w:t xml:space="preserve">: coalition multilatérale, mandat international, pas de troupes au sol, coût limité. Un succès supposé dont il faudrait pouvoir se servir à nouveau.</w:t>
      </w:r>
    </w:p>
    <w:p>
      <w:pPr>
        <w:pStyle w:val="BodyText"/>
      </w:pPr>
      <w:r>
        <w:t xml:space="preserve">Ce modèle sera tenté en Syrie, en Centrafrique, au Sahel — avec des résultats systématiquement catastrophiques.</w:t>
      </w:r>
    </w:p>
    <w:bookmarkEnd w:id="283"/>
    <w:bookmarkStart w:id="284" w:name="le-mali-dans-la-ligne-de-mire"/>
    <w:p>
      <w:pPr>
        <w:pStyle w:val="Heading3"/>
      </w:pPr>
      <w:r>
        <w:t xml:space="preserve">Le Mali dans la ligne de mire</w:t>
      </w:r>
    </w:p>
    <w:p>
      <w:pPr>
        <w:pStyle w:val="FirstParagraph"/>
      </w:pPr>
      <w:r>
        <w:t xml:space="preserve">Le câble Blumenthal du 22 février désigne le Mali comme pays ayant</w:t>
      </w:r>
      <w:r>
        <w:t xml:space="preserve"> </w:t>
      </w:r>
      <w:r>
        <w:rPr>
          <w:iCs/>
          <w:i/>
        </w:rPr>
        <w:t xml:space="preserve">coopéré avec Kadhafi</w:t>
      </w:r>
      <w:r>
        <w:t xml:space="preserve">.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bookmarkEnd w:id="284"/>
    <w:bookmarkStart w:id="285" w:name="la-dynamique-interne-américaine"/>
    <w:p>
      <w:pPr>
        <w:pStyle w:val="Heading3"/>
      </w:pPr>
      <w:r>
        <w:t xml:space="preserve">La dynamique interne américaine</w:t>
      </w:r>
    </w:p>
    <w:p>
      <w:pPr>
        <w:pStyle w:val="FirstParagraph"/>
      </w:pPr>
      <w:r>
        <w:t xml:space="preserve">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bookmarkEnd w:id="285"/>
    <w:bookmarkStart w:id="286" w:name="le-silence-sur-les-conséquences"/>
    <w:p>
      <w:pPr>
        <w:pStyle w:val="Heading3"/>
      </w:pPr>
      <w:r>
        <w:t xml:space="preserve">Le silence sur les conséquences</w:t>
      </w:r>
    </w:p>
    <w:p>
      <w:pPr>
        <w:pStyle w:val="FirstParagraph"/>
      </w:pPr>
      <w:r>
        <w:t xml:space="preserve">Dans aucun de ces documents n’apparaît une réflexion sur ce qui se passera</w:t>
      </w:r>
      <w:r>
        <w:t xml:space="preserve"> </w:t>
      </w:r>
      <w:r>
        <w:rPr>
          <w:iCs/>
          <w:i/>
        </w:rPr>
        <w:t xml:space="preserve">après</w:t>
      </w:r>
      <w:r>
        <w:t xml:space="preserve"> </w:t>
      </w:r>
      <w:r>
        <w:t xml:space="preserve">Kadhafi. Le discours d’Obama évoque les</w:t>
      </w:r>
      <w:r>
        <w:t xml:space="preserve"> </w:t>
      </w:r>
      <w:r>
        <w:rPr>
          <w:iCs/>
          <w:i/>
        </w:rPr>
        <w:t xml:space="preserve">défis</w:t>
      </w:r>
      <w:r>
        <w:t xml:space="preserve"> </w:t>
      </w:r>
      <w:r>
        <w:t xml:space="preserve">de la transition, la Libye</w:t>
      </w:r>
      <w:r>
        <w:t xml:space="preserve"> </w:t>
      </w:r>
      <w:r>
        <w:rPr>
          <w:iCs/>
          <w:i/>
        </w:rPr>
        <w:t xml:space="preserve">fracturée</w:t>
      </w:r>
      <w:r>
        <w:t xml:space="preserve">, l’absence d’institutions civiles fortes — mais comme un inconvénient secondaire, pas comme un risque structurel.</w:t>
      </w:r>
    </w:p>
    <w:p>
      <w:pPr>
        <w:pStyle w:val="BodyText"/>
      </w:pPr>
      <w:r>
        <w:t xml:space="preserve">Quinze ans plus tard, la Libye est toujours en guerre civile, divisée entre deux gouvernements rivaux, traversée par les flux migratoires et les trafics d’armes qui alimentent le Sahel. Le</w:t>
      </w:r>
      <w:r>
        <w:t xml:space="preserve"> </w:t>
      </w:r>
      <w:r>
        <w:rPr>
          <w:iCs/>
          <w:i/>
        </w:rPr>
        <w:t xml:space="preserve">succès</w:t>
      </w:r>
      <w:r>
        <w:t xml:space="preserve"> </w:t>
      </w:r>
      <w:r>
        <w:t xml:space="preserve">de l’opération libyenne est l’une des catastrophes géopolitiques majeures du XXIe siècle pour l’Afrique.</w:t>
      </w:r>
    </w:p>
    <w:bookmarkEnd w:id="286"/>
    <w:bookmarkEnd w:id="287"/>
    <w:bookmarkStart w:id="291" w:name="Xde1733fb375d570af1edbe678c1ce78b62a3f9c"/>
    <w:p>
      <w:pPr>
        <w:pStyle w:val="Heading2"/>
      </w:pPr>
      <w:r>
        <w:t xml:space="preserve">V. Le câble syrien — et Kadhafi avait raison (3 mars 2011)</w:t>
      </w:r>
    </w:p>
    <w:p>
      <w:pPr>
        <w:pStyle w:val="FirstParagraph"/>
      </w:pPr>
      <w:r>
        <w:rPr>
          <w:bCs/>
          <w:b/>
        </w:rPr>
        <w:t xml:space="preserve">Document C05779381</w:t>
      </w:r>
      <w:r>
        <w:t xml:space="preserve"> </w:t>
      </w:r>
      <w:r>
        <w:t xml:space="preserve">— Sidney Blumenthal à Hillary Clinton, CONFIDENTIEL, 3 mars 2011 :</w:t>
      </w:r>
    </w:p>
    <w:p>
      <w:pPr>
        <w:pStyle w:val="BodyText"/>
      </w:pPr>
      <w:r>
        <w:t xml:space="preserve">Ce document en deux parties est l’un des plus révélateurs de l’ensemble du dossier.</w:t>
      </w:r>
    </w:p>
    <w:bookmarkStart w:id="288" w:name="v.1-la-syrie-aide-kadhafi"/>
    <w:p>
      <w:pPr>
        <w:pStyle w:val="Heading3"/>
      </w:pPr>
      <w:r>
        <w:t xml:space="preserve">V.1 — La Syrie aide Kadhafi</w:t>
      </w:r>
    </w:p>
    <w:p>
      <w:pPr>
        <w:pStyle w:val="FirstParagraph"/>
      </w:pPr>
      <w:r>
        <w:t xml:space="preserve">Blumenthal transmet à Clinton un rapport de renseignement sur la coopération militaire syro-libyenne :</w:t>
      </w:r>
    </w:p>
    <w:p>
      <w:pPr>
        <w:pStyle w:val="BodyText"/>
      </w:pPr>
      <w:r>
        <w:rPr>
          <w:bCs/>
          <w:b/>
        </w:rPr>
        <w:t xml:space="preserve">L’accord de 1984</w:t>
      </w:r>
      <w:r>
        <w:t xml:space="preserve"> </w:t>
      </w:r>
      <w:r>
        <w:t xml:space="preserve">: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pStyle w:val="BodyText"/>
      </w:pPr>
      <w:r>
        <w:rPr>
          <w:bCs/>
          <w:b/>
        </w:rPr>
        <w:t xml:space="preserve">La contrepartie financière</w:t>
      </w:r>
      <w:r>
        <w:t xml:space="preserve"> </w:t>
      </w:r>
      <w:r>
        <w:t xml:space="preserve">: en échange, la Libye finance les opérations des services de renseignement syriens au Liban. L’argent libyen a aussi permis à Hafez al-Assad de</w:t>
      </w:r>
      <w:r>
        <w:t xml:space="preserve"> </w:t>
      </w:r>
      <w:r>
        <w:rPr>
          <w:iCs/>
          <w:i/>
        </w:rPr>
        <w:t xml:space="preserve">soudoyer son propre frère</w:t>
      </w:r>
      <w:r>
        <w:t xml:space="preserve"> </w:t>
      </w:r>
      <w:r>
        <w:t xml:space="preserve">—</w:t>
      </w:r>
      <w:r>
        <w:t xml:space="preserve"> </w:t>
      </w:r>
      <w:r>
        <w:rPr>
          <w:bCs/>
          <w:b/>
        </w:rPr>
        <w:t xml:space="preserve">Rifaat al-Assad</w:t>
      </w:r>
      <w:r>
        <w:t xml:space="preserve">, auteur d’une tentative de coup d’État en 1983 — pour qu’il parte en exil en Espagne et en France, où il réside encore.</w:t>
      </w:r>
    </w:p>
    <w:p>
      <w:pPr>
        <w:pStyle w:val="BodyText"/>
      </w:pPr>
      <w:r>
        <w:rPr>
          <w:bCs/>
          <w:b/>
        </w:rPr>
        <w:t xml:space="preserve">Février-mars 2011</w:t>
      </w:r>
      <w:r>
        <w:t xml:space="preserve"> </w:t>
      </w:r>
      <w:r>
        <w:t xml:space="preserve">: Kadhafi appelle Assad au moins trois fois par lignes sécurisées pendant la semaine du 21 février. Il lui demande que les officiers syriens présents en Libye soient placés sous commandement de l’armée libyenne pour combattre les rebelles. Assad donne l’ordre au</w:t>
      </w:r>
      <w:r>
        <w:t xml:space="preserve"> </w:t>
      </w:r>
      <w:r>
        <w:rPr>
          <w:bCs/>
          <w:b/>
        </w:rPr>
        <w:t xml:space="preserve">général Isam Hallaq</w:t>
      </w:r>
      <w:r>
        <w:t xml:space="preserve">, chef d’état-major de l’armée de l’air syrienne, d’aider le régime libyen si la guerre civile éclate. Une deuxième équipe — des officiers subalternes spécialisés dans les hélicoptères — quitte Tripoli le 23 février après avoir rencontré le général Hallaq et le</w:t>
      </w:r>
      <w:r>
        <w:t xml:space="preserve"> </w:t>
      </w:r>
      <w:r>
        <w:rPr>
          <w:bCs/>
          <w:b/>
        </w:rPr>
        <w:t xml:space="preserve">général Jamil Hasan</w:t>
      </w:r>
      <w:r>
        <w:t xml:space="preserve">, chef du renseignement de l’armée de l’air.</w:t>
      </w:r>
    </w:p>
    <w:p>
      <w:pPr>
        <w:pStyle w:val="BodyText"/>
      </w:pPr>
      <w:r>
        <w:rPr>
          <w:bCs/>
          <w:b/>
        </w:rPr>
        <w:t xml:space="preserve">Note analytique</w:t>
      </w:r>
      <w:r>
        <w:t xml:space="preserve"> </w:t>
      </w:r>
      <w:r>
        <w:t xml:space="preserve">: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bookmarkEnd w:id="288"/>
    <w:bookmarkStart w:id="289" w:name="X7d0fee40dffca6bc996cde4fe0ca8c9cd97c0f6"/>
    <w:p>
      <w:pPr>
        <w:pStyle w:val="Heading3"/>
      </w:pPr>
      <w:r>
        <w:t xml:space="preserve">V.2 — Kadhafi avait raison sur les paramilitaires</w:t>
      </w:r>
    </w:p>
    <w:p>
      <w:pPr>
        <w:pStyle w:val="FirstParagraph"/>
      </w:pPr>
      <w:r>
        <w:t xml:space="preserve">Le 2 mars, Kadhafi dit à son fils Saïf al-Islam ce qu’il croit :</w:t>
      </w:r>
    </w:p>
    <w:p>
      <w:pPr>
        <w:pStyle w:val="BlockText"/>
      </w:pPr>
      <w:r>
        <w:rPr>
          <w:iCs/>
          <w:i/>
        </w:rPr>
        <w:t xml:space="preserve">Les services de renseignement des États-Unis, de la Grande-Bretagne, de l’Égypte et de la France ont déployé des officiers paramilitaires à Benghazi pour aider à organiser, former et équiper les forces d’opposition.</w:t>
      </w:r>
    </w:p>
    <w:p>
      <w:pPr>
        <w:pStyle w:val="FirstParagraph"/>
      </w:pPr>
      <w:r>
        <w:t xml:space="preserve">Il est convaincu que le Conseil National Libyen (CNL) et son chef, l’ancien ministre de la Justice</w:t>
      </w:r>
      <w:r>
        <w:t xml:space="preserve"> </w:t>
      </w:r>
      <w:r>
        <w:rPr>
          <w:bCs/>
          <w:b/>
        </w:rPr>
        <w:t xml:space="preserve">Mustafa Mohamed Abdel Jalil</w:t>
      </w:r>
      <w:r>
        <w:t xml:space="preserve">, ont été</w:t>
      </w:r>
      <w:r>
        <w:t xml:space="preserve"> </w:t>
      </w:r>
      <w:r>
        <w:rPr>
          <w:iCs/>
          <w:i/>
        </w:rPr>
        <w:t xml:space="preserve">choisis par des puissances étrangères pour le remplacer</w:t>
      </w:r>
      <w:r>
        <w:t xml:space="preserve">.</w:t>
      </w:r>
    </w:p>
    <w:p>
      <w:pPr>
        <w:pStyle w:val="BodyText"/>
      </w:pPr>
      <w:r>
        <w:t xml:space="preserve">À l’époque, cette déclaration est présentée dans les médias occidentaux comme la paranoïa d’un dictateur aux abois.</w:t>
      </w:r>
    </w:p>
    <w:p>
      <w:pPr>
        <w:pStyle w:val="BodyText"/>
      </w:pPr>
      <w:r>
        <w:t xml:space="preserve">Les faits établis ultérieurement : le</w:t>
      </w:r>
      <w:r>
        <w:t xml:space="preserve"> </w:t>
      </w:r>
      <w:r>
        <w:rPr>
          <w:bCs/>
          <w:b/>
        </w:rPr>
        <w:t xml:space="preserve">SAS britannique</w:t>
      </w:r>
      <w:r>
        <w:t xml:space="preserve"> </w:t>
      </w:r>
      <w:r>
        <w:t xml:space="preserve">était effectivement présent en Libye avant l’intervention officielle. La</w:t>
      </w:r>
      <w:r>
        <w:t xml:space="preserve"> </w:t>
      </w:r>
      <w:r>
        <w:rPr>
          <w:bCs/>
          <w:b/>
        </w:rPr>
        <w:t xml:space="preserve">DGSE française</w:t>
      </w:r>
      <w:r>
        <w:t xml:space="preserve"> </w:t>
      </w:r>
      <w:r>
        <w:t xml:space="preserve">avait des contacts directs avec les rebelles. Des agents de la CIA opéraient en Libye. Le CNL bénéficiait d’un soutien direct occidental dans sa structuration.</w:t>
      </w:r>
    </w:p>
    <w:p>
      <w:pPr>
        <w:pStyle w:val="BodyText"/>
      </w:pPr>
      <w:r>
        <w:t xml:space="preserve">Kadhafi n’était pas paranoïaque. Il décrivait la réalité.</w:t>
      </w:r>
    </w:p>
    <w:p>
      <w:pPr>
        <w:pStyle w:val="BodyText"/>
      </w:pPr>
      <w:r>
        <w:rPr>
          <w:iCs/>
          <w:i/>
        </w:rPr>
        <w:t xml:space="preserve">(Détail révélateur dans le même câble : face à l’annonce par le procureur de la CPI d’une enquête sur lui et sa famille, Kadhafi lui-même</w:t>
      </w:r>
      <w:r>
        <w:rPr>
          <w:iCs/>
          <w:i/>
        </w:rPr>
        <w:t xml:space="preserve"> </w:t>
      </w:r>
      <w:r>
        <w:t xml:space="preserve">« a trouvé l’annonce amusante »</w:t>
      </w:r>
      <w:r>
        <w:rPr>
          <w:iCs/>
          <w:i/>
        </w:rPr>
        <w:t xml:space="preserve">, selon un associé de Saïf al-Islam. Un homme qui sait que la mécanique est en marche et que rien ne l’arrêtera.)</w:t>
      </w:r>
    </w:p>
    <w:bookmarkEnd w:id="289"/>
    <w:bookmarkStart w:id="290" w:name="Xf3488f674ac77b7fc76a4b59221eb22e924d5c6"/>
    <w:p>
      <w:pPr>
        <w:pStyle w:val="Heading3"/>
      </w:pPr>
      <w:r>
        <w:t xml:space="preserve">V.3 — Lord David Owen : armer les rebelles avant le mandat de l’ONU</w:t>
      </w:r>
    </w:p>
    <w:p>
      <w:pPr>
        <w:pStyle w:val="FirstParagraph"/>
      </w:pPr>
      <w:r>
        <w:t xml:space="preserve">La deuxième partie du câble est une note personnelle de</w:t>
      </w:r>
      <w:r>
        <w:t xml:space="preserve"> </w:t>
      </w:r>
      <w:r>
        <w:rPr>
          <w:bCs/>
          <w:b/>
        </w:rPr>
        <w:t xml:space="preserve">Lord David Owen</w:t>
      </w:r>
      <w:r>
        <w:t xml:space="preserve"> </w:t>
      </w:r>
      <w:r>
        <w:t xml:space="preserve">— ancien ministre britannique des Affaires étrangères, figure du Parti social-démocrate — transmise à l’équipe de Blumenthal :</w:t>
      </w:r>
    </w:p>
    <w:p>
      <w:pPr>
        <w:pStyle w:val="BlockText"/>
      </w:pPr>
      <w:r>
        <w:rPr>
          <w:iCs/>
          <w:i/>
        </w:rPr>
        <w:t xml:space="preserve">«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w:t>
      </w:r>
      <w:r>
        <w:rPr>
          <w:iCs/>
          <w:i/>
        </w:rPr>
        <w:t xml:space="preserve"> </w:t>
      </w:r>
      <w:r>
        <w:rPr>
          <w:bCs/>
          <w:b/>
          <w:iCs/>
          <w:i/>
        </w:rPr>
        <w:t xml:space="preserve">forces spéciales égyptiennes</w:t>
      </w:r>
      <w:r>
        <w:rPr>
          <w:iCs/>
          <w:i/>
        </w:rPr>
        <w:t xml:space="preserve"> </w:t>
      </w:r>
      <w:r>
        <w:rPr>
          <w:iCs/>
          <w:i/>
        </w:rPr>
        <w:t xml:space="preserve">pour aller conseiller, même en fournissant des</w:t>
      </w:r>
      <w:r>
        <w:rPr>
          <w:iCs/>
          <w:i/>
        </w:rPr>
        <w:t xml:space="preserve"> </w:t>
      </w:r>
      <w:r>
        <w:rPr>
          <w:bCs/>
          <w:b/>
          <w:iCs/>
          <w:i/>
        </w:rPr>
        <w:t xml:space="preserve">missiles portatifs</w:t>
      </w:r>
      <w:r>
        <w:rPr>
          <w:iCs/>
          <w:i/>
        </w:rPr>
        <w:t xml:space="preserve">. Il semble qu’ils en aient peu ; les militaires de l’Est ayant été délibérément maintenus sous-équipés. »</w:t>
      </w:r>
    </w:p>
    <w:p>
      <w:pPr>
        <w:pStyle w:val="FirstParagraph"/>
      </w:pPr>
      <w:r>
        <w:t xml:space="preserve">Et sa conclusion privée :</w:t>
      </w:r>
    </w:p>
    <w:p>
      <w:pPr>
        <w:pStyle w:val="BlockText"/>
      </w:pPr>
      <w:r>
        <w:rPr>
          <w:iCs/>
          <w:i/>
        </w:rPr>
        <w:t xml:space="preserve">« Je suis plus inquiet que je ne suis prêt à le dire publiquement. »</w:t>
      </w:r>
    </w:p>
    <w:p>
      <w:pPr>
        <w:pStyle w:val="FirstParagraph"/>
      </w:pPr>
      <w:r>
        <w:rPr>
          <w:bCs/>
          <w:b/>
        </w:rPr>
        <w:t xml:space="preserve">Ce que cette note révèle :</w:t>
      </w:r>
    </w:p>
    <w:p>
      <w:pPr>
        <w:pStyle w:val="BodyText"/>
      </w:pPr>
      <w:r>
        <w:t xml:space="preserve">Un ancien secrétaire d’État britannique aux Affaires étrangères, s’exprimant en privé à travers le canal Blumenthal/Clinton, recommande :</w:t>
      </w:r>
      <w:r>
        <w:t xml:space="preserve"> </w:t>
      </w:r>
      <w:r>
        <w:t xml:space="preserve">1. L’envoi de forces spéciales étrangères (égyptiennes) sur le sol libyen</w:t>
      </w:r>
      <w:r>
        <w:t xml:space="preserve"> </w:t>
      </w:r>
      <w:r>
        <w:t xml:space="preserve">2. La fourniture de missiles portatifs aux rebelles</w:t>
      </w:r>
      <w:r>
        <w:t xml:space="preserve"> </w:t>
      </w:r>
      <w:r>
        <w:t xml:space="preserve">3. L’ensemble</w:t>
      </w:r>
      <w:r>
        <w:t xml:space="preserve"> </w:t>
      </w:r>
      <w:r>
        <w:rPr>
          <w:iCs/>
          <w:i/>
        </w:rPr>
        <w:t xml:space="preserve">avant</w:t>
      </w:r>
      <w:r>
        <w:t xml:space="preserve"> </w:t>
      </w:r>
      <w:r>
        <w:t xml:space="preserve">tout mandat de l’ONU et</w:t>
      </w:r>
      <w:r>
        <w:t xml:space="preserve"> </w:t>
      </w:r>
      <w:r>
        <w:rPr>
          <w:iCs/>
          <w:i/>
        </w:rPr>
        <w:t xml:space="preserve">avant</w:t>
      </w:r>
      <w:r>
        <w:t xml:space="preserve"> </w:t>
      </w:r>
      <w:r>
        <w:t xml:space="preserve">le 19 mars</w:t>
      </w:r>
    </w:p>
    <w:p>
      <w:pPr>
        <w:pStyle w:val="BodyText"/>
      </w:pPr>
      <w:r>
        <w:t xml:space="preserve">Lord Owen évoque également</w:t>
      </w:r>
      <w:r>
        <w:t xml:space="preserve"> </w:t>
      </w:r>
      <w:r>
        <w:rPr>
          <w:iCs/>
          <w:i/>
        </w:rPr>
        <w:t xml:space="preserve">« un vieux sentiment nassérien pour une Fédération de l’Égypte, du Soudan et de la Libye »</w:t>
      </w:r>
      <w:r>
        <w:t xml:space="preserve"> </w:t>
      </w:r>
      <w:r>
        <w:t xml:space="preserve">— suggestion que l’Égypte pourrait avoir un intérêt géopolitique propre à s’impliquer en Libye, indépendamment de la demande occidentale.</w:t>
      </w:r>
    </w:p>
    <w:p>
      <w:pPr>
        <w:pStyle w:val="BodyText"/>
      </w:pPr>
      <w:r>
        <w:t xml:space="preserve">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bookmarkEnd w:id="290"/>
    <w:bookmarkEnd w:id="291"/>
    <w:bookmarkStart w:id="298" w:name="X8c758a54734baa59004c2fd1f4a76d17e12fa97"/>
    <w:p>
      <w:pPr>
        <w:pStyle w:val="Heading2"/>
      </w:pPr>
      <w:r>
        <w:t xml:space="preserve">VI. Côte d’Ivoire comme message à Kadhafi — avril 2011</w:t>
      </w:r>
    </w:p>
    <w:p>
      <w:pPr>
        <w:pStyle w:val="FirstParagraph"/>
      </w:pPr>
      <w:r>
        <w:rPr>
          <w:bCs/>
          <w:b/>
        </w:rPr>
        <w:t xml:space="preserve">Document C05780569 — The Nelson Report</w:t>
      </w:r>
      <w:r>
        <w:t xml:space="preserve">, 12 avril 2011, Sullivan/Steinberg à Clinton :</w:t>
      </w:r>
    </w:p>
    <w:p>
      <w:pPr>
        <w:pStyle w:val="BodyText"/>
      </w:pPr>
      <w:r>
        <w:t xml:space="preserve">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w:t>
      </w:r>
      <w:r>
        <w:t xml:space="preserve"> </w:t>
      </w:r>
      <w:r>
        <w:rPr>
          <w:bCs/>
          <w:b/>
        </w:rPr>
        <w:t xml:space="preserve">un message adressé à Kadhafi</w:t>
      </w:r>
      <w:r>
        <w:t xml:space="preserve">.</w:t>
      </w:r>
    </w:p>
    <w:bookmarkStart w:id="292" w:name="le-parallèle-explicite-gbagbo-kadhafi"/>
    <w:p>
      <w:pPr>
        <w:pStyle w:val="Heading3"/>
      </w:pPr>
      <w:r>
        <w:t xml:space="preserve">Le parallèle explicite : Gbagbo → Kadhafi</w:t>
      </w:r>
    </w:p>
    <w:p>
      <w:pPr>
        <w:pStyle w:val="FirstParagraph"/>
      </w:pPr>
      <w:r>
        <w:t xml:space="preserve">Richard Medley, analyste chez Medley Global Advisors, écrit à ses clients (cité dans le rapport transmis à Clinton) :</w:t>
      </w:r>
    </w:p>
    <w:p>
      <w:pPr>
        <w:pStyle w:val="BlockText"/>
      </w:pPr>
      <w:r>
        <w:rPr>
          <w:iCs/>
          <w:i/>
        </w:rPr>
        <w:t xml:space="preserve">« Que les Français aient remis Gbagbo ou</w:t>
      </w:r>
      <w:r>
        <w:rPr>
          <w:iCs/>
          <w:i/>
        </w:rPr>
        <w:t xml:space="preserve"> </w:t>
      </w:r>
      <w:r>
        <w:rPr>
          <w:iCs/>
          <w:i/>
        </w:rPr>
        <w:t xml:space="preserve">“</w:t>
      </w:r>
      <w:r>
        <w:rPr>
          <w:iCs/>
          <w:i/>
        </w:rPr>
        <w:t xml:space="preserve">laissé</w:t>
      </w:r>
      <w:r>
        <w:rPr>
          <w:iCs/>
          <w:i/>
        </w:rPr>
        <w:t xml:space="preserve">”</w:t>
      </w:r>
      <w:r>
        <w:rPr>
          <w:iCs/>
          <w:i/>
        </w:rPr>
        <w:t xml:space="preserve"> </w:t>
      </w:r>
      <w:r>
        <w:rPr>
          <w:iCs/>
          <w:i/>
        </w:rPr>
        <w:t xml:space="preserve">les forces de Quattara le capturer est sans importance. Aujourd’hui ils ont montré la volonté de bouger et de bouger puissamment quand le moment est venu de mettre fin à une impasse stérile. Bonjour Tripoli. »</w:t>
      </w:r>
    </w:p>
    <w:p>
      <w:pPr>
        <w:pStyle w:val="FirstParagraph"/>
      </w:pPr>
      <w:r>
        <w:rPr>
          <w:bCs/>
          <w:b/>
        </w:rPr>
        <w:t xml:space="preserve">« Hello Tripoli »</w:t>
      </w:r>
      <w:r>
        <w:t xml:space="preserve"> </w:t>
      </w:r>
      <w:r>
        <w:t xml:space="preserve">— c’est clair. L’intervention française en Côte d’Ivoire n’est pas isolée. C’est une démonstration de force destinée à Kadhafi.</w:t>
      </w:r>
    </w:p>
    <w:bookmarkEnd w:id="292"/>
    <w:bookmarkStart w:id="293" w:name="les-conditions-réelles-en-libye"/>
    <w:p>
      <w:pPr>
        <w:pStyle w:val="Heading3"/>
      </w:pPr>
      <w:r>
        <w:t xml:space="preserve">Les conditions réelles en Libye</w:t>
      </w:r>
    </w:p>
    <w:p>
      <w:pPr>
        <w:pStyle w:val="FirstParagraph"/>
      </w:pPr>
      <w:r>
        <w:t xml:space="preserve">Le même rapport documente que :</w:t>
      </w:r>
    </w:p>
    <w:p>
      <w:pPr>
        <w:numPr>
          <w:ilvl w:val="0"/>
          <w:numId w:val="1017"/>
        </w:numPr>
      </w:pPr>
      <w:r>
        <w:rPr>
          <w:bCs/>
          <w:b/>
        </w:rPr>
        <w:t xml:space="preserve">Une impasse s’installe</w:t>
      </w:r>
      <w:r>
        <w:t xml:space="preserve"> </w:t>
      </w:r>
      <w:r>
        <w:t xml:space="preserve">: les défections (Moussa Koussa) et les tentatives d’outreach (Saïf al-Islam, Obeidi) ne produisent pas d’effondrement rapide du régime. Kadhafi peut tenir longtemps.</w:t>
      </w:r>
    </w:p>
    <w:p>
      <w:pPr>
        <w:numPr>
          <w:ilvl w:val="0"/>
          <w:numId w:val="1017"/>
        </w:numPr>
      </w:pPr>
      <w:r>
        <w:rPr>
          <w:bCs/>
          <w:b/>
        </w:rPr>
        <w:t xml:space="preserve">Le risque de partition</w:t>
      </w:r>
      <w:r>
        <w:t xml:space="preserve"> </w:t>
      </w:r>
      <w:r>
        <w:t xml:space="preserve">: US et French officials reconnaissent que</w:t>
      </w:r>
      <w:r>
        <w:t xml:space="preserve"> </w:t>
      </w:r>
      <w:r>
        <w:rPr>
          <w:iCs/>
          <w:i/>
        </w:rPr>
        <w:t xml:space="preserve">« la menace d’une impasse prolongée et d’une partition de facto du pays en Tripolitania de rumpus et Cyrenaica rumpus (ceci reflète des divisions historiques en Libye depuis l’époque ottomane) est une perspective très réelle »</w:t>
      </w:r>
      <w:r>
        <w:t xml:space="preserve">.</w:t>
      </w:r>
    </w:p>
    <w:p>
      <w:pPr>
        <w:numPr>
          <w:ilvl w:val="0"/>
          <w:numId w:val="1017"/>
        </w:numPr>
      </w:pPr>
      <w:r>
        <w:rPr>
          <w:bCs/>
          <w:b/>
        </w:rPr>
        <w:t xml:space="preserve">Le message français est donc stratégique</w:t>
      </w:r>
      <w:r>
        <w:t xml:space="preserve"> </w:t>
      </w:r>
      <w:r>
        <w:t xml:space="preserve">: en Côte d’Ivoire,</w:t>
      </w:r>
      <w:r>
        <w:t xml:space="preserve"> </w:t>
      </w:r>
      <w:r>
        <w:rPr>
          <w:iCs/>
          <w:i/>
        </w:rPr>
        <w:t xml:space="preserve">l’action forte finit le travail</w:t>
      </w:r>
      <w:r>
        <w:t xml:space="preserve">. Avant, il y avait six mois de pression. À la fin, intervention finale décisive. Le même calendrier peut s’appliquer à Kadhafi.</w:t>
      </w:r>
    </w:p>
    <w:bookmarkEnd w:id="293"/>
    <w:bookmarkStart w:id="294" w:name="timing-politique"/>
    <w:p>
      <w:pPr>
        <w:pStyle w:val="Heading3"/>
      </w:pPr>
      <w:r>
        <w:t xml:space="preserve">Timing politique</w:t>
      </w:r>
    </w:p>
    <w:p>
      <w:pPr>
        <w:pStyle w:val="FirstParagraph"/>
      </w:pPr>
      <w:r>
        <w:t xml:space="preserve">Le câble est daté du 12 avril 2011 — trois semaines après le début de l’intervention militaire (19 mars). À ce moment, on commence à voir que Kadhafi ne s’effondre pas rapidement. La Côte d’Ivoire sert d’avertissement :</w:t>
      </w:r>
      <w:r>
        <w:t xml:space="preserve"> </w:t>
      </w:r>
      <w:r>
        <w:rPr>
          <w:iCs/>
          <w:i/>
        </w:rPr>
        <w:t xml:space="preserve">si tu ne quittes pas volontairement, nous montrerons de la volonté.</w:t>
      </w:r>
    </w:p>
    <w:bookmarkEnd w:id="294"/>
    <w:bookmarkStart w:id="296" w:name="Xcbaeb1695389cb28f46f0ca8120ad62cc0289e5"/>
    <w:p>
      <w:pPr>
        <w:pStyle w:val="Heading3"/>
      </w:pPr>
      <w:r>
        <w:t xml:space="preserve">VII.2 — Le document Samantha Power : justifier la vitesse par le passé (26 mars 2011)</w:t>
      </w:r>
    </w:p>
    <w:p>
      <w:pPr>
        <w:pStyle w:val="FirstParagraph"/>
      </w:pPr>
      <w:r>
        <w:rPr>
          <w:bCs/>
          <w:b/>
        </w:rPr>
        <w:t xml:space="preserve">Document C05782368</w:t>
      </w:r>
      <w:r>
        <w:t xml:space="preserve"> </w:t>
      </w:r>
      <w:r>
        <w:t xml:space="preserve">— Samantha Power à Jake Sullivan et équipe, 26 mars 2011 :</w:t>
      </w:r>
    </w:p>
    <w:p>
      <w:pPr>
        <w:pStyle w:val="BodyText"/>
      </w:pPr>
      <w:r>
        <w:rPr>
          <w:bCs/>
          <w:b/>
        </w:rPr>
        <w:t xml:space="preserve">Samantha Power</w:t>
      </w:r>
      <w:r>
        <w:t xml:space="preserve"> </w:t>
      </w:r>
      <w:r>
        <w:t xml:space="preserve">— alors directrice principale pour les droits humains au Conseil de sécurité nationale, future ambassadrice à l’ONU — fait circuler un document de comparaison interne qu’elle qualifie de</w:t>
      </w:r>
      <w:r>
        <w:t xml:space="preserve"> </w:t>
      </w:r>
      <w:r>
        <w:rPr>
          <w:iCs/>
          <w:i/>
        </w:rPr>
        <w:t xml:space="preserve">mis à jour</w:t>
      </w:r>
      <w:r>
        <w:t xml:space="preserve">. L’objet : démontrer que la communauté internationale a réagi à la crise libyenne avec une</w:t>
      </w:r>
      <w:r>
        <w:t xml:space="preserve"> </w:t>
      </w:r>
      <w:r>
        <w:rPr>
          <w:iCs/>
          <w:i/>
        </w:rPr>
        <w:t xml:space="preserve">rapidité historique</w:t>
      </w:r>
      <w:r>
        <w:t xml:space="preserve"> </w:t>
      </w:r>
      <w:r>
        <w:t xml:space="preserve">par rapport aux précédents.</w:t>
      </w:r>
    </w:p>
    <w:p>
      <w:pPr>
        <w:pStyle w:val="BodyText"/>
      </w:pPr>
      <w:r>
        <w:t xml:space="preserve">Le tableau comparatif, rédigé par son équipe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Critère</w:t>
            </w:r>
          </w:p>
        </w:tc>
        <w:tc>
          <w:tcPr/>
          <w:p>
            <w:pPr>
              <w:pStyle w:val="Compact"/>
              <w:jc w:val="left"/>
            </w:pPr>
            <w:r>
              <w:t xml:space="preserve">Ex-Yougoslavie/Bosnie</w:t>
            </w:r>
          </w:p>
        </w:tc>
        <w:tc>
          <w:tcPr/>
          <w:p>
            <w:pPr>
              <w:pStyle w:val="Compact"/>
              <w:jc w:val="left"/>
            </w:pPr>
            <w:r>
              <w:t xml:space="preserve">Rwanda</w:t>
            </w:r>
          </w:p>
        </w:tc>
        <w:tc>
          <w:tcPr/>
          <w:p>
            <w:pPr>
              <w:pStyle w:val="Compact"/>
              <w:jc w:val="left"/>
            </w:pPr>
            <w:r>
              <w:t xml:space="preserve">Kosovo</w:t>
            </w:r>
          </w:p>
        </w:tc>
        <w:tc>
          <w:tcPr/>
          <w:p>
            <w:pPr>
              <w:pStyle w:val="Compact"/>
              <w:jc w:val="left"/>
            </w:pPr>
            <w:r>
              <w:t xml:space="preserve">Darfour</w:t>
            </w:r>
          </w:p>
        </w:tc>
        <w:tc>
          <w:tcPr/>
          <w:p>
            <w:pPr>
              <w:pStyle w:val="Compact"/>
              <w:jc w:val="left"/>
            </w:pPr>
            <w:r>
              <w:rPr>
                <w:bCs/>
                <w:b/>
              </w:rPr>
              <w:t xml:space="preserve">Libye</w:t>
            </w:r>
          </w:p>
        </w:tc>
      </w:tr>
      <w:tr>
        <w:tc>
          <w:tcPr/>
          <w:p>
            <w:pPr>
              <w:pStyle w:val="Compact"/>
              <w:jc w:val="left"/>
            </w:pPr>
            <w:r>
              <w:t xml:space="preserve">Référence CPI/TPI</w:t>
            </w:r>
          </w:p>
        </w:tc>
        <w:tc>
          <w:tcPr/>
          <w:p>
            <w:pPr>
              <w:pStyle w:val="Compact"/>
              <w:jc w:val="left"/>
            </w:pPr>
            <w:r>
              <w:t xml:space="preserve">3 ans</w:t>
            </w:r>
          </w:p>
        </w:tc>
        <w:tc>
          <w:tcPr/>
          <w:p>
            <w:pPr>
              <w:pStyle w:val="Compact"/>
              <w:jc w:val="left"/>
            </w:pPr>
            <w:r>
              <w:t xml:space="preserve">7 mois</w:t>
            </w:r>
          </w:p>
        </w:tc>
        <w:tc>
          <w:tcPr/>
          <w:p>
            <w:pPr>
              <w:pStyle w:val="Compact"/>
              <w:jc w:val="left"/>
            </w:pPr>
            <w:r>
              <w:t xml:space="preserve">—</w:t>
            </w:r>
          </w:p>
        </w:tc>
        <w:tc>
          <w:tcPr/>
          <w:p>
            <w:pPr>
              <w:pStyle w:val="Compact"/>
              <w:jc w:val="left"/>
            </w:pPr>
            <w:r>
              <w:t xml:space="preserve">2 ans</w:t>
            </w:r>
          </w:p>
        </w:tc>
        <w:tc>
          <w:tcPr/>
          <w:p>
            <w:pPr>
              <w:pStyle w:val="Compact"/>
              <w:jc w:val="left"/>
            </w:pPr>
            <w:r>
              <w:rPr>
                <w:bCs/>
                <w:b/>
              </w:rPr>
              <w:t xml:space="preserve">9 jours</w:t>
            </w:r>
          </w:p>
        </w:tc>
      </w:tr>
      <w:tr>
        <w:tc>
          <w:tcPr/>
          <w:p>
            <w:pPr>
              <w:pStyle w:val="Compact"/>
              <w:jc w:val="left"/>
            </w:pPr>
            <w:r>
              <w:t xml:space="preserve">Embargo sur les armes</w:t>
            </w:r>
          </w:p>
        </w:tc>
        <w:tc>
          <w:tcPr/>
          <w:p>
            <w:pPr>
              <w:pStyle w:val="Compact"/>
              <w:jc w:val="left"/>
            </w:pPr>
            <w:r>
              <w:t xml:space="preserve">3 mois</w:t>
            </w:r>
          </w:p>
        </w:tc>
        <w:tc>
          <w:tcPr/>
          <w:p>
            <w:pPr>
              <w:pStyle w:val="Compact"/>
              <w:jc w:val="left"/>
            </w:pPr>
            <w:r>
              <w:t xml:space="preserve">—</w:t>
            </w:r>
          </w:p>
        </w:tc>
        <w:tc>
          <w:tcPr/>
          <w:p>
            <w:pPr>
              <w:pStyle w:val="Compact"/>
              <w:jc w:val="left"/>
            </w:pPr>
            <w:r>
              <w:t xml:space="preserve">1 mois</w:t>
            </w:r>
          </w:p>
        </w:tc>
        <w:tc>
          <w:tcPr/>
          <w:p>
            <w:pPr>
              <w:pStyle w:val="Compact"/>
              <w:jc w:val="left"/>
            </w:pPr>
            <w:r>
              <w:t xml:space="preserve">—</w:t>
            </w:r>
          </w:p>
        </w:tc>
        <w:tc>
          <w:tcPr/>
          <w:p>
            <w:pPr>
              <w:pStyle w:val="Compact"/>
              <w:jc w:val="left"/>
            </w:pPr>
            <w:r>
              <w:rPr>
                <w:bCs/>
                <w:b/>
              </w:rPr>
              <w:t xml:space="preserve">9 jours</w:t>
            </w:r>
          </w:p>
        </w:tc>
      </w:tr>
      <w:tr>
        <w:tc>
          <w:tcPr/>
          <w:p>
            <w:pPr>
              <w:pStyle w:val="Compact"/>
              <w:jc w:val="left"/>
            </w:pPr>
            <w:r>
              <w:t xml:space="preserve">Gel des avoirs</w:t>
            </w:r>
          </w:p>
        </w:tc>
        <w:tc>
          <w:tcPr/>
          <w:p>
            <w:pPr>
              <w:pStyle w:val="Compact"/>
              <w:jc w:val="left"/>
            </w:pPr>
            <w:r>
              <w:t xml:space="preserve">1 an (Bosnie)</w:t>
            </w:r>
          </w:p>
        </w:tc>
        <w:tc>
          <w:tcPr/>
          <w:p>
            <w:pPr>
              <w:pStyle w:val="Compact"/>
              <w:jc w:val="left"/>
            </w:pPr>
            <w:r>
              <w:t xml:space="preserve">—</w:t>
            </w:r>
          </w:p>
        </w:tc>
        <w:tc>
          <w:tcPr/>
          <w:p>
            <w:pPr>
              <w:pStyle w:val="Compact"/>
              <w:jc w:val="left"/>
            </w:pPr>
            <w:r>
              <w:t xml:space="preserve">—</w:t>
            </w:r>
          </w:p>
        </w:tc>
        <w:tc>
          <w:tcPr/>
          <w:p>
            <w:pPr>
              <w:pStyle w:val="Compact"/>
              <w:jc w:val="left"/>
            </w:pPr>
            <w:r>
              <w:t xml:space="preserve">2 ans</w:t>
            </w:r>
          </w:p>
        </w:tc>
        <w:tc>
          <w:tcPr/>
          <w:p>
            <w:pPr>
              <w:pStyle w:val="Compact"/>
              <w:jc w:val="left"/>
            </w:pPr>
            <w:r>
              <w:rPr>
                <w:bCs/>
                <w:b/>
              </w:rPr>
              <w:t xml:space="preserve">9 jours</w:t>
            </w:r>
          </w:p>
        </w:tc>
      </w:tr>
      <w:tr>
        <w:tc>
          <w:tcPr/>
          <w:p>
            <w:pPr>
              <w:pStyle w:val="Compact"/>
              <w:jc w:val="left"/>
            </w:pPr>
            <w:r>
              <w:t xml:space="preserve">Zone d’exclusion aérienne</w:t>
            </w:r>
          </w:p>
        </w:tc>
        <w:tc>
          <w:tcPr/>
          <w:p>
            <w:pPr>
              <w:pStyle w:val="Compact"/>
              <w:jc w:val="left"/>
            </w:pPr>
            <w:r>
              <w:t xml:space="preserve">18 mois (Bosnie)</w:t>
            </w:r>
          </w:p>
        </w:tc>
        <w:tc>
          <w:tcPr/>
          <w:p>
            <w:pPr>
              <w:pStyle w:val="Compact"/>
              <w:jc w:val="left"/>
            </w:pPr>
            <w:r>
              <w:t xml:space="preserve">aucune</w:t>
            </w:r>
          </w:p>
        </w:tc>
        <w:tc>
          <w:tcPr/>
          <w:p>
            <w:pPr>
              <w:pStyle w:val="Compact"/>
              <w:jc w:val="left"/>
            </w:pPr>
            <w:r>
              <w:t xml:space="preserve">1 an</w:t>
            </w:r>
          </w:p>
        </w:tc>
        <w:tc>
          <w:tcPr/>
          <w:p>
            <w:pPr>
              <w:pStyle w:val="Compact"/>
              <w:jc w:val="left"/>
            </w:pPr>
            <w:r>
              <w:t xml:space="preserve">aucune</w:t>
            </w:r>
          </w:p>
        </w:tc>
        <w:tc>
          <w:tcPr/>
          <w:p>
            <w:pPr>
              <w:pStyle w:val="Compact"/>
              <w:jc w:val="left"/>
            </w:pPr>
            <w:r>
              <w:rPr>
                <w:bCs/>
                <w:b/>
              </w:rPr>
              <w:t xml:space="preserve">31 jours</w:t>
            </w:r>
          </w:p>
        </w:tc>
      </w:tr>
      <w:tr>
        <w:tc>
          <w:tcPr/>
          <w:p>
            <w:pPr>
              <w:pStyle w:val="Compact"/>
              <w:jc w:val="left"/>
            </w:pPr>
            <w:r>
              <w:t xml:space="preserve">Frappes aériennes</w:t>
            </w:r>
          </w:p>
        </w:tc>
        <w:tc>
          <w:tcPr/>
          <w:p>
            <w:pPr>
              <w:pStyle w:val="Compact"/>
              <w:jc w:val="left"/>
            </w:pPr>
            <w:r>
              <w:t xml:space="preserve">3 ans (Bosnie)</w:t>
            </w:r>
          </w:p>
        </w:tc>
        <w:tc>
          <w:tcPr/>
          <w:p>
            <w:pPr>
              <w:pStyle w:val="Compact"/>
              <w:jc w:val="left"/>
            </w:pPr>
            <w:r>
              <w:t xml:space="preserve">aucune</w:t>
            </w:r>
          </w:p>
        </w:tc>
        <w:tc>
          <w:tcPr/>
          <w:p>
            <w:pPr>
              <w:pStyle w:val="Compact"/>
              <w:jc w:val="left"/>
            </w:pPr>
            <w:r>
              <w:t xml:space="preserve">1 an</w:t>
            </w:r>
          </w:p>
        </w:tc>
        <w:tc>
          <w:tcPr/>
          <w:p>
            <w:pPr>
              <w:pStyle w:val="Compact"/>
              <w:jc w:val="left"/>
            </w:pPr>
            <w:r>
              <w:t xml:space="preserve">aucune</w:t>
            </w:r>
          </w:p>
        </w:tc>
        <w:tc>
          <w:tcPr/>
          <w:p>
            <w:pPr>
              <w:pStyle w:val="Compact"/>
              <w:jc w:val="left"/>
            </w:pPr>
            <w:r>
              <w:rPr>
                <w:bCs/>
                <w:b/>
              </w:rPr>
              <w:t xml:space="preserve">31 jours</w:t>
            </w:r>
          </w:p>
        </w:tc>
      </w:tr>
    </w:tbl>
    <w:p>
      <w:pPr>
        <w:pStyle w:val="BodyText"/>
      </w:pPr>
      <w:r>
        <w:t xml:space="preserve">La conclusion implicite du document : là où l’Occident avait mis des années à réagir face aux génocides bosniaque et rwandais, il a cette fois réagi en jours et en semaines. Ce n’est pas de l’improvisation — c’est du</w:t>
      </w:r>
      <w:r>
        <w:t xml:space="preserve"> </w:t>
      </w:r>
      <w:r>
        <w:rPr>
          <w:iCs/>
          <w:i/>
        </w:rPr>
        <w:t xml:space="preserve">progrès moral</w:t>
      </w:r>
      <w:r>
        <w:t xml:space="preserve">.</w:t>
      </w:r>
    </w:p>
    <w:bookmarkStart w:id="295" w:name="ce-que-ce-document-révèle-réellement"/>
    <w:p>
      <w:pPr>
        <w:pStyle w:val="Heading4"/>
      </w:pPr>
      <w:r>
        <w:t xml:space="preserve">Ce que ce document révèle réellement</w:t>
      </w:r>
    </w:p>
    <w:p>
      <w:pPr>
        <w:pStyle w:val="FirstParagraph"/>
      </w:pPr>
      <w:r>
        <w:rPr>
          <w:bCs/>
          <w:b/>
        </w:rPr>
        <w:t xml:space="preserve">Ce document est un instrument de légitimation interne</w:t>
      </w:r>
      <w:r>
        <w:t xml:space="preserve">, pas une analyse géopolitique. Son but est de fournir aux décideurs américains un argumentaire prêt à l’emploi pour répondre aux critiques sur la rapidité de l’intervention.</w:t>
      </w:r>
    </w:p>
    <w:p>
      <w:pPr>
        <w:pStyle w:val="BodyText"/>
      </w:pPr>
      <w:r>
        <w:t xml:space="preserve">Il compare des situations fondamentalement différentes :</w:t>
      </w:r>
      <w:r>
        <w:t xml:space="preserve"> </w:t>
      </w:r>
      <w:r>
        <w:t xml:space="preserve">- La Bosnie et le Rwanda impliquaient des structures étatiques effondrées et des génocides de masse documentés — pas une révolte populaire de quelques semaines contre un régime bien armé</w:t>
      </w:r>
      <w:r>
        <w:t xml:space="preserve"> </w:t>
      </w:r>
      <w:r>
        <w:t xml:space="preserve">- Le Kosovo impliquait un autre membre de l’OTAN (la Yougoslavie) — la prudence avait des raisons stratégiques</w:t>
      </w:r>
      <w:r>
        <w:t xml:space="preserve"> </w:t>
      </w:r>
      <w:r>
        <w:t xml:space="preserve">- Le Darfour met en cause le Soudan — pays qui</w:t>
      </w:r>
      <w:r>
        <w:t xml:space="preserve"> </w:t>
      </w:r>
      <w:r>
        <w:rPr>
          <w:iCs/>
          <w:i/>
        </w:rPr>
        <w:t xml:space="preserve">ne possède pas de pétrole</w:t>
      </w:r>
      <w:r>
        <w:t xml:space="preserve"> </w:t>
      </w:r>
      <w:r>
        <w:t xml:space="preserve">exploitable par les compagnies occidentales</w:t>
      </w:r>
    </w:p>
    <w:p>
      <w:pPr>
        <w:pStyle w:val="BodyText"/>
      </w:pPr>
      <w:r>
        <w:t xml:space="preserve">La Libye possède les</w:t>
      </w:r>
      <w:r>
        <w:t xml:space="preserve"> </w:t>
      </w:r>
      <w:r>
        <w:rPr>
          <w:bCs/>
          <w:b/>
        </w:rPr>
        <w:t xml:space="preserve">plus grandes réserves de pétrole d’Afrique</w:t>
      </w:r>
      <w:r>
        <w:t xml:space="preserve">.</w:t>
      </w:r>
    </w:p>
    <w:p>
      <w:pPr>
        <w:pStyle w:val="BodyText"/>
      </w:pPr>
      <w:r>
        <w:t xml:space="preserve">Le document Power répond à la question</w:t>
      </w:r>
      <w:r>
        <w:t xml:space="preserve"> </w:t>
      </w:r>
      <w:r>
        <w:rPr>
          <w:iCs/>
          <w:i/>
        </w:rPr>
        <w:t xml:space="preserve">pourquoi si vite ?</w:t>
      </w:r>
      <w:r>
        <w:t xml:space="preserve"> </w:t>
      </w:r>
      <w:r>
        <w:t xml:space="preserve">avec la réponse moralement flatteuse :</w:t>
      </w:r>
      <w:r>
        <w:t xml:space="preserve"> </w:t>
      </w:r>
      <w:r>
        <w:rPr>
          <w:iCs/>
          <w:i/>
        </w:rPr>
        <w:t xml:space="preserve">parce que nous avons appris de nos erreurs</w:t>
      </w:r>
      <w:r>
        <w:t xml:space="preserve">. Il ne répond pas à la question autrement pertinente :</w:t>
      </w:r>
      <w:r>
        <w:t xml:space="preserve"> </w:t>
      </w:r>
      <w:r>
        <w:rPr>
          <w:iCs/>
          <w:i/>
        </w:rPr>
        <w:t xml:space="preserve">pourquoi la Libye et pas le Bahreïn</w:t>
      </w:r>
      <w:r>
        <w:t xml:space="preserve">, où des chars saoudiens écrasaient au même moment une révolte populaire avec le silence total des mêmes voix ?</w:t>
      </w:r>
    </w:p>
    <w:bookmarkEnd w:id="295"/>
    <w:bookmarkEnd w:id="296"/>
    <w:bookmarkStart w:id="297" w:name="X2fd8748b0777e7bf495e472c6385926633668b3"/>
    <w:p>
      <w:pPr>
        <w:pStyle w:val="Heading3"/>
      </w:pPr>
      <w:r>
        <w:t xml:space="preserve">VII.4 — Le contexte Lockerbie : Obama humilie Brown à l’ONU (septembre 2009)</w:t>
      </w:r>
    </w:p>
    <w:p>
      <w:pPr>
        <w:pStyle w:val="FirstParagraph"/>
      </w:pPr>
      <w:r>
        <w:rPr>
          <w:bCs/>
          <w:b/>
        </w:rPr>
        <w:t xml:space="preserve">Document C05764896</w:t>
      </w:r>
      <w:r>
        <w:t xml:space="preserve"> </w:t>
      </w:r>
      <w:r>
        <w:t xml:space="preserve">— Sidney Blumenthal à Clinton, 23 septembre 2009 :</w:t>
      </w:r>
    </w:p>
    <w:p>
      <w:pPr>
        <w:pStyle w:val="BodyText"/>
      </w:pPr>
      <w:r>
        <w:t xml:space="preserve">Blumenthal envoie à Clinton l’article de Une du</w:t>
      </w:r>
      <w:r>
        <w:t xml:space="preserve"> </w:t>
      </w:r>
      <w:r>
        <w:rPr>
          <w:iCs/>
          <w:i/>
        </w:rPr>
        <w:t xml:space="preserve">Daily Telegraph</w:t>
      </w:r>
      <w:r>
        <w:t xml:space="preserve"> </w:t>
      </w:r>
      <w:r>
        <w:t xml:space="preserve">du lendemain :</w:t>
      </w:r>
      <w:r>
        <w:t xml:space="preserve"> </w:t>
      </w:r>
      <w:r>
        <w:rPr>
          <w:bCs/>
          <w:b/>
        </w:rPr>
        <w:t xml:space="preserve">Barack Obama snobe Gordon Brown</w:t>
      </w:r>
      <w:r>
        <w:t xml:space="preserve"> </w:t>
      </w:r>
      <w:r>
        <w:t xml:space="preserve">lors de l’Assemblée générale de l’ONU à New York. Downing Street a tenté</w:t>
      </w:r>
      <w:r>
        <w:t xml:space="preserve"> </w:t>
      </w:r>
      <w:r>
        <w:rPr>
          <w:iCs/>
          <w:i/>
        </w:rPr>
        <w:t xml:space="preserve">cinq fois</w:t>
      </w:r>
      <w:r>
        <w:t xml:space="preserve"> </w:t>
      </w:r>
      <w:r>
        <w:t xml:space="preserve">d’obtenir un entretien bilatéral officiel. Toutes les tentatives ont été repoussées. Brown a finalement eu droit à une</w:t>
      </w:r>
      <w:r>
        <w:t xml:space="preserve"> </w:t>
      </w:r>
      <w:r>
        <w:rPr>
          <w:iCs/>
          <w:i/>
        </w:rPr>
        <w:t xml:space="preserve">conversation volée</w:t>
      </w:r>
      <w:r>
        <w:t xml:space="preserve"> </w:t>
      </w:r>
      <w:r>
        <w:t xml:space="preserve">de quinze minutes dans la cuisine du siège de l’ONU, lors d’un départ de réunion.</w:t>
      </w:r>
    </w:p>
    <w:p>
      <w:pPr>
        <w:pStyle w:val="BodyText"/>
      </w:pPr>
      <w:r>
        <w:t xml:space="preserve">La raison : la libération d’</w:t>
      </w:r>
      <w:r>
        <w:rPr>
          <w:bCs/>
          <w:b/>
        </w:rPr>
        <w:t xml:space="preserve">Abdel Basset al-Megrahi</w:t>
      </w:r>
      <w:r>
        <w:t xml:space="preserve"> </w:t>
      </w:r>
      <w:r>
        <w:t xml:space="preserve">par le gouvernement écossais en août 2009. Obama avait exprimé sa</w:t>
      </w:r>
      <w:r>
        <w:t xml:space="preserve"> </w:t>
      </w:r>
      <w:r>
        <w:rPr>
          <w:iCs/>
          <w:i/>
        </w:rPr>
        <w:t xml:space="preserve">consternation</w:t>
      </w:r>
      <w:r>
        <w:t xml:space="preserve"> </w:t>
      </w:r>
      <w:r>
        <w:t xml:space="preserve">à Brown par téléphone. La relation spéciale anglo-américaine était</w:t>
      </w:r>
      <w:r>
        <w:t xml:space="preserve"> </w:t>
      </w:r>
      <w:r>
        <w:rPr>
          <w:iCs/>
          <w:i/>
        </w:rPr>
        <w:t xml:space="preserve">à son plus bas depuis vingt ans</w:t>
      </w:r>
      <w:r>
        <w:t xml:space="preserve">.</w:t>
      </w:r>
    </w:p>
    <w:p>
      <w:pPr>
        <w:pStyle w:val="BodyText"/>
      </w:pPr>
      <w:r>
        <w:t xml:space="preserve">Au même moment dans cet article, un détail passé inaperçu :</w:t>
      </w:r>
      <w:r>
        <w:t xml:space="preserve"> </w:t>
      </w:r>
      <w:r>
        <w:rPr>
          <w:bCs/>
          <w:b/>
        </w:rPr>
        <w:t xml:space="preserve">Kadhafi venait de prononcer son discours devant l’ONU</w:t>
      </w:r>
      <w:r>
        <w:t xml:space="preserve">. Son discours avait duré</w:t>
      </w:r>
      <w:r>
        <w:t xml:space="preserve"> </w:t>
      </w:r>
      <w:r>
        <w:rPr>
          <w:bCs/>
          <w:b/>
        </w:rPr>
        <w:t xml:space="preserve">96 minutes</w:t>
      </w:r>
      <w:r>
        <w:t xml:space="preserve"> </w:t>
      </w:r>
      <w:r>
        <w:t xml:space="preserve">— dépassant de loin son temps alloué — et avait décalé le calendrier de Brown, perturbant ses plans. Kadhafi à l’ONU en septembre 2009, interlocuteur</w:t>
      </w:r>
      <w:r>
        <w:t xml:space="preserve"> </w:t>
      </w:r>
      <w:r>
        <w:rPr>
          <w:iCs/>
          <w:i/>
        </w:rPr>
        <w:t xml:space="preserve">gênant mais toléré</w:t>
      </w:r>
      <w:r>
        <w:t xml:space="preserve">.</w:t>
      </w:r>
    </w:p>
    <w:p>
      <w:pPr>
        <w:pStyle w:val="BodyText"/>
      </w:pPr>
      <w:r>
        <w:t xml:space="preserve">Dix-huit mois plus tard, en mars 2011, ce même Kadhafi est</w:t>
      </w:r>
      <w:r>
        <w:t xml:space="preserve"> </w:t>
      </w:r>
      <w:r>
        <w:rPr>
          <w:iCs/>
          <w:i/>
        </w:rPr>
        <w:t xml:space="preserve">un dictateur sanguinaire dont le peuple doit être libéré</w:t>
      </w:r>
      <w:r>
        <w:t xml:space="preserve">.</w:t>
      </w:r>
    </w:p>
    <w:p>
      <w:pPr>
        <w:pStyle w:val="BodyText"/>
      </w:pPr>
      <w:r>
        <w:t xml:space="preserve">Ce câble illustre la continuité des dossiers qui s’entremêlent : Lockerbie, la libération de Megrahi, les tensions UK-US, Kadhafi reçu à l’ONU, puis Kadhafi bombardé. Les mêmes acteurs, les mêmes dossiers, une rupture de décision survenant en quelques semaines.</w:t>
      </w:r>
    </w:p>
    <w:bookmarkEnd w:id="297"/>
    <w:bookmarkEnd w:id="298"/>
    <w:bookmarkStart w:id="302" w:name="épilogue-octobre-2011"/>
    <w:p>
      <w:pPr>
        <w:pStyle w:val="Heading2"/>
      </w:pPr>
      <w:r>
        <w:t xml:space="preserve">Épilogue : octobre 2011</w:t>
      </w:r>
    </w:p>
    <w:p>
      <w:pPr>
        <w:pStyle w:val="FirstParagraph"/>
      </w:pPr>
      <w:r>
        <w:t xml:space="preserve">Deux mois plus tard,</w:t>
      </w:r>
      <w:r>
        <w:t xml:space="preserve"> </w:t>
      </w:r>
      <w:r>
        <w:rPr>
          <w:bCs/>
          <w:b/>
        </w:rPr>
        <w:t xml:space="preserve">Kadhafi est tué</w:t>
      </w:r>
      <w:r>
        <w:t xml:space="preserve"> </w:t>
      </w:r>
      <w:r>
        <w:t xml:space="preserve">lors de sa fuite de Sirte, le</w:t>
      </w:r>
      <w:r>
        <w:t xml:space="preserve"> </w:t>
      </w:r>
      <w:r>
        <w:rPr>
          <w:bCs/>
          <w:b/>
        </w:rPr>
        <w:t xml:space="preserve">20 octobre 2011</w:t>
      </w:r>
      <w:r>
        <w:t xml:space="preserve">. Il ne mourra pas en martyr sur le sol libyen comme il l’avait promis. Il meurt sodomisé à la baïonnette dans une égout, capturé par les rebelles que l’Occident avait organisés, formés, armés.</w:t>
      </w:r>
    </w:p>
    <w:p>
      <w:pPr>
        <w:pStyle w:val="BodyText"/>
      </w:pPr>
      <w:r>
        <w:rPr>
          <w:bCs/>
          <w:b/>
        </w:rPr>
        <w:t xml:space="preserve">Seven months</w:t>
      </w:r>
      <w:r>
        <w:t xml:space="preserve"> </w:t>
      </w:r>
      <w:r>
        <w:t xml:space="preserve">— de la déclaration de Clinton à Paris en mars 2011 au cadavre de Kadhafi en octobre 2011.</w:t>
      </w:r>
    </w:p>
    <w:bookmarkStart w:id="299" w:name="le-bilan-réel"/>
    <w:p>
      <w:pPr>
        <w:pStyle w:val="Heading3"/>
      </w:pPr>
      <w:r>
        <w:t xml:space="preserve">Le bilan réel</w:t>
      </w:r>
    </w:p>
    <w:p>
      <w:pPr>
        <w:numPr>
          <w:ilvl w:val="0"/>
          <w:numId w:val="1018"/>
        </w:numPr>
        <w:pStyle w:val="Compact"/>
      </w:pPr>
      <w:r>
        <w:rPr>
          <w:bCs/>
          <w:b/>
        </w:rPr>
        <w:t xml:space="preserve">Libye</w:t>
      </w:r>
      <w:r>
        <w:t xml:space="preserve">, 2011-2026 : guerre civile ininterrompue, État effondré, trafic d’armes alimentant le Sahel entier</w:t>
      </w:r>
    </w:p>
    <w:p>
      <w:pPr>
        <w:numPr>
          <w:ilvl w:val="0"/>
          <w:numId w:val="1018"/>
        </w:numPr>
        <w:pStyle w:val="Compact"/>
      </w:pPr>
      <w:r>
        <w:rPr>
          <w:bCs/>
          <w:b/>
        </w:rPr>
        <w:t xml:space="preserve">Mali</w:t>
      </w:r>
      <w:r>
        <w:t xml:space="preserve">, 2012+ : coup d’État, intervention française Serval/Barkhane, terrorisme incontrôlé</w:t>
      </w:r>
    </w:p>
    <w:p>
      <w:pPr>
        <w:numPr>
          <w:ilvl w:val="0"/>
          <w:numId w:val="1018"/>
        </w:numPr>
        <w:pStyle w:val="Compact"/>
      </w:pPr>
      <w:r>
        <w:rPr>
          <w:bCs/>
          <w:b/>
        </w:rPr>
        <w:t xml:space="preserve">Sahel</w:t>
      </w:r>
      <w:r>
        <w:t xml:space="preserve">, 2012-2026 : destabilisation en cascade liée directement à l’effondrement libyen</w:t>
      </w:r>
    </w:p>
    <w:p>
      <w:pPr>
        <w:numPr>
          <w:ilvl w:val="0"/>
          <w:numId w:val="1018"/>
        </w:numPr>
        <w:pStyle w:val="Compact"/>
      </w:pPr>
      <w:r>
        <w:rPr>
          <w:bCs/>
          <w:b/>
        </w:rPr>
        <w:t xml:space="preserve">Meurtre de Kadhafi</w:t>
      </w:r>
      <w:r>
        <w:t xml:space="preserve"> </w:t>
      </w:r>
      <w:r>
        <w:t xml:space="preserve">: présenté comme</w:t>
      </w:r>
      <w:r>
        <w:t xml:space="preserve"> </w:t>
      </w:r>
      <w:r>
        <w:rPr>
          <w:iCs/>
          <w:i/>
        </w:rPr>
        <w:t xml:space="preserve">victoire démocratique</w:t>
      </w:r>
      <w:r>
        <w:t xml:space="preserve">, réalité : exécution extra-judiciaire filmée, diffusée, célébrée</w:t>
      </w:r>
    </w:p>
    <w:bookmarkEnd w:id="299"/>
    <w:bookmarkStart w:id="300" w:name="ce-que-le-dossier-f-2014-20439-révèle"/>
    <w:p>
      <w:pPr>
        <w:pStyle w:val="Heading3"/>
      </w:pPr>
      <w:r>
        <w:t xml:space="preserve">Ce que le dossier F-2014-20439 révèle</w:t>
      </w:r>
    </w:p>
    <w:p>
      <w:pPr>
        <w:pStyle w:val="FirstParagraph"/>
      </w:pPr>
      <w:r>
        <w:t xml:space="preserve">Ces câbles déclassifiés montrent que :</w:t>
      </w:r>
    </w:p>
    <w:p>
      <w:pPr>
        <w:numPr>
          <w:ilvl w:val="0"/>
          <w:numId w:val="1019"/>
        </w:numPr>
        <w:pStyle w:val="Compact"/>
      </w:pPr>
      <w:r>
        <w:rPr>
          <w:bCs/>
          <w:b/>
        </w:rPr>
        <w:t xml:space="preserve">La décision a pris trois semaines</w:t>
      </w:r>
      <w:r>
        <w:t xml:space="preserve"> </w:t>
      </w:r>
      <w:r>
        <w:t xml:space="preserve">(début mars → 15 mars) — pas une longue délibération</w:t>
      </w:r>
    </w:p>
    <w:p>
      <w:pPr>
        <w:numPr>
          <w:ilvl w:val="0"/>
          <w:numId w:val="1019"/>
        </w:numPr>
        <w:pStyle w:val="Compact"/>
      </w:pPr>
      <w:r>
        <w:rPr>
          <w:bCs/>
          <w:b/>
        </w:rPr>
        <w:t xml:space="preserve">Les négociations ont été ignorées</w:t>
      </w:r>
      <w:r>
        <w:t xml:space="preserve"> </w:t>
      </w:r>
      <w:r>
        <w:t xml:space="preserve">(Saïf al-Islam proposa un cessez-le-feu le 25 février)</w:t>
      </w:r>
    </w:p>
    <w:p>
      <w:pPr>
        <w:numPr>
          <w:ilvl w:val="0"/>
          <w:numId w:val="1019"/>
        </w:numPr>
        <w:pStyle w:val="Compact"/>
      </w:pPr>
      <w:r>
        <w:rPr>
          <w:bCs/>
          <w:b/>
        </w:rPr>
        <w:t xml:space="preserve">Les paramilitaires occidentaux étaient déjà présents</w:t>
      </w:r>
      <w:r>
        <w:t xml:space="preserve"> </w:t>
      </w:r>
      <w:r>
        <w:t xml:space="preserve">avant le mandat ONU</w:t>
      </w:r>
    </w:p>
    <w:p>
      <w:pPr>
        <w:numPr>
          <w:ilvl w:val="0"/>
          <w:numId w:val="1019"/>
        </w:numPr>
        <w:pStyle w:val="Compact"/>
      </w:pPr>
      <w:r>
        <w:rPr>
          <w:bCs/>
          <w:b/>
        </w:rPr>
        <w:t xml:space="preserve">La limite officielle</w:t>
      </w:r>
      <w:r>
        <w:t xml:space="preserve"> </w:t>
      </w:r>
      <w:r>
        <w:t xml:space="preserve">(protection des civils) a vite été dépassée</w:t>
      </w:r>
    </w:p>
    <w:p>
      <w:pPr>
        <w:numPr>
          <w:ilvl w:val="0"/>
          <w:numId w:val="1019"/>
        </w:numPr>
        <w:pStyle w:val="Compact"/>
      </w:pPr>
      <w:r>
        <w:rPr>
          <w:bCs/>
          <w:b/>
        </w:rPr>
        <w:t xml:space="preserve">Le modèle libyen a été exporté</w:t>
      </w:r>
      <w:r>
        <w:t xml:space="preserve"> </w:t>
      </w:r>
      <w:r>
        <w:t xml:space="preserve">(Syrie, tentatives RCA, autres) — avec des résultats catastrophiques systématiques</w:t>
      </w:r>
    </w:p>
    <w:bookmarkEnd w:id="300"/>
    <w:bookmarkStart w:id="301" w:name="conclusion-du-chapitre"/>
    <w:p>
      <w:pPr>
        <w:pStyle w:val="Heading3"/>
      </w:pPr>
      <w:r>
        <w:t xml:space="preserve">Conclusion du chapitre</w:t>
      </w:r>
    </w:p>
    <w:p>
      <w:pPr>
        <w:pStyle w:val="FirstParagraph"/>
      </w:pPr>
      <w:r>
        <w:t xml:space="preserve">La Libye 2011 n’est pas un cas de</w:t>
      </w:r>
      <w:r>
        <w:t xml:space="preserve"> </w:t>
      </w:r>
      <w:r>
        <w:t xml:space="preserve">“</w:t>
      </w:r>
      <w:r>
        <w:t xml:space="preserve">intervention humanitaire qui a mal tourné</w:t>
      </w:r>
      <w:r>
        <w:t xml:space="preserve">”</w:t>
      </w:r>
      <w:r>
        <w:t xml:space="preserve">. C’est un cas d’intervention dont les catastrophes suivantes</w:t>
      </w:r>
      <w:r>
        <w:t xml:space="preserve"> </w:t>
      </w:r>
      <w:r>
        <w:rPr>
          <w:bCs/>
          <w:b/>
        </w:rPr>
        <w:t xml:space="preserve">étaient prédictibles</w:t>
      </w:r>
      <w:r>
        <w:t xml:space="preserve"> </w:t>
      </w:r>
      <w:r>
        <w:t xml:space="preserve">et</w:t>
      </w:r>
      <w:r>
        <w:t xml:space="preserve"> </w:t>
      </w:r>
      <w:r>
        <w:rPr>
          <w:bCs/>
          <w:b/>
        </w:rPr>
        <w:t xml:space="preserve">ont été prédites</w:t>
      </w:r>
      <w:r>
        <w:t xml:space="preserve"> </w:t>
      </w:r>
      <w:r>
        <w:t xml:space="preserve">— notamment par Lord Owen et d’autres analystes — mais ont eu lieu quand même parce que la priorité n’était pas de protéger les civils libyens, mais de</w:t>
      </w:r>
      <w:r>
        <w:t xml:space="preserve"> </w:t>
      </w:r>
      <w:r>
        <w:rPr>
          <w:bCs/>
          <w:b/>
        </w:rPr>
        <w:t xml:space="preserve">renverser Kadhafi</w:t>
      </w:r>
      <w:r>
        <w:t xml:space="preserve">.</w:t>
      </w:r>
    </w:p>
    <w:p>
      <w:pPr>
        <w:pStyle w:val="BodyText"/>
      </w:pPr>
      <w:r>
        <w:t xml:space="preserve">La Libye a payé le prix de cette décision. Le Sahel l’a payé pendant 15 ans.</w:t>
      </w:r>
    </w:p>
    <w:p>
      <w:pPr>
        <w:pStyle w:val="BodyText"/>
      </w:pPr>
      <w:r>
        <w:rPr>
          <w:iCs/>
          <w:i/>
        </w:rPr>
        <w:t xml:space="preserve">À rapprocher de : Chapitre 11 — La crise libyenne ; Chapitre 16 — Mali : la première rupture ; Chapitre 20 — La guerre proxy ; Chapitre 50 — Mali : le 25 avril 2026.</w:t>
      </w:r>
    </w:p>
    <w:p>
      <w:r>
        <w:pict>
          <v:rect style="width:0;height:1.5pt" o:hralign="center" o:hrstd="t" o:hr="t"/>
        </w:pict>
      </w:r>
    </w:p>
    <w:bookmarkEnd w:id="301"/>
    <w:bookmarkEnd w:id="302"/>
    <w:bookmarkEnd w:id="303"/>
    <w:bookmarkStart w:id="309" w:name="X4389a171d763cf5b4446b48c14234271034f4c9"/>
    <w:p>
      <w:pPr>
        <w:pStyle w:val="Heading1"/>
      </w:pPr>
      <w:r>
        <w:t xml:space="preserve">Chapitre — Côte d’Ivoire : Guillaume Soro s’explique — la rébellion, Ouattara et la France</w:t>
      </w:r>
    </w:p>
    <w:p>
      <w:pPr>
        <w:pStyle w:val="FirstParagraph"/>
      </w:pPr>
      <w:r>
        <w:rPr>
          <w:bCs/>
          <w:b/>
        </w:rPr>
        <w:t xml:space="preserve">par Hermann le Patriote</w:t>
      </w:r>
    </w:p>
    <w:p>
      <w:pPr>
        <w:pStyle w:val="BodyText"/>
      </w:pPr>
      <w:r>
        <w:rPr>
          <w:iCs/>
          <w:i/>
        </w:rPr>
        <w:t xml:space="preserve">Source primaire : Analyse et commentaire de</w:t>
      </w:r>
      <w:r>
        <w:rPr>
          <w:iCs/>
          <w:i/>
        </w:rPr>
        <w:t xml:space="preserve"> </w:t>
      </w:r>
      <w:r>
        <w:rPr>
          <w:bCs/>
          <w:b/>
          <w:iCs/>
          <w:i/>
        </w:rPr>
        <w:t xml:space="preserve">Hermann le Patriote</w:t>
      </w:r>
      <w:r>
        <w:rPr>
          <w:iCs/>
          <w:i/>
        </w:rPr>
        <w:t xml:space="preserve"> </w:t>
      </w:r>
      <w:r>
        <w:rPr>
          <w:iCs/>
          <w:i/>
        </w:rPr>
        <w:t xml:space="preserve">— direct YouTube, veille de Noël 2024. Matériau central : interview de Guillaume Soro sur Espace TV Guinée (postée il y a environ 4 ans). Croisement avec documents déclassifiés US dossier F-2014-20439.</w:t>
      </w:r>
    </w:p>
    <w:bookmarkStart w:id="304" w:name="pourquoi-ce-document"/>
    <w:p>
      <w:pPr>
        <w:pStyle w:val="Heading2"/>
      </w:pPr>
      <w:r>
        <w:t xml:space="preserve">Pourquoi ce document</w:t>
      </w:r>
    </w:p>
    <w:p>
      <w:pPr>
        <w:pStyle w:val="FirstParagraph"/>
      </w:pPr>
      <w:r>
        <w:t xml:space="preserve">Le chapitre précédent documente, à travers les câbles Clinton déclassifiés, comment l’intervention française en Côte d’Ivoire en avril 2011 a été explicitement interprétée — à l’intérieur même du Département d’État américain — comme un</w:t>
      </w:r>
      <w:r>
        <w:t xml:space="preserve"> </w:t>
      </w:r>
      <w:r>
        <w:rPr>
          <w:bCs/>
          <w:b/>
        </w:rPr>
        <w:t xml:space="preserve">message à Kadhafi</w:t>
      </w:r>
      <w:r>
        <w:t xml:space="preserve"> </w:t>
      </w:r>
      <w:r>
        <w:t xml:space="preserve">:</w:t>
      </w:r>
      <w:r>
        <w:t xml:space="preserve"> </w:t>
      </w:r>
      <w:r>
        <w:rPr>
          <w:iCs/>
          <w:i/>
        </w:rPr>
        <w:t xml:space="preserve">« Hello Tripoli. »</w:t>
      </w:r>
    </w:p>
    <w:p>
      <w:pPr>
        <w:pStyle w:val="BodyText"/>
      </w:pPr>
      <w:r>
        <w:t xml:space="preserve">Ce chapitre remonte en amont : qui a fait la rébellion ivoirienne de 2002 ? Pourquoi ? Au profit de qui ? Et que révèle, quinze ans plus tard, celui qui l’a menée ?</w:t>
      </w:r>
    </w:p>
    <w:p>
      <w:pPr>
        <w:pStyle w:val="BodyText"/>
      </w:pPr>
      <w:r>
        <w:rPr>
          <w:bCs/>
          <w:b/>
        </w:rPr>
        <w:t xml:space="preserve">Guillaume Soro</w:t>
      </w:r>
      <w:r>
        <w:t xml:space="preserve"> </w:t>
      </w:r>
      <w:r>
        <w:t xml:space="preserve">— secrétaire général des Forces Nouvelles, chef rebelle qui contrôlait 60 % du territoire ivoirien de 2002 à 2011, puis Premier ministre, puis président de l’Assemblée nationale de Côte d’Ivoire — s’est expliqué dans une interview accordée à Espace TV Guinée. Cette interview, postée il y a quatre ans, contient des aveux qui reconfigurent la lecture de la crise ivoirienne et de ses connexions régionales.</w:t>
      </w:r>
    </w:p>
    <w:bookmarkEnd w:id="304"/>
    <w:bookmarkStart w:id="305" w:name="X362af58c2507abade7872229fc7ff18e00369a0"/>
    <w:p>
      <w:pPr>
        <w:pStyle w:val="Heading2"/>
      </w:pPr>
      <w:r>
        <w:t xml:space="preserve">II. Les trois deals — ce que Soro a dit en janvier</w:t>
      </w:r>
    </w:p>
    <w:p>
      <w:pPr>
        <w:pStyle w:val="FirstParagraph"/>
      </w:pPr>
      <w:r>
        <w:t xml:space="preserve">Avant l’interview Espace TV, Soro avait organisé une conférence de presse en France en janvier (même année) où il avait évoqué</w:t>
      </w:r>
      <w:r>
        <w:t xml:space="preserve"> </w:t>
      </w:r>
      <w:r>
        <w:rPr>
          <w:bCs/>
          <w:b/>
        </w:rPr>
        <w:t xml:space="preserve">trois engagements</w:t>
      </w:r>
      <w:r>
        <w:t xml:space="preserve"> </w:t>
      </w:r>
      <w:r>
        <w:t xml:space="preserve">pris par Ouattara à son égard :</w:t>
      </w:r>
    </w:p>
    <w:p>
      <w:pPr>
        <w:numPr>
          <w:ilvl w:val="0"/>
          <w:numId w:val="1020"/>
        </w:numPr>
        <w:pStyle w:val="Compact"/>
      </w:pPr>
      <w:r>
        <w:rPr>
          <w:bCs/>
          <w:b/>
        </w:rPr>
        <w:t xml:space="preserve">La vice-présidence</w:t>
      </w:r>
      <w:r>
        <w:t xml:space="preserve"> </w:t>
      </w:r>
      <w:r>
        <w:t xml:space="preserve">— un poste créé spécifiquement pour lui, qui devait lui permettre d’accéder ensuite à la présidence</w:t>
      </w:r>
    </w:p>
    <w:p>
      <w:pPr>
        <w:numPr>
          <w:ilvl w:val="0"/>
          <w:numId w:val="1020"/>
        </w:numPr>
        <w:pStyle w:val="Compact"/>
      </w:pPr>
      <w:r>
        <w:rPr>
          <w:bCs/>
          <w:b/>
        </w:rPr>
        <w:t xml:space="preserve">La succession</w:t>
      </w:r>
      <w:r>
        <w:t xml:space="preserve"> </w:t>
      </w:r>
      <w:r>
        <w:t xml:space="preserve">— Ouattara devait lui passer le pouvoir après son mandat</w:t>
      </w:r>
    </w:p>
    <w:p>
      <w:pPr>
        <w:numPr>
          <w:ilvl w:val="0"/>
          <w:numId w:val="1020"/>
        </w:numPr>
        <w:pStyle w:val="Compact"/>
      </w:pPr>
      <w:r>
        <w:rPr>
          <w:bCs/>
          <w:b/>
        </w:rPr>
        <w:t xml:space="preserve">La réintégration politique</w:t>
      </w:r>
      <w:r>
        <w:t xml:space="preserve"> </w:t>
      </w:r>
      <w:r>
        <w:t xml:space="preserve">— retour garanti au premier plan de l’échiquier ivoirien</w:t>
      </w:r>
    </w:p>
    <w:p>
      <w:pPr>
        <w:pStyle w:val="FirstParagraph"/>
      </w:pPr>
      <w:r>
        <w:t xml:space="preserve">Dans l’interview guinéenne, confronté à ces déclarations antérieures, Soro recule :</w:t>
      </w:r>
    </w:p>
    <w:p>
      <w:pPr>
        <w:pStyle w:val="BlockText"/>
      </w:pPr>
      <w:r>
        <w:rPr>
          <w:iCs/>
          <w:i/>
        </w:rPr>
        <w:t xml:space="preserve">« Il faut que j’aie besoin de repréciser les choses… »</w:t>
      </w:r>
    </w:p>
    <w:p>
      <w:pPr>
        <w:pStyle w:val="FirstParagraph"/>
      </w:pPr>
      <w:r>
        <w:t xml:space="preserve">Les journalistes guinéens ne lâchent pas :</w:t>
      </w:r>
    </w:p>
    <w:p>
      <w:pPr>
        <w:pStyle w:val="BlockText"/>
      </w:pPr>
      <w:r>
        <w:rPr>
          <w:iCs/>
          <w:i/>
        </w:rPr>
        <w:t xml:space="preserve">Mais vous avez dit ces trois choses clairement en janvier, monsieur le Président. Qu’est-ce qui a changé ?</w:t>
      </w:r>
    </w:p>
    <w:p>
      <w:pPr>
        <w:pStyle w:val="FirstParagraph"/>
      </w:pPr>
      <w:r>
        <w:t xml:space="preserve">Soro ne répond pas directement. Il esquive vers la temporalité —</w:t>
      </w:r>
      <w:r>
        <w:t xml:space="preserve"> </w:t>
      </w:r>
      <w:r>
        <w:rPr>
          <w:iCs/>
          <w:i/>
        </w:rPr>
        <w:t xml:space="preserve">le deal n’est intervenu qu’en 2006</w:t>
      </w:r>
      <w:r>
        <w:t xml:space="preserve"> </w:t>
      </w:r>
      <w:r>
        <w:t xml:space="preserve">— sans nier son existence.</w:t>
      </w:r>
    </w:p>
    <w:p>
      <w:pPr>
        <w:pStyle w:val="BodyText"/>
      </w:pPr>
      <w:r>
        <w:rPr>
          <w:bCs/>
          <w:b/>
        </w:rPr>
        <w:t xml:space="preserve">Ce que révèle cet épisode</w:t>
      </w:r>
      <w:r>
        <w:t xml:space="preserve"> </w:t>
      </w:r>
      <w:r>
        <w:t xml:space="preserve">: en palabre avec Ouattara au moment de l’interview guinéenne (il est en exil depuis 2019 mais les négociations se poursuivent), Soro choisit de ne pas brûler les ponts publiquement. Les journalistes identifient cette posture :</w:t>
      </w:r>
    </w:p>
    <w:p>
      <w:pPr>
        <w:pStyle w:val="BlockText"/>
      </w:pPr>
      <w:r>
        <w:rPr>
          <w:iCs/>
          <w:i/>
        </w:rPr>
        <w:t xml:space="preserve">« Malgré qu’il y a palabre entre les deux, il venait encore pour défendre Draman Ouattara. […] Ça veut dire la réconciliation peut sortir de là. Il va vous trahir et puis va se retrouver au RDR. »</w:t>
      </w:r>
    </w:p>
    <w:bookmarkEnd w:id="305"/>
    <w:bookmarkStart w:id="306" w:name="iv.-livoirité-ce-que-soro-na-pas-dit"/>
    <w:p>
      <w:pPr>
        <w:pStyle w:val="Heading2"/>
      </w:pPr>
      <w:r>
        <w:t xml:space="preserve">IV. L’ivoirité — ce que Soro n’a pas dit</w:t>
      </w:r>
    </w:p>
    <w:p>
      <w:pPr>
        <w:pStyle w:val="FirstParagraph"/>
      </w:pPr>
      <w:r>
        <w:t xml:space="preserve">Soro présente l’ivoirité comme une exclusion politique injuste ciblant les Nordistes et les communautés d’ascendance sahélienne. Il compare Bédié à Donald Trump — mais pour s’en démarquer :</w:t>
      </w:r>
    </w:p>
    <w:p>
      <w:pPr>
        <w:pStyle w:val="BlockText"/>
      </w:pPr>
      <w:r>
        <w:rPr>
          <w:iCs/>
          <w:i/>
        </w:rPr>
        <w:t xml:space="preserve">« Si c’était le cas, pourquoi Bédié n’a pas chassé tous les étrangers ? Ce n’était pas ça. C’était simplement : consommons ivoirien. »</w:t>
      </w:r>
    </w:p>
    <w:p>
      <w:pPr>
        <w:pStyle w:val="FirstParagraph"/>
      </w:pPr>
      <w:r>
        <w:rPr>
          <w:bCs/>
          <w:b/>
        </w:rPr>
        <w:t xml:space="preserve">Ce que cette lecture occulte</w:t>
      </w:r>
      <w:r>
        <w:t xml:space="preserve"> </w:t>
      </w:r>
      <w:r>
        <w:t xml:space="preserve">: l’ivoirité était une réponse, maladroite et discriminatoire, à une réalité démographique et électorale — des millions de ressortissants étrangers (Burkinabés, Maliens, Guinéens) vivant en Côte d’Ivoire depuis des décennies, souvent depuis des générations, dont le statut électoral était flou. L’exclusion d’Ouattara de la candidature présidentielle — il ne pouvait fournir de certificat de nationalité ivoirienne — n’était pas une invention de Bédié : c’était l’application d’une loi sur la nationalité.</w:t>
      </w:r>
    </w:p>
    <w:p>
      <w:pPr>
        <w:pStyle w:val="BodyText"/>
      </w:pPr>
      <w:r>
        <w:rPr>
          <w:bCs/>
          <w:b/>
        </w:rPr>
        <w:t xml:space="preserve">Ce que révèle l’exil de Soro</w:t>
      </w:r>
      <w:r>
        <w:t xml:space="preserve"> </w:t>
      </w:r>
      <w:r>
        <w:t xml:space="preserve">: aujourd’hui au Niger, ayant quitté la Côte d’Ivoire fin 2019 après l’annonce de son arrestation pour</w:t>
      </w:r>
      <w:r>
        <w:t xml:space="preserve"> </w:t>
      </w:r>
      <w:r>
        <w:rPr>
          <w:iCs/>
          <w:i/>
        </w:rPr>
        <w:t xml:space="preserve">complot contre l’État</w:t>
      </w:r>
      <w:r>
        <w:t xml:space="preserve">, Soro est l’archétype du chef de guerre instrumentalisé et abandonné. Celui qu’il présente comme son</w:t>
      </w:r>
      <w:r>
        <w:t xml:space="preserve"> </w:t>
      </w:r>
      <w:r>
        <w:rPr>
          <w:iCs/>
          <w:i/>
        </w:rPr>
        <w:t xml:space="preserve">idéal</w:t>
      </w:r>
      <w:r>
        <w:t xml:space="preserve"> </w:t>
      </w:r>
      <w:r>
        <w:t xml:space="preserve">— Ouattara — a signé son mandat d’arrêt.</w:t>
      </w:r>
    </w:p>
    <w:bookmarkEnd w:id="306"/>
    <w:bookmarkStart w:id="307" w:name="vi.-le-lien-avec-le-sahel"/>
    <w:p>
      <w:pPr>
        <w:pStyle w:val="Heading2"/>
      </w:pPr>
      <w:r>
        <w:t xml:space="preserve">VI. Le lien avec le Sahel</w:t>
      </w:r>
    </w:p>
    <w:p>
      <w:pPr>
        <w:pStyle w:val="FirstParagraph"/>
      </w:pPr>
      <w:r>
        <w:t xml:space="preserve">Ce chapitre n’est pas une digression. Il est le chaînon manquant entre la logique du chapitre libyen (Chapitre 54) et la déstabilisation du Sahel.</w:t>
      </w:r>
    </w:p>
    <w:p>
      <w:pPr>
        <w:pStyle w:val="BodyText"/>
      </w:pPr>
      <w:r>
        <w:rPr>
          <w:bCs/>
          <w:b/>
        </w:rPr>
        <w:t xml:space="preserve">La séquence</w:t>
      </w:r>
      <w:r>
        <w:t xml:space="preserve"> </w:t>
      </w:r>
      <w:r>
        <w:t xml:space="preserve">:</w:t>
      </w:r>
    </w:p>
    <w:p>
      <w:pPr>
        <w:numPr>
          <w:ilvl w:val="0"/>
          <w:numId w:val="1021"/>
        </w:numPr>
        <w:pStyle w:val="Compact"/>
      </w:pPr>
      <w:r>
        <w:rPr>
          <w:bCs/>
          <w:b/>
        </w:rPr>
        <w:t xml:space="preserve">2002</w:t>
      </w:r>
      <w:r>
        <w:t xml:space="preserve"> </w:t>
      </w:r>
      <w:r>
        <w:t xml:space="preserve">: Rébellion des Forces Nouvelles en Côte d’Ivoire. Soro prend le Nord. La France neutralise l’armée de l’air ivoirienne.</w:t>
      </w:r>
    </w:p>
    <w:p>
      <w:pPr>
        <w:numPr>
          <w:ilvl w:val="0"/>
          <w:numId w:val="1021"/>
        </w:numPr>
        <w:pStyle w:val="Compact"/>
      </w:pPr>
      <w:r>
        <w:rPr>
          <w:bCs/>
          <w:b/>
        </w:rPr>
        <w:t xml:space="preserve">2004</w:t>
      </w:r>
      <w:r>
        <w:t xml:space="preserve"> </w:t>
      </w:r>
      <w:r>
        <w:t xml:space="preserve">: Incident de Bouaké — destruction officielle des forces aériennes de Gbagbo.</w:t>
      </w:r>
    </w:p>
    <w:p>
      <w:pPr>
        <w:numPr>
          <w:ilvl w:val="0"/>
          <w:numId w:val="1021"/>
        </w:numPr>
        <w:pStyle w:val="Compact"/>
      </w:pPr>
      <w:r>
        <w:rPr>
          <w:bCs/>
          <w:b/>
        </w:rPr>
        <w:t xml:space="preserve">2010-2011</w:t>
      </w:r>
      <w:r>
        <w:t xml:space="preserve"> </w:t>
      </w:r>
      <w:r>
        <w:t xml:space="preserve">: Élections contestées, deuxième intervention française directe, capture de Gbagbo avec l’aide des forces de l’ONU et de la France (opération Licorne).</w:t>
      </w:r>
    </w:p>
    <w:p>
      <w:pPr>
        <w:numPr>
          <w:ilvl w:val="0"/>
          <w:numId w:val="1021"/>
        </w:numPr>
        <w:pStyle w:val="Compact"/>
      </w:pPr>
      <w:r>
        <w:rPr>
          <w:bCs/>
          <w:b/>
        </w:rPr>
        <w:t xml:space="preserve">Avril 2011</w:t>
      </w:r>
      <w:r>
        <w:t xml:space="preserve"> </w:t>
      </w:r>
      <w:r>
        <w:t xml:space="preserve">: Gbagbo arrêté. Ouattara au pouvoir. Les analystes du Département d’État américain notent que c’est un</w:t>
      </w:r>
      <w:r>
        <w:t xml:space="preserve"> </w:t>
      </w:r>
      <w:r>
        <w:rPr>
          <w:iCs/>
          <w:i/>
        </w:rPr>
        <w:t xml:space="preserve">« Hello Tripoli »</w:t>
      </w:r>
      <w:r>
        <w:t xml:space="preserve"> </w:t>
      </w:r>
      <w:r>
        <w:t xml:space="preserve">— un message à Kadhafi.</w:t>
      </w:r>
    </w:p>
    <w:p>
      <w:pPr>
        <w:numPr>
          <w:ilvl w:val="0"/>
          <w:numId w:val="1021"/>
        </w:numPr>
        <w:pStyle w:val="Compact"/>
      </w:pPr>
      <w:r>
        <w:rPr>
          <w:bCs/>
          <w:b/>
        </w:rPr>
        <w:t xml:space="preserve">Mars-octobre 2011</w:t>
      </w:r>
      <w:r>
        <w:t xml:space="preserve"> </w:t>
      </w:r>
      <w:r>
        <w:t xml:space="preserve">: Intervention en Libye. Kadhafi tué.</w:t>
      </w:r>
    </w:p>
    <w:p>
      <w:pPr>
        <w:numPr>
          <w:ilvl w:val="0"/>
          <w:numId w:val="1021"/>
        </w:numPr>
        <w:pStyle w:val="Compact"/>
      </w:pPr>
      <w:r>
        <w:rPr>
          <w:bCs/>
          <w:b/>
        </w:rPr>
        <w:t xml:space="preserve">2012</w:t>
      </w:r>
      <w:r>
        <w:t xml:space="preserve"> </w:t>
      </w:r>
      <w:r>
        <w:t xml:space="preserve">: Effondrement du Mali, retour des combattants touareg armés de Libye.</w:t>
      </w:r>
    </w:p>
    <w:p>
      <w:pPr>
        <w:pStyle w:val="FirstParagraph"/>
      </w:pPr>
      <w:r>
        <w:t xml:space="preserve">La Côte d’Ivoire est</w:t>
      </w:r>
      <w:r>
        <w:t xml:space="preserve"> </w:t>
      </w:r>
      <w:r>
        <w:rPr>
          <w:bCs/>
          <w:b/>
        </w:rPr>
        <w:t xml:space="preserve">le modèle</w:t>
      </w:r>
      <w:r>
        <w:t xml:space="preserve"> </w:t>
      </w:r>
      <w:r>
        <w:t xml:space="preserve">qui préfigure la Libye. Même structure : rébellion interne, neutralisation de l’armée régulière par la France, intervention finale décisive, changement de régime présenté comme victoire démocratique.</w:t>
      </w:r>
    </w:p>
    <w:p>
      <w:pPr>
        <w:pStyle w:val="BodyText"/>
      </w:pPr>
      <w:r>
        <w:t xml:space="preserve">Soro est à la rébellion ivoirienne ce que le CNL (Conseil National Libyen) est à la rébellion libyenne : l’instrument local d’un changement de régime dont les bénéficiaires réels sont ailleurs.</w:t>
      </w:r>
    </w:p>
    <w:bookmarkEnd w:id="307"/>
    <w:bookmarkStart w:id="308" w:name="conclusion"/>
    <w:p>
      <w:pPr>
        <w:pStyle w:val="Heading2"/>
      </w:pPr>
      <w:r>
        <w:t xml:space="preserve">Conclusion</w:t>
      </w:r>
    </w:p>
    <w:p>
      <w:pPr>
        <w:pStyle w:val="FirstParagraph"/>
      </w:pPr>
      <w:r>
        <w:t xml:space="preserve">L’interview de Guillaume Soro sur Espace TV Guinée n’est pas un document de première importance au sens des câbles diplomatiques déclassifiés. C’est quelque chose de différent : la parole d’un acteur central qui, à distance de quinze ans, tente de réécrire son rôle sans pouvoir en effacer les traces.</w:t>
      </w:r>
    </w:p>
    <w:p>
      <w:pPr>
        <w:pStyle w:val="BodyText"/>
      </w:pPr>
      <w:r>
        <w:t xml:space="preserve">Ce qu’il dit confirme l’essentiel :</w:t>
      </w:r>
      <w:r>
        <w:t xml:space="preserve"> </w:t>
      </w:r>
      <w:r>
        <w:t xml:space="preserve">- Il y avait un</w:t>
      </w:r>
      <w:r>
        <w:t xml:space="preserve"> </w:t>
      </w:r>
      <w:r>
        <w:rPr>
          <w:iCs/>
          <w:i/>
        </w:rPr>
        <w:t xml:space="preserve">deal</w:t>
      </w:r>
      <w:r>
        <w:t xml:space="preserve"> </w:t>
      </w:r>
      <w:r>
        <w:t xml:space="preserve">— même si le mot le gêne</w:t>
      </w:r>
      <w:r>
        <w:t xml:space="preserve"> </w:t>
      </w:r>
      <w:r>
        <w:t xml:space="preserve">- Ouattara en a tout bénéficié</w:t>
      </w:r>
      <w:r>
        <w:t xml:space="preserve"> </w:t>
      </w:r>
      <w:r>
        <w:t xml:space="preserve">- La France a joué un rôle déterminant dans la défaite militaire de Gbagbo</w:t>
      </w:r>
      <w:r>
        <w:t xml:space="preserve"> </w:t>
      </w:r>
      <w:r>
        <w:t xml:space="preserve">- Soro lui-même, le vainqueur de 2011, est aujourd’hui en exil</w:t>
      </w:r>
    </w:p>
    <w:p>
      <w:pPr>
        <w:pStyle w:val="BodyText"/>
      </w:pPr>
      <w:r>
        <w:t xml:space="preserve">Et ce qu’il ne dit pas — mais que les documents complémentaires permettent d’établir — c’est que la Côte d’Ivoire de 2011 était le laboratoire dont la Libye de 2011 serait l’application à grande échelle, dont le Sahel de 2012 à aujourd’hui porte encore les conséquences.</w:t>
      </w:r>
    </w:p>
    <w:p>
      <w:pPr>
        <w:pStyle w:val="BodyText"/>
      </w:pPr>
      <w:r>
        <w:rPr>
          <w:iCs/>
          <w:i/>
        </w:rPr>
        <w:t xml:space="preserve">À rapprocher de : Chapitre 54 — Libye : les câbles Clinton ; Chapitre 11 — La crise libyenne ; Chapitre 20 — La guerre proxy.</w:t>
      </w:r>
    </w:p>
    <w:bookmarkEnd w:id="308"/>
    <w:bookmarkEnd w:id="3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PAIX, ON PEUT L’ÉVITER</dc:title>
  <dc:creator>BEN–H2O</dc:creator>
  <dc:language>fr</dc:language>
  <cp:keywords/>
  <dcterms:created xsi:type="dcterms:W3CDTF">2026-06-22T23:15:56Z</dcterms:created>
  <dcterms:modified xsi:type="dcterms:W3CDTF">2026-06-22T23:15:56Z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Enquête sur la naissance de l’Alliance des États du Sahel</vt:lpwstr>
  </property>
</Properties>
</file>