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60"/>
        <w:rPr>
          <w:rFonts w:ascii="Garamond" w:hAnsi="Garamond"/>
        </w:rPr>
      </w:pPr>
      <w:r>
        <w:rPr>
          <w:rFonts w:ascii="Garamond" w:hAnsi="Garamond"/>
          <w:iCs/>
        </w:rPr>
        <w:t>AVANT-PROPOS</w:t>
      </w:r>
      <w:r>
        <w:rPr>
          <w:rFonts w:ascii="Garamond" w:hAnsi="Garamond"/>
          <w:i/>
        </w:rPr>
        <w:t xml:space="preserve"> — Méthode et rigueur analytique</w:t>
      </w:r>
    </w:p>
    <w:p w14:paraId="687780C1" w14:textId="77777777" w:rsidR="00124B22" w:rsidRPr="00F01E86" w:rsidRDefault="00000000">
      <w:pPr>
        <w:spacing w:after="60"/>
        <w:rPr>
          <w:rFonts w:ascii="Garamond" w:hAnsi="Garamond"/>
        </w:rPr>
      </w:pPr>
      <w:r>
        <w:rPr>
          <w:rFonts w:ascii="Garamond" w:hAnsi="Garamond"/>
          <w:iCs/>
        </w:rPr>
        <w:t xml:space="preserve">PROLOGUE </w:t>
      </w:r>
      <w:r>
        <w:rPr>
          <w:rFonts w:ascii="Garamond" w:hAnsi="Garamond"/>
          <w:i/>
        </w:rPr>
        <w:t>— La villa de Niamey</w:t>
      </w:r>
    </w:p>
    <w:p w14:paraId="4B935264" w14:textId="77777777" w:rsidR="00124B22" w:rsidRPr="00F01E86" w:rsidRDefault="00000000">
      <w:pPr>
        <w:spacing w:after="60"/>
        <w:rPr>
          <w:rFonts w:ascii="Garamond" w:hAnsi="Garamond"/>
        </w:rPr>
      </w:pPr>
      <w:r>
        <w:rPr>
          <w:rFonts w:ascii="Garamond" w:hAnsi="Garamond"/>
          <w:iCs/>
        </w:rPr>
        <w:t>INTRODUCTION</w:t>
      </w:r>
      <w:r>
        <w:rPr>
          <w:rFonts w:ascii="Garamond" w:hAnsi="Garamond"/>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60"/>
        <w:ind w:left="360"/>
        <w:rPr>
          <w:rFonts w:ascii="Garamond" w:hAnsi="Garamond"/>
        </w:rPr>
      </w:pPr>
      <w:r>
        <w:rPr>
          <w:rFonts w:ascii="Garamond" w:hAnsi="Garamond"/>
        </w:rPr>
        <w:t xml:space="preserve">    Chapitre 1 — Les empires africains précoloniaux</w:t>
      </w:r>
    </w:p>
    <w:p w14:paraId="721D2D2D" w14:textId="77777777" w:rsidR="00124B22" w:rsidRPr="00F01E86" w:rsidRDefault="00000000">
      <w:pPr>
        <w:spacing w:after="60"/>
        <w:ind w:left="360"/>
        <w:rPr>
          <w:rFonts w:ascii="Garamond" w:hAnsi="Garamond"/>
        </w:rPr>
      </w:pPr>
      <w:r>
        <w:rPr>
          <w:rFonts w:ascii="Garamond" w:hAnsi="Garamond"/>
        </w:rPr>
        <w:t xml:space="preserve">    Chapitre 2 — La conquête coloniale et ses résistances</w:t>
      </w:r>
    </w:p>
    <w:p w14:paraId="645B01D2" w14:textId="77777777" w:rsidR="00124B22" w:rsidRPr="00F01E86" w:rsidRDefault="00000000">
      <w:pPr>
        <w:spacing w:after="60"/>
        <w:ind w:left="360"/>
        <w:rPr>
          <w:rFonts w:ascii="Garamond" w:hAnsi="Garamond"/>
        </w:rPr>
      </w:pPr>
      <w:r>
        <w:rPr>
          <w:rFonts w:ascii="Garamond" w:hAnsi="Garamond"/>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rPr>
          <w:rFonts w:ascii="Garamond" w:hAnsi="Garamond"/>
        </w:rPr>
      </w:pPr>
      <w:r>
        <w:rPr>
          <w:rFonts w:ascii="Garamond" w:hAnsi="Garamond"/>
          <w:b/>
          <w:bCs/>
          <w:sz w:val="22"/>
        </w:rPr>
        <w:t>PARTIE II — L'EMPIRE DU MENSONGE</w:t>
      </w:r>
    </w:p>
    <w:p w14:paraId="7D8FFAFB" w14:textId="77777777" w:rsidR="00124B22" w:rsidRPr="00F01E86" w:rsidRDefault="00000000">
      <w:pPr>
        <w:spacing w:after="60"/>
        <w:ind w:left="360"/>
        <w:rPr>
          <w:rFonts w:ascii="Garamond" w:hAnsi="Garamond"/>
        </w:rPr>
      </w:pPr>
      <w:r>
        <w:rPr>
          <w:rFonts w:ascii="Garamond" w:hAnsi="Garamond"/>
        </w:rPr>
        <w:t xml:space="preserve">    Chapitre 4 — Le pacte colonial camouflé</w:t>
      </w:r>
    </w:p>
    <w:p w14:paraId="179C790E" w14:textId="77777777" w:rsidR="00124B22" w:rsidRPr="00F01E86" w:rsidRDefault="00000000">
      <w:pPr>
        <w:spacing w:after="60"/>
        <w:ind w:left="360"/>
        <w:rPr>
          <w:rFonts w:ascii="Garamond" w:hAnsi="Garamond"/>
        </w:rPr>
      </w:pPr>
      <w:r>
        <w:rPr>
          <w:rFonts w:ascii="Garamond" w:hAnsi="Garamond"/>
        </w:rPr>
        <w:t xml:space="preserve">    Chapitre 4b — La chaîne du pillage : Elf, les mallettes et les tribunaux</w:t>
      </w:r>
    </w:p>
    <w:p w14:paraId="68DCC9F4" w14:textId="77777777" w:rsidR="00124B22" w:rsidRPr="00F01E86" w:rsidRDefault="00000000">
      <w:pPr>
        <w:spacing w:after="60"/>
        <w:ind w:left="360"/>
        <w:rPr>
          <w:rFonts w:ascii="Garamond" w:hAnsi="Garamond"/>
        </w:rPr>
      </w:pPr>
      <w:r>
        <w:rPr>
          <w:rFonts w:ascii="Garamond" w:hAnsi="Garamond"/>
        </w:rPr>
        <w:t xml:space="preserve">    Chapitre 5 — La machine extractive : CFA, uranium, or, pétrole</w:t>
      </w:r>
    </w:p>
    <w:p w14:paraId="793C747F" w14:textId="77777777" w:rsidR="00124B22" w:rsidRPr="00F01E86" w:rsidRDefault="00000000">
      <w:pPr>
        <w:spacing w:after="60"/>
        <w:ind w:left="360"/>
        <w:rPr>
          <w:rFonts w:ascii="Garamond" w:hAnsi="Garamond"/>
        </w:rPr>
      </w:pPr>
      <w:r>
        <w:rPr>
          <w:rFonts w:ascii="Garamond" w:hAnsi="Garamond"/>
        </w:rPr>
        <w:t xml:space="preserve">    Chapitre 6 — L'aide publique au développement : arnaque documentée</w:t>
      </w:r>
    </w:p>
    <w:p w14:paraId="1F4E2AB1" w14:textId="77777777" w:rsidR="00124B22" w:rsidRPr="00F01E86" w:rsidRDefault="00000000">
      <w:pPr>
        <w:spacing w:after="60"/>
        <w:ind w:left="360"/>
        <w:rPr>
          <w:rFonts w:ascii="Garamond" w:hAnsi="Garamond"/>
        </w:rPr>
      </w:pPr>
      <w:r>
        <w:rPr>
          <w:rFonts w:ascii="Garamond" w:hAnsi="Garamond"/>
        </w:rPr>
        <w:t xml:space="preserve">    Chapitre 7 — Barkhane ou la guerre comme service après-vente</w:t>
      </w:r>
    </w:p>
    <w:p w14:paraId="14C89A33" w14:textId="77777777" w:rsidR="00124B22" w:rsidRPr="00F01E86" w:rsidRDefault="00000000">
      <w:pPr>
        <w:spacing w:after="60"/>
        <w:ind w:left="360"/>
        <w:rPr>
          <w:rFonts w:ascii="Garamond" w:hAnsi="Garamond"/>
        </w:rPr>
      </w:pPr>
      <w:r>
        <w:rPr>
          <w:rFonts w:ascii="Garamond" w:hAnsi="Garamond"/>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60"/>
        <w:ind w:left="360"/>
        <w:rPr>
          <w:rFonts w:ascii="Garamond" w:hAnsi="Garamond"/>
        </w:rPr>
      </w:pPr>
      <w:r>
        <w:rPr>
          <w:rFonts w:ascii="Garamond" w:hAnsi="Garamond"/>
        </w:rPr>
        <w:t xml:space="preserve">    Chapitre 9 — Les aveux institutionnels français</w:t>
      </w:r>
    </w:p>
    <w:p w14:paraId="4946DCD8" w14:textId="77777777" w:rsidR="00124B22" w:rsidRPr="00F01E86" w:rsidRDefault="00000000">
      <w:pPr>
        <w:spacing w:after="60"/>
        <w:ind w:left="360"/>
        <w:rPr>
          <w:rFonts w:ascii="Garamond" w:hAnsi="Garamond"/>
        </w:rPr>
      </w:pPr>
      <w:r>
        <w:rPr>
          <w:rFonts w:ascii="Garamond" w:hAnsi="Garamond"/>
        </w:rPr>
        <w:t xml:space="preserve">    Chapitre 10 — La doctrine de propagande : aveu d'Anne-Sophie Avé</w:t>
      </w:r>
    </w:p>
    <w:p w14:paraId="3E93364A" w14:textId="77777777" w:rsidR="00124B22" w:rsidRPr="00F01E86" w:rsidRDefault="00000000">
      <w:pPr>
        <w:spacing w:after="60"/>
        <w:ind w:left="360"/>
        <w:rPr>
          <w:rFonts w:ascii="Garamond" w:hAnsi="Garamond"/>
        </w:rPr>
      </w:pPr>
      <w:r>
        <w:rPr>
          <w:rFonts w:ascii="Garamond" w:hAnsi="Garamond"/>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60"/>
        <w:ind w:left="360"/>
        <w:rPr>
          <w:rFonts w:ascii="Garamond" w:hAnsi="Garamond"/>
        </w:rPr>
      </w:pPr>
      <w:r>
        <w:rPr>
          <w:rFonts w:ascii="Garamond" w:hAnsi="Garamond"/>
        </w:rPr>
        <w:t xml:space="preserve">    Chapitre 12 — La CEDEAO comme instrument</w:t>
      </w:r>
    </w:p>
    <w:p w14:paraId="3A3AA4C1" w14:textId="77777777" w:rsidR="00124B22" w:rsidRPr="00F01E86" w:rsidRDefault="00000000">
      <w:pPr>
        <w:spacing w:after="60"/>
        <w:ind w:left="360"/>
        <w:rPr>
          <w:rFonts w:ascii="Garamond" w:hAnsi="Garamond"/>
        </w:rPr>
      </w:pPr>
      <w:r>
        <w:rPr>
          <w:rFonts w:ascii="Garamond" w:hAnsi="Garamond"/>
        </w:rPr>
        <w:t xml:space="preserve">    Chapitre 13 — Les élites compradore</w:t>
      </w:r>
    </w:p>
    <w:p w14:paraId="76CF4FAF" w14:textId="77777777" w:rsidR="00124B22" w:rsidRPr="00F01E86" w:rsidRDefault="00000000">
      <w:pPr>
        <w:spacing w:after="60"/>
        <w:ind w:left="360"/>
        <w:rPr>
          <w:rFonts w:ascii="Garamond" w:hAnsi="Garamond"/>
        </w:rPr>
      </w:pPr>
      <w:r>
        <w:rPr>
          <w:rFonts w:ascii="Garamond" w:hAnsi="Garamond"/>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60"/>
        <w:ind w:left="360"/>
        <w:rPr>
          <w:rFonts w:ascii="Garamond" w:hAnsi="Garamond"/>
        </w:rPr>
      </w:pPr>
      <w:r>
        <w:rPr>
          <w:rFonts w:ascii="Garamond" w:hAnsi="Garamond"/>
        </w:rPr>
        <w:t xml:space="preserve">    Chapitre 15 — La fabrique du terrorisme au Sahel</w:t>
      </w:r>
    </w:p>
    <w:p w14:paraId="0781133E" w14:textId="77777777" w:rsidR="00124B22" w:rsidRPr="00F01E86" w:rsidRDefault="00000000">
      <w:pPr>
        <w:spacing w:after="60"/>
        <w:ind w:left="360"/>
        <w:rPr>
          <w:rFonts w:ascii="Garamond" w:hAnsi="Garamond"/>
        </w:rPr>
      </w:pPr>
      <w:r>
        <w:rPr>
          <w:rFonts w:ascii="Garamond" w:hAnsi="Garamond"/>
        </w:rPr>
        <w:t xml:space="preserve">    Chapitre 16 — Mali : la première rupture</w:t>
      </w:r>
    </w:p>
    <w:p w14:paraId="7DCBEDFD" w14:textId="77777777" w:rsidR="00124B22" w:rsidRPr="00F01E86" w:rsidRDefault="00000000">
      <w:pPr>
        <w:spacing w:after="60"/>
        <w:ind w:left="360"/>
        <w:rPr>
          <w:rFonts w:ascii="Garamond" w:hAnsi="Garamond"/>
        </w:rPr>
      </w:pPr>
      <w:r>
        <w:rPr>
          <w:rFonts w:ascii="Garamond" w:hAnsi="Garamond"/>
        </w:rPr>
        <w:t xml:space="preserve">    Chapitre 17 — Burkina Faso : le MPSR et la doctrine Traoré</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    Chapitre 18 — Niger : le CNSP et le verrou final</w:t>
      </w:r>
    </w:p>
    <w:p w14:paraId="2EFDFCE8" w14:textId="77777777" w:rsidR="00124B22" w:rsidRPr="00F01E86" w:rsidRDefault="00000000">
      <w:pPr>
        <w:spacing w:after="60"/>
        <w:ind w:left="360"/>
        <w:rPr>
          <w:rFonts w:ascii="Garamond" w:hAnsi="Garamond"/>
        </w:rPr>
      </w:pPr>
      <w:r>
        <w:rPr>
          <w:rFonts w:ascii="Garamond" w:hAnsi="Garamond"/>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60"/>
        <w:ind w:left="360"/>
        <w:rPr>
          <w:rFonts w:ascii="Garamond" w:hAnsi="Garamond"/>
        </w:rPr>
      </w:pPr>
      <w:r>
        <w:rPr>
          <w:rFonts w:ascii="Garamond" w:hAnsi="Garamond"/>
        </w:rPr>
        <w:t xml:space="preserve">    Chapitre 20 — Le Tchad : Mahamat Déby entre deux feux</w:t>
      </w:r>
    </w:p>
    <w:p w14:paraId="56C82684" w14:textId="77777777" w:rsidR="00124B22" w:rsidRPr="00F01E86" w:rsidRDefault="00000000">
      <w:pPr>
        <w:spacing w:after="60"/>
        <w:ind w:left="360"/>
        <w:rPr>
          <w:rFonts w:ascii="Garamond" w:hAnsi="Garamond"/>
        </w:rPr>
      </w:pPr>
      <w:r>
        <w:rPr>
          <w:rFonts w:ascii="Garamond" w:hAnsi="Garamond"/>
        </w:rPr>
        <w:t xml:space="preserve">    Chapitre 21 — L'Algérie : médiateur ambigu</w:t>
      </w:r>
    </w:p>
    <w:p w14:paraId="577A8AFD" w14:textId="387A056D" w:rsidR="00124B22" w:rsidRPr="00F01E86" w:rsidRDefault="00000000">
      <w:pPr>
        <w:spacing w:after="60"/>
        <w:ind w:left="360"/>
        <w:rPr>
          <w:rFonts w:ascii="Garamond" w:hAnsi="Garamond"/>
        </w:rPr>
      </w:pPr>
      <w:r>
        <w:rPr>
          <w:rFonts w:ascii="Garamond" w:hAnsi="Garamond"/>
        </w:rPr>
        <w:t xml:space="preserve">    Chapitre 22 — Russie, Chine, Turquie : partenaires ou nouveaux maîtres ?</w:t>
      </w:r>
    </w:p>
    <w:p w14:paraId="1333017A" w14:textId="77777777" w:rsidR="00124B22" w:rsidRPr="00F01E86" w:rsidRDefault="00000000">
      <w:pPr>
        <w:spacing w:after="60"/>
        <w:ind w:left="360"/>
        <w:rPr>
          <w:rFonts w:ascii="Garamond" w:hAnsi="Garamond"/>
        </w:rPr>
      </w:pPr>
      <w:r>
        <w:rPr>
          <w:rFonts w:ascii="Garamond" w:hAnsi="Garamond"/>
        </w:rPr>
        <w:t xml:space="preserve">    Chapitre 23 — Les États-Unis face à la recomposition</w:t>
      </w:r>
    </w:p>
    <w:p w14:paraId="26CC5893" w14:textId="77777777" w:rsidR="00124B22" w:rsidRPr="00F01E86" w:rsidRDefault="00000000">
      <w:pPr>
        <w:spacing w:after="60"/>
        <w:ind w:left="360"/>
        <w:rPr>
          <w:rFonts w:ascii="Garamond" w:hAnsi="Garamond"/>
        </w:rPr>
      </w:pPr>
      <w:r>
        <w:rPr>
          <w:rFonts w:ascii="Garamond" w:hAnsi="Garamond"/>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rPr>
          <w:rFonts w:ascii="Garamond" w:hAnsi="Garamond"/>
        </w:rPr>
      </w:pPr>
      <w:r>
        <w:rPr>
          <w:rFonts w:ascii="Garamond" w:hAnsi="Garamond"/>
          <w:b/>
          <w:bCs/>
          <w:sz w:val="22"/>
        </w:rPr>
        <w:t>PARTIE VII — LA GUERRE PROXY</w:t>
      </w:r>
    </w:p>
    <w:p w14:paraId="73C966F9" w14:textId="77777777" w:rsidR="00124B22" w:rsidRPr="00F01E86" w:rsidRDefault="00000000">
      <w:pPr>
        <w:spacing w:after="60"/>
        <w:ind w:left="360"/>
        <w:rPr>
          <w:rFonts w:ascii="Garamond" w:hAnsi="Garamond"/>
        </w:rPr>
      </w:pPr>
      <w:r>
        <w:rPr>
          <w:rFonts w:ascii="Garamond" w:hAnsi="Garamond"/>
        </w:rPr>
        <w:t xml:space="preserve">    Chapitre 25 — L'armée fantôme de Paris</w:t>
      </w:r>
    </w:p>
    <w:p w14:paraId="10805B24" w14:textId="3C2EFA98" w:rsidR="00124B22" w:rsidRPr="00F01E86" w:rsidRDefault="00000000">
      <w:pPr>
        <w:spacing w:after="60"/>
        <w:ind w:left="360"/>
        <w:rPr>
          <w:rFonts w:ascii="Garamond" w:hAnsi="Garamond"/>
        </w:rPr>
      </w:pPr>
      <w:r>
        <w:rPr>
          <w:rFonts w:ascii="Garamond" w:hAnsi="Garamond"/>
        </w:rPr>
        <w:t xml:space="preserve">    Chapitre 25b — Le renseignement comme arme de guerre : barbouzes, ESSD et guerre secrète en Afrique</w:t>
      </w:r>
    </w:p>
    <w:p w14:paraId="0EE00001" w14:textId="0CF6D0E4" w:rsidR="0028409C" w:rsidRDefault="00156718" w:rsidP="00156718">
      <w:pPr>
        <w:spacing w:after="40"/>
      </w:pPr>
      <w:r>
        <w:rPr>
          <w:rFonts w:ascii="Garamond" w:hAnsi="Garamond"/>
        </w:rPr>
        <w:t xml:space="preserve">           </w:t>
      </w:r>
      <w:r w:rsidR="00000000">
        <w:rPr>
          <w:rFonts w:ascii="Garamond" w:hAnsi="Garamond"/>
        </w:rPr>
        <w:t>Chapitre 25c — Les ONG : le visage charitable de la guerre</w:t>
      </w:r>
    </w:p>
    <w:p w14:paraId="0EE00002" w14:textId="0B76F85B" w:rsidR="0028409C" w:rsidRDefault="00156718" w:rsidP="00156718">
      <w:pPr>
        <w:spacing w:after="40"/>
      </w:pPr>
      <w:r>
        <w:rPr>
          <w:rFonts w:ascii="Garamond" w:hAnsi="Garamond"/>
        </w:rPr>
        <w:t xml:space="preserve">           </w:t>
      </w:r>
      <w:r w:rsidR="00000000">
        <w:rPr>
          <w:rFonts w:ascii="Garamond" w:hAnsi="Garamond"/>
        </w:rPr>
        <w:t>Chapitre 25d — La CPI : justice universelle ou justice à sens unique ?</w:t>
      </w:r>
    </w:p>
    <w:p w14:paraId="0EE00003" w14:textId="70CB5D6A" w:rsidR="0028409C" w:rsidRDefault="00156718" w:rsidP="00156718">
      <w:pPr>
        <w:spacing w:after="40"/>
      </w:pPr>
      <w:r>
        <w:rPr>
          <w:rFonts w:ascii="Garamond" w:hAnsi="Garamond"/>
        </w:rPr>
        <w:t xml:space="preserve">           Chapitre 25e — La diaspora en guerre : du vecteur d’influence au front de résistance</w:t>
      </w:r>
      <w:r w:rsidR="00000000">
        <w:rPr>
          <w:rFonts w:ascii="Garamond" w:hAnsi="Garamond"/>
        </w:rPr>
      </w:r>
    </w:p>
    <w:p w14:paraId="0EE00004" w14:textId="243F8942" w:rsidR="0028409C" w:rsidRDefault="00156718" w:rsidP="00156718">
      <w:pPr>
        <w:spacing w:after="40"/>
      </w:pPr>
      <w:r>
        <w:rPr>
          <w:rFonts w:ascii="Garamond" w:hAnsi="Garamond"/>
        </w:rPr>
        <w:t xml:space="preserve">           </w:t>
      </w:r>
      <w:r w:rsidR="00000000">
        <w:rPr>
          <w:rFonts w:ascii="Garamond" w:hAnsi="Garamond"/>
        </w:rPr>
        <w:t xml:space="preserve">Chapitre 25f — Dieu comme terrain de guerre </w:t>
      </w:r>
    </w:p>
    <w:p w14:paraId="27353126" w14:textId="77777777" w:rsidR="00124B22" w:rsidRPr="00F01E86" w:rsidRDefault="00000000">
      <w:pPr>
        <w:spacing w:after="60"/>
        <w:ind w:left="360"/>
        <w:rPr>
          <w:rFonts w:ascii="Garamond" w:hAnsi="Garamond"/>
        </w:rPr>
      </w:pPr>
      <w:r>
        <w:rPr>
          <w:rFonts w:ascii="Garamond" w:hAnsi="Garamond"/>
        </w:rPr>
        <w:t xml:space="preserve">    Chapitre 26 — Sadio Camara : de l'architecte à la cible</w:t>
      </w:r>
    </w:p>
    <w:p w14:paraId="3EAB33B4" w14:textId="77777777" w:rsidR="00124B22" w:rsidRPr="00F01E86" w:rsidRDefault="00000000">
      <w:pPr>
        <w:spacing w:after="60"/>
        <w:ind w:left="360"/>
        <w:rPr>
          <w:rFonts w:ascii="Garamond" w:hAnsi="Garamond"/>
        </w:rPr>
      </w:pPr>
      <w:r>
        <w:rPr>
          <w:rFonts w:ascii="Garamond" w:hAnsi="Garamond"/>
        </w:rPr>
        <w:t xml:space="preserve">    Chapitre 27 — Les attaques du 25 avril 2026</w:t>
      </w:r>
    </w:p>
    <w:p w14:paraId="48EB635F" w14:textId="77777777" w:rsidR="00124B22" w:rsidRPr="00F01E86" w:rsidRDefault="00000000">
      <w:pPr>
        <w:spacing w:after="60"/>
        <w:ind w:left="360"/>
        <w:rPr>
          <w:rFonts w:ascii="Garamond" w:hAnsi="Garamond"/>
        </w:rPr>
      </w:pPr>
      <w:r>
        <w:rPr>
          <w:rFonts w:ascii="Garamond" w:hAnsi="Garamond"/>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rPr>
          <w:rFonts w:ascii="Garamond" w:hAnsi="Garamond"/>
        </w:rPr>
      </w:pPr>
      <w:r>
        <w:rPr>
          <w:rFonts w:ascii="Garamond" w:hAnsi="Garamond"/>
          <w:b/>
          <w:bCs/>
          <w:sz w:val="22"/>
        </w:rPr>
        <w:t>PARTIE VIII — LES DÉFIS INTERNES DE L'AES</w:t>
      </w:r>
    </w:p>
    <w:p w14:paraId="56434F7D" w14:textId="77777777" w:rsidR="00124B22" w:rsidRPr="00F01E86" w:rsidRDefault="00000000">
      <w:pPr>
        <w:spacing w:after="60"/>
        <w:ind w:left="360"/>
        <w:rPr>
          <w:rFonts w:ascii="Garamond" w:hAnsi="Garamond"/>
        </w:rPr>
      </w:pPr>
      <w:r>
        <w:rPr>
          <w:rFonts w:ascii="Garamond" w:hAnsi="Garamond"/>
        </w:rPr>
        <w:t xml:space="preserve">    Chapitre 29 — La menace jihadiste persistante</w:t>
      </w:r>
    </w:p>
    <w:p>
      <w:pPr>
        <w:pStyle w:val="Normal"/>
        <w:spacing/>
      </w:pPr>
      <w:r>
        <w:rPr/>
        <w:t xml:space="preserve">    Chapitre 30 — Bazoum sans le savoir : les aveux involontaires du dernier compradore</w:t>
      </w:r>
    </w:p>
    <w:p w14:paraId="0557B437" w14:textId="77777777" w:rsidR="00124B22" w:rsidRPr="00F01E86" w:rsidRDefault="00000000">
      <w:pPr>
        <w:spacing w:after="60"/>
        <w:ind w:left="360"/>
        <w:rPr>
          <w:rFonts w:ascii="Garamond" w:hAnsi="Garamond"/>
        </w:rPr>
      </w:pPr>
      <w:r>
        <w:rPr>
          <w:rFonts w:ascii="Garamond" w:hAnsi="Garamond"/>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rPr>
          <w:rFonts w:ascii="Garamond" w:hAnsi="Garamond"/>
        </w:rPr>
      </w:pPr>
      <w:r>
        <w:rPr>
          <w:rFonts w:ascii="Garamond" w:hAnsi="Garamond"/>
          <w:b/>
          <w:bCs/>
          <w:sz w:val="22"/>
        </w:rPr>
        <w:t>PARTIE IX — L'HORIZON SOUVERAIN</w:t>
      </w:r>
    </w:p>
    <w:p w14:paraId="00320000" w14:textId="77777777" w:rsidR="0028409C" w:rsidRDefault="00000000">
      <w:pPr>
        <w:spacing w:after="60"/>
        <w:ind w:left="360"/>
        <w:rPr>
          <w:rFonts w:ascii="Garamond" w:hAnsi="Garamond"/>
        </w:rPr>
      </w:pPr>
      <w:r>
        <w:rPr>
          <w:rFonts w:ascii="Garamond" w:hAnsi="Garamond"/>
        </w:rPr>
        <w:t xml:space="preserve">    Chapitre 32 — Les morts de Barkhane : autopsie d’un mensonge d’État</w:t>
      </w:r>
    </w:p>
    <w:p w14:paraId="4D24DD7C" w14:textId="77777777" w:rsidR="00124B22" w:rsidRPr="00F01E86" w:rsidRDefault="00000000">
      <w:pPr>
        <w:spacing w:after="60"/>
        <w:ind w:left="360"/>
        <w:rPr>
          <w:rFonts w:ascii="Garamond" w:hAnsi="Garamond"/>
        </w:rPr>
      </w:pPr>
      <w:r>
        <w:rPr>
          <w:rFonts w:ascii="Garamond" w:hAnsi="Garamond"/>
        </w:rPr>
        <w:t xml:space="preserve">    Chapitre 33 — La monnaie : briser la chaîne du CFA</w:t>
      </w:r>
    </w:p>
    <w:p w14:paraId="1A51B8CA" w14:textId="77777777" w:rsidR="00124B22" w:rsidRPr="00F01E86" w:rsidRDefault="00000000">
      <w:pPr>
        <w:spacing w:after="60"/>
        <w:ind w:left="360"/>
        <w:rPr>
          <w:rFonts w:ascii="Garamond" w:hAnsi="Garamond"/>
        </w:rPr>
      </w:pPr>
      <w:r>
        <w:rPr>
          <w:rFonts w:ascii="Garamond" w:hAnsi="Garamond"/>
        </w:rPr>
        <w:t xml:space="preserve">    Chapitre 34 — L'armée fédérale sahélienne</w:t>
      </w:r>
    </w:p>
    <w:p w14:paraId="4C2ACF96" w14:textId="77777777" w:rsidR="00124B22" w:rsidRPr="00F01E86" w:rsidRDefault="00000000">
      <w:pPr>
        <w:spacing w:after="60"/>
        <w:ind w:left="360"/>
        <w:rPr>
          <w:rFonts w:ascii="Garamond" w:hAnsi="Garamond"/>
        </w:rPr>
      </w:pPr>
      <w:r>
        <w:rPr>
          <w:rFonts w:ascii="Garamond" w:hAnsi="Garamond"/>
        </w:rPr>
        <w:t xml:space="preserve">    Chapitre 35 — La diaspora comme force stratégique</w:t>
      </w:r>
    </w:p>
    <w:p w14:paraId="216A7BCB" w14:textId="77777777" w:rsidR="00124B22" w:rsidRPr="00F01E86" w:rsidRDefault="00000000">
      <w:pPr>
        <w:spacing w:after="60"/>
        <w:ind w:left="360"/>
        <w:rPr>
          <w:rFonts w:ascii="Garamond" w:hAnsi="Garamond"/>
        </w:rPr>
      </w:pPr>
      <w:r>
        <w:rPr>
          <w:rFonts w:ascii="Garamond" w:hAnsi="Garamond"/>
        </w:rPr>
        <w:t xml:space="preserve">    Chapitre 36 — Sankara avait raison</w:t>
      </w:r>
    </w:p>
    <w:p w14:paraId="0D1BED78" w14:textId="77777777" w:rsidR="00124B22" w:rsidRPr="00F01E86" w:rsidRDefault="00000000">
      <w:pPr>
        <w:spacing w:after="60"/>
        <w:ind w:left="360"/>
        <w:rPr>
          <w:rFonts w:ascii="Garamond" w:hAnsi="Garamond"/>
        </w:rPr>
      </w:pPr>
      <w:r>
        <w:rPr>
          <w:rFonts w:ascii="Garamond" w:hAnsi="Garamond"/>
        </w:rPr>
        <w:t xml:space="preserve">    Chapitre 37 — France-Afrique 2.0 : la recomposition de la domination</w:t>
      </w:r>
    </w:p>
    <w:p w14:paraId="0EE00005" w14:textId="6A21F62B" w:rsidR="0028409C" w:rsidRDefault="00156718" w:rsidP="00156718">
      <w:pPr>
        <w:spacing w:after="40"/>
      </w:pPr>
      <w:r>
        <w:rPr>
          <w:rFonts w:ascii="Garamond" w:hAnsi="Garamond"/>
        </w:rPr>
        <w:t xml:space="preserve">            </w:t>
      </w:r>
      <w:r w:rsidR="00000000">
        <w:rPr>
          <w:rFonts w:ascii="Garamond" w:hAnsi="Garamond"/>
        </w:rPr>
        <w:t>Chapitre 37b — La Francophonie : le dernier empire</w:t>
      </w:r>
    </w:p>
    <w:p w14:paraId="0371DC74" w14:textId="77777777" w:rsidR="00124B22" w:rsidRPr="00F01E86" w:rsidRDefault="00000000">
      <w:pPr>
        <w:spacing w:after="60"/>
        <w:ind w:left="360"/>
        <w:rPr>
          <w:rFonts w:ascii="Garamond" w:hAnsi="Garamond"/>
        </w:rPr>
      </w:pPr>
      <w:r>
        <w:rPr>
          <w:rFonts w:ascii="Garamond" w:hAnsi="Garamond"/>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rPr>
          <w:rFonts w:ascii="Garamond" w:hAnsi="Garamond"/>
        </w:rPr>
      </w:pPr>
      <w:r>
        <w:rPr>
          <w:rFonts w:ascii="Garamond" w:hAnsi="Garamond"/>
          <w:b/>
          <w:bCs/>
          <w:sz w:val="22"/>
        </w:rPr>
        <w:lastRenderedPageBreak/>
        <w:t>ÉPILOGUE</w:t>
      </w:r>
    </w:p>
    <w:p>
      <w:pPr>
        <w:pStyle w:val="Normal"/>
        <w:spacing/>
      </w:pPr>
      <w:r>
        <w:rPr/>
        <w:t xml:space="preserve">    Chapitre 39 — Conclusion : L’irréversibilité africaine</w:t>
      </w:r>
    </w:p>
    <w:p w14:paraId="7DDCB7C2" w14:textId="77777777" w:rsidR="00124B22" w:rsidRPr="00F01E86" w:rsidRDefault="00000000">
      <w:pPr>
        <w:spacing w:after="60"/>
        <w:ind w:left="360"/>
        <w:rPr>
          <w:rFonts w:ascii="Garamond" w:hAnsi="Garamond"/>
        </w:rPr>
      </w:pPr>
      <w:r>
        <w:rPr>
          <w:rFonts w:ascii="Garamond" w:hAnsi="Garamond"/>
        </w:rPr>
        <w:t xml:space="preserve">    Chapitre 40 — L'arrogance comme doctrine : le mépris occidental en Afrique</w:t>
      </w:r>
    </w:p>
    <w:p w14:paraId="17827C39" w14:textId="77777777" w:rsidR="00124B22" w:rsidRPr="00F01E86" w:rsidRDefault="00000000">
      <w:pPr>
        <w:spacing w:after="60"/>
        <w:ind w:left="360"/>
        <w:rPr>
          <w:rFonts w:ascii="Garamond" w:hAnsi="Garamond"/>
        </w:rPr>
      </w:pPr>
      <w:r>
        <w:rPr>
          <w:rFonts w:ascii="Garamond" w:hAnsi="Garamond"/>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rPr>
          <w:color w:val="943634" w:themeColor="accent2" w:themeShade="BF"/>
        </w:rPr>
      </w:pPr>
      <w:r w:rsidRPr="00DB2B9E">
        <w:rPr>
          <w:color w:val="943634" w:themeColor="accent2" w:themeShade="BF"/>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pPr>
      <w:bookmarkStart w:id="0" w:name="_Hlk231332993"/>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bookmarkEnd w:id="0"/>
      <w:r>
        <w:br w:type="page"/>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pBdr>
          <w:left w:val="single" w:sz="14" w:space="10" w:color="C8A951"/>
        </w:pBdr>
        <w:spacing w:before="160" w:after="200" w:line="276" w:lineRule="auto"/>
        <w:ind w:left="680" w:right="283"/>
        <w:rPr>
          <w:i/>
          <w:iCs/>
          <w:sz w:val="18"/>
          <w:szCs w:val="18"/>
        </w:rPr>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 — 1960 : l’indépendance confisquée</w:t>
      </w:r>
    </w:p>
    <w:p w14:paraId="6C4D2979" w14:textId="77777777" w:rsidR="006E716F" w:rsidRDefault="00000000">
      <w:pPr>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77693F29" w14:textId="77777777" w:rsidR="006E716F" w:rsidRDefault="00000000">
      <w:pPr>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2F511D32" w14:textId="77777777" w:rsidR="006E716F" w:rsidRDefault="00000000">
      <w:r>
        <w:lastRenderedPageBreak/>
        <w:br w:type="page"/>
      </w:r>
    </w:p>
    <w:p w14:paraId="55D9C10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L’EMPIRE DU MENSONGE</w:t>
      </w:r>
    </w:p>
    <w:p w14:paraId="0E505459" w14:textId="77777777" w:rsidR="006E716F" w:rsidRDefault="00000000">
      <w:pPr>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 — Le pacte colonial camouflé</w:t>
      </w:r>
    </w:p>
    <w:p w14:paraId="0B152CF5" w14:textId="77777777" w:rsidR="006E716F" w:rsidRDefault="00000000">
      <w:pPr>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7744338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spacing w:after="200" w:line="264" w:lineRule="auto"/>
        <w:ind w:left="680" w:right="700"/>
      </w:pPr>
      <w:r>
        <w:rPr>
          <w:rFonts w:ascii="Garamond" w:eastAsia="Arial" w:hAnsi="Garamond" w:cs="Arial"/>
          <w:i/>
          <w:iCs/>
          <w:color w:val="555555"/>
          <w:sz w:val="19"/>
          <w:szCs w:val="18"/>
        </w:rPr>
        <w:t>— Loïk Le Floch-Prigent ancien dirigeant d’Elf</w:t>
      </w:r>
    </w:p>
    <w:p w14:paraId="2CAE014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spacing w:after="200" w:line="264" w:lineRule="auto"/>
        <w:ind w:left="680" w:right="700"/>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1B2F15C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spacing w:after="200" w:line="264" w:lineRule="auto"/>
        <w:ind w:left="680" w:right="700"/>
      </w:pPr>
      <w:r>
        <w:rPr>
          <w:rFonts w:ascii="Garamond" w:eastAsia="Arial" w:hAnsi="Garamond" w:cs="Arial"/>
          <w:i/>
          <w:iCs/>
          <w:color w:val="555555"/>
          <w:sz w:val="19"/>
          <w:szCs w:val="18"/>
        </w:rPr>
        <w:t>— Dr Douma Jean-René, Panafrican Média TV, 10 mai 2026</w:t>
      </w:r>
    </w:p>
    <w:p w14:paraId="5CE2530C" w14:textId="77777777" w:rsidR="006E716F" w:rsidRDefault="00000000">
      <w:pPr>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14:paraId="667F5B4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spacing w:after="200" w:line="264" w:lineRule="auto"/>
        <w:ind w:left="680" w:right="700"/>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14:paraId="5168F49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spacing w:after="200" w:line="264" w:lineRule="auto"/>
        <w:ind w:left="680" w:right="700"/>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8 — Le langage de la domination</w:t>
      </w:r>
    </w:p>
    <w:p w14:paraId="19238111" w14:textId="77777777" w:rsidR="006E716F" w:rsidRDefault="00000000">
      <w:pPr>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2022</w:t>
      </w:r>
    </w:p>
    <w:p w14:paraId="2899C43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57A5E1C0" w14:textId="77777777" w:rsidR="006E716F" w:rsidRDefault="00000000">
      <w:r>
        <w:lastRenderedPageBreak/>
        <w:br w:type="page"/>
      </w:r>
    </w:p>
    <w:p w14:paraId="11D25E04"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ADMET EN PRIVÉ</w:t>
      </w:r>
    </w:p>
    <w:p w14:paraId="593D965B" w14:textId="77777777" w:rsidR="006E716F" w:rsidRDefault="00000000">
      <w:pPr>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spacing w:after="200" w:line="264" w:lineRule="auto"/>
        <w:ind w:left="680" w:right="700"/>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spacing w:after="200" w:line="264" w:lineRule="auto"/>
        <w:ind w:left="680" w:right="700"/>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spacing w:after="200" w:line="264" w:lineRule="auto"/>
        <w:ind w:left="680" w:right="700"/>
      </w:pPr>
      <w:r>
        <w:rPr>
          <w:rFonts w:ascii="Garamond" w:eastAsia="Arial" w:hAnsi="Garamond" w:cs="Arial"/>
          <w:i/>
          <w:iCs/>
          <w:color w:val="555555"/>
          <w:sz w:val="19"/>
          <w:szCs w:val="18"/>
        </w:rPr>
        <w:t>— André Chassaigne, ibid.</w:t>
      </w:r>
    </w:p>
    <w:p w14:paraId="6C3EA8F4" w14:textId="77777777" w:rsidR="006E716F" w:rsidRDefault="00000000">
      <w:pPr>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spacing w:after="200" w:line="264" w:lineRule="auto"/>
        <w:ind w:left="680" w:right="700"/>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TROIS COURONNES DE LA TRAHISON</w:t>
      </w:r>
    </w:p>
    <w:p w14:paraId="57599FB4" w14:textId="77777777" w:rsidR="006E716F" w:rsidRDefault="00000000">
      <w:pPr>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12 — La CEDEAO comme instrument</w:t>
      </w:r>
    </w:p>
    <w:p w14:paraId="444F53B5" w14:textId="77777777" w:rsidR="006E716F" w:rsidRDefault="00000000">
      <w:pPr>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4274B93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t>Chapitre 13 — Les élites compradore</w:t>
      </w:r>
    </w:p>
    <w:p w14:paraId="12F2305A" w14:textId="77777777" w:rsidR="006E716F" w:rsidRDefault="00000000">
      <w:pPr>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spacing w:after="200" w:line="312" w:lineRule="auto"/>
        <w:ind w:firstLine="397"/>
        <w:jc w:val="both"/>
      </w:pPr>
      <w:r>
        <w:rPr>
          <w:rFonts w:ascii="Garamond" w:eastAsia="Georgia" w:hAnsi="Garamond" w:cs="Georgia"/>
          <w:color w:val="1A1A1A"/>
          <w:sz w:val="19"/>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19"/>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 xml:space="preserve">Abdourahamane Tiani, CNSP Niger, entretien Télé </w:t>
      </w:r>
      <w:r w:rsidR="00FA2838">
        <w:rPr>
          <w:rFonts w:ascii="Garamond" w:eastAsia="Georgia" w:hAnsi="Garamond" w:cs="Georgia"/>
          <w:color w:val="1A1A1A"/>
          <w:sz w:val="19"/>
          <w:szCs w:val="22"/>
        </w:rPr>
        <w:t>Sahel]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pBdr>
          <w:left w:val="single" w:sz="14" w:space="10" w:color="C8A951"/>
        </w:pBdr>
        <w:spacing w:before="160" w:after="200" w:line="276" w:lineRule="auto"/>
        <w:ind w:left="680" w:right="283"/>
        <w:rPr>
          <w:i/>
          <w:iCs/>
        </w:rPr>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14:paraId="53A8A608"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1 : les médias français</w:t>
      </w:r>
    </w:p>
    <w:p w14:paraId="7A07BB94" w14:textId="77777777" w:rsidR="006E716F" w:rsidRDefault="00000000">
      <w:pPr>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2 : la guerre numérique</w:t>
      </w:r>
    </w:p>
    <w:p w14:paraId="3B23F81E" w14:textId="26FCEBB9" w:rsidR="006E716F" w:rsidRDefault="00000000">
      <w:pPr>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Mécanisme central : l’inversion causale</w:t>
      </w:r>
    </w:p>
    <w:p w14:paraId="3183B14D" w14:textId="773CCC59" w:rsidR="006E716F" w:rsidRDefault="00000000">
      <w:pPr>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FILS DE LIPTAKO-GOURMA</w:t>
      </w:r>
    </w:p>
    <w:p w14:paraId="2FFBEE71" w14:textId="77777777" w:rsidR="006E716F" w:rsidRDefault="00000000">
      <w:pPr>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spacing w:after="80" w:line="312" w:lineRule="auto"/>
        <w:ind w:left="2160" w:firstLine="720"/>
        <w:jc w:val="both"/>
        <w:rPr>
          <w:b/>
          <w:bCs/>
          <w:color w:val="D99594" w:themeColor="accent2" w:themeTint="99"/>
          <w:sz w:val="22"/>
          <w:szCs w:val="22"/>
        </w:rPr>
      </w:pPr>
      <w:r w:rsidRPr="00D61B0B">
        <w:rPr>
          <w:rFonts w:ascii="Garamond" w:hAnsi="Garamond"/>
          <w:b/>
          <w:bCs/>
          <w:color w:val="D99594" w:themeColor="accent2" w:themeTint="99"/>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spacing w:after="80" w:line="312" w:lineRule="auto"/>
        <w:ind w:left="2160" w:firstLine="720"/>
        <w:jc w:val="both"/>
        <w:rPr>
          <w:color w:val="D99594" w:themeColor="accent2" w:themeTint="99"/>
        </w:rPr>
      </w:pPr>
      <w:r w:rsidRPr="00D234DF">
        <w:rPr>
          <w:rFonts w:ascii="Garamond" w:hAnsi="Garamond"/>
          <w:b/>
          <w:bCs/>
          <w:color w:val="D99594" w:themeColor="accent2" w:themeTint="99"/>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16 — Mali : la première rupture</w:t>
      </w:r>
    </w:p>
    <w:p w14:paraId="6854F5D7" w14:textId="77777777" w:rsidR="006E716F" w:rsidRDefault="00000000">
      <w:pPr>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 Mali est et restera Un et Indivisible. »</w:t>
      </w:r>
    </w:p>
    <w:p w14:paraId="0709DC4F" w14:textId="77777777" w:rsidR="006E716F" w:rsidRDefault="00000000">
      <w:pPr>
        <w:spacing w:after="200" w:line="264" w:lineRule="auto"/>
        <w:ind w:left="680" w:right="700"/>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spacing w:after="200" w:line="264" w:lineRule="auto"/>
        <w:ind w:left="680" w:right="700"/>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14:paraId="27C422A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5101795A" w14:textId="77777777" w:rsidR="006E716F" w:rsidRDefault="00000000">
      <w:r>
        <w:lastRenderedPageBreak/>
        <w:br w:type="page"/>
      </w:r>
    </w:p>
    <w:p w14:paraId="40994DDB"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GÉOPOLITIQUE DE LA RUPTURE</w:t>
      </w:r>
    </w:p>
    <w:p w14:paraId="1DB2D30E" w14:textId="77777777" w:rsidR="006E716F" w:rsidRDefault="00000000">
      <w:pPr>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21 — L’Algérie : médiateur ambigu</w:t>
      </w:r>
    </w:p>
    <w:p w14:paraId="0954000D" w14:textId="77777777" w:rsidR="006E716F" w:rsidRDefault="00000000">
      <w:pPr>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14:paraId="3EBE9BE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329A19E0" w14:textId="77777777" w:rsidR="006E716F" w:rsidRDefault="00516243">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000000"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spacing w:after="200" w:line="264" w:lineRule="auto"/>
        <w:ind w:left="680" w:right="700"/>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14:paraId="261C014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16A4904E" w14:textId="77777777" w:rsidR="006E716F" w:rsidRDefault="00000000">
      <w:r>
        <w:lastRenderedPageBreak/>
        <w:br w:type="page"/>
      </w:r>
    </w:p>
    <w:p w14:paraId="4240AFD7"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GUERRE PROXY</w:t>
      </w:r>
    </w:p>
    <w:p w14:paraId="02FE5EFC" w14:textId="77777777" w:rsidR="006E716F" w:rsidRDefault="00000000">
      <w:pPr>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 — L’armée fantôme de Paris</w:t>
      </w:r>
    </w:p>
    <w:p w14:paraId="423334F5" w14:textId="77777777" w:rsidR="006E716F" w:rsidRDefault="00000000">
      <w:pPr>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spacing w:after="200" w:line="312" w:lineRule="auto"/>
        <w:ind w:left="680" w:right="720"/>
        <w:jc w:val="both"/>
        <w:rPr>
          <w:sz w:val="18"/>
          <w:szCs w:val="18"/>
        </w:rPr>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spacing w:after="80" w:line="288" w:lineRule="auto"/>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spacing w:after="80" w:line="288" w:lineRule="auto"/>
        <w:ind w:left="720"/>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spacing w:after="80" w:line="288" w:lineRule="auto"/>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spacing w:after="80" w:line="288" w:lineRule="auto"/>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spacing w:after="80" w:line="288" w:lineRule="auto"/>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spacing w:after="80" w:line="288" w:lineRule="auto"/>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spacing w:after="80" w:line="288" w:lineRule="auto"/>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spacing w:after="80" w:line="288" w:lineRule="auto"/>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spacing w:after="80" w:line="288" w:lineRule="auto"/>
        <w:ind w:left="720"/>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Nathalie Yamb, sur Human Rights Watch</w:t>
      </w:r>
    </w:p>
    <w:p w14:paraId="002DD532" w14:textId="77777777" w:rsidR="0028409C" w:rsidRPr="00850A62" w:rsidRDefault="00000000">
      <w:pPr>
        <w:spacing w:after="80" w:line="288" w:lineRule="auto"/>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spacing w:after="80" w:line="312" w:lineRule="auto"/>
        <w:jc w:val="center"/>
      </w:pPr>
      <w:r>
        <w:rPr>
          <w:rFonts w:ascii="Garamond" w:hAnsi="Garamond"/>
          <w:color w:val="C0392B"/>
          <w:sz w:val="22"/>
        </w:rPr>
        <w:t>★★★</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spacing w:after="80" w:line="288" w:lineRule="auto"/>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spacing w:after="80" w:line="288" w:lineRule="auto"/>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spacing w:after="80" w:line="288" w:lineRule="auto"/>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spacing w:after="80" w:line="288" w:lineRule="auto"/>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spacing w:after="80" w:line="288" w:lineRule="auto"/>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spacing w:after="80" w:line="288" w:lineRule="auto"/>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spacing w:after="80" w:line="312" w:lineRule="auto"/>
        <w:jc w:val="center"/>
      </w:pPr>
      <w:r>
        <w:rPr>
          <w:rFonts w:ascii="Garamond" w:hAnsi="Garamond"/>
          <w:color w:val="C0392B"/>
          <w:sz w:val="22"/>
        </w:rPr>
        <w:t>★★★</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spacing w:after="80" w:line="288" w:lineRule="auto"/>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spacing w:after="80" w:line="288" w:lineRule="auto"/>
        <w:ind w:left="720"/>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spacing w:after="200" w:line="288" w:lineRule="auto"/>
        <w:ind w:left="680"/>
        <w:jc w:val="right"/>
        <w:rPr>
          <w:i/>
          <w:iCs/>
          <w:sz w:val="18"/>
          <w:szCs w:val="18"/>
        </w:rPr>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spacing w:after="80" w:line="288" w:lineRule="auto"/>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spacing w:after="80" w:line="288" w:lineRule="auto"/>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spacing w:after="80" w:line="288" w:lineRule="auto"/>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Jonathan Batenguène, Panafrican Média TV, 10 mai 2026</w:t>
      </w:r>
    </w:p>
    <w:p w14:paraId="047E8E7E" w14:textId="77777777" w:rsidR="0028409C" w:rsidRDefault="00000000">
      <w:pPr>
        <w:spacing w:after="80" w:line="312" w:lineRule="auto"/>
        <w:jc w:val="center"/>
      </w:pPr>
      <w:r>
        <w:rPr>
          <w:rFonts w:ascii="Garamond" w:hAnsi="Garamond"/>
          <w:color w:val="C0392B"/>
          <w:sz w:val="22"/>
        </w:rPr>
        <w:t>★★★</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spacing w:after="80" w:line="288" w:lineRule="auto"/>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spacing w:after="80" w:line="288" w:lineRule="auto"/>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spacing w:after="80" w:line="288" w:lineRule="auto"/>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spacing w:after="80" w:line="288" w:lineRule="auto"/>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spacing w:after="80" w:line="312" w:lineRule="auto"/>
        <w:jc w:val="center"/>
      </w:pPr>
      <w:bookmarkStart w:id="2" w:name="_Hlk231837790"/>
      <w:r>
        <w:rPr>
          <w:rFonts w:ascii="Garamond" w:hAnsi="Garamond"/>
          <w:color w:val="C0392B"/>
          <w:sz w:val="22"/>
        </w:rPr>
        <w:t>★★★</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spacing w:after="200" w:line="264" w:lineRule="auto"/>
        <w:ind w:left="680" w:right="700"/>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14:paraId="3E74401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27 — Les attaques du 25 avril 2026</w:t>
      </w:r>
    </w:p>
    <w:p w14:paraId="0CCC2AE5" w14:textId="77777777" w:rsidR="006E716F" w:rsidRDefault="00000000">
      <w:pPr>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ind w:left="2160" w:firstLine="720"/>
      </w:pPr>
      <w:r w:rsidRPr="0010645E">
        <w:rPr>
          <w:rFonts w:ascii="Segoe UI Symbol" w:hAnsi="Segoe UI Symbol" w:cs="Segoe UI Symbol"/>
          <w:color w:val="D99594" w:themeColor="accent2" w:themeTint="99"/>
        </w:rPr>
        <w:t>★★★</w:t>
      </w:r>
      <w:r w:rsidR="00000000">
        <w:br w:type="page"/>
      </w:r>
    </w:p>
    <w:p w14:paraId="32081B3A" w14:textId="77777777" w:rsidR="006E716F" w:rsidRDefault="00000000">
      <w:r>
        <w:lastRenderedPageBreak/>
        <w:br w:type="page"/>
      </w:r>
    </w:p>
    <w:p w14:paraId="7C09606D"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DÉFIS INTERNES DE L’AES</w:t>
      </w:r>
    </w:p>
    <w:p w14:paraId="3C522661" w14:textId="77777777" w:rsidR="006E716F" w:rsidRDefault="00000000">
      <w:pPr>
        <w:spacing w:after="80" w:line="312" w:lineRule="auto"/>
        <w:ind w:firstLine="397"/>
        <w:jc w:val="both"/>
      </w:pPr>
      <w:r>
        <w:rPr>
          <w:rFonts w:ascii="Garamond" w:eastAsia="Arial" w:hAnsi="Garamond" w:cs="Arial"/>
          <w:i/>
          <w:iCs/>
          <w:color w:val="1A1A1A"/>
          <w:sz w:val="22"/>
          <w:szCs w:val="22"/>
        </w:rPr>
        <w:t>Ce que le projet souverain doit surmonter</w:t>
      </w:r>
    </w:p>
    <w:p w14:paraId="369726A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29 — La menace jihadiste persistante</w:t>
      </w:r>
    </w:p>
    <w:p w14:paraId="5FB30FEA" w14:textId="77777777" w:rsidR="006E716F" w:rsidRDefault="00000000">
      <w:pPr>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spacing w:after="200" w:line="264" w:lineRule="auto"/>
        <w:ind w:left="680" w:right="700"/>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0057300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spacing w:after="40" w:line="312" w:lineRule="auto" w:before="160"/>
        <w:ind w:left="680" w:right="720"/>
        <w:jc w:val="both"/>
        <w:rPr>
          <w:color w:val="943634" w:themeColor="accent2" w:themeShade="BF"/>
        </w:rP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spacing w:after="200" w:line="312" w:lineRule="auto"/>
        <w:ind w:left="680" w:right="720"/>
        <w:jc w:val="both"/>
        <w:rPr>
          <w:i/>
          <w:iCs/>
          <w:sz w:val="18"/>
          <w:szCs w:val="18"/>
        </w:rPr>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L’HORIZON SOUVERAIN</w:t>
      </w:r>
    </w:p>
    <w:p w14:paraId="5845FB51" w14:textId="77777777" w:rsidR="006E716F" w:rsidRDefault="00000000">
      <w:pPr>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Pr>
      <w:r w:rsidRPr="0064189E">
        <w:rPr>
          <w:rFonts w:ascii="Garamond" w:eastAsia="Georgia" w:hAnsi="Garamond" w:cs="Georgia"/>
          <w:b/>
          <w:color w:val="A6A6A6" w:themeColor="background1" w:themeShade="A6"/>
          <w:sz w:val="26"/>
          <w:szCs w:val="26"/>
        </w:rPr>
        <w:t>Chapitre 32 — Les morts de Barkhane : autopsie d’un mensonge d’État</w:t>
      </w:r>
    </w:p>
    <w:p w14:paraId="00320002" w14:textId="77777777" w:rsidR="0028409C" w:rsidRDefault="00000000">
      <w:pPr>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spacing w:after="80" w:line="312" w:lineRule="auto"/>
        <w:ind w:left="2160" w:firstLine="720"/>
        <w:jc w:val="both"/>
        <w:rPr>
          <w:color w:val="943634" w:themeColor="accent2" w:themeShade="BF"/>
        </w:rPr>
      </w:pPr>
      <w:r w:rsidRPr="00A82CA8">
        <w:rPr>
          <w:rFonts w:ascii="Segoe UI Symbol" w:hAnsi="Segoe UI Symbol" w:cs="Segoe UI Symbol"/>
          <w:color w:val="943634" w:themeColor="accent2" w:themeShade="BF"/>
        </w:rPr>
        <w:t>★★★</w:t>
      </w:r>
    </w:p>
    <w:p w14:paraId="0FC7460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spacing w:after="200" w:line="264" w:lineRule="auto"/>
        <w:ind w:left="680" w:right="700"/>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C86088E" w14:textId="77777777" w:rsidR="006E716F" w:rsidRDefault="00000000">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14:paraId="7F1B017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34 — L’armée fédérale sahélienne</w:t>
      </w:r>
    </w:p>
    <w:p w14:paraId="4A13EC86" w14:textId="77777777" w:rsidR="006E716F" w:rsidRDefault="00000000">
      <w:pPr>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14:paraId="1AF2874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36 — Sankara avait raison</w:t>
      </w:r>
    </w:p>
    <w:p w14:paraId="653D8297" w14:textId="77777777" w:rsidR="006E716F" w:rsidRDefault="00000000">
      <w:pPr>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spacing w:after="200" w:line="264" w:lineRule="auto"/>
        <w:ind w:left="680" w:right="700"/>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spacing w:after="80" w:line="288" w:lineRule="auto"/>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spacing w:after="80" w:line="288" w:lineRule="auto"/>
        <w:ind w:left="720"/>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spacing w:after="200" w:line="288" w:lineRule="auto"/>
        <w:ind w:left="680"/>
        <w:jc w:val="center"/>
        <w:rPr>
          <w:rFonts w:ascii="Garamond" w:eastAsia="Arial" w:hAnsi="Garamond" w:cs="Arial"/>
          <w:i/>
          <w:iCs/>
          <w:sz w:val="18"/>
          <w:szCs w:val="18"/>
        </w:rPr>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spacing w:after="80" w:line="288" w:lineRule="auto"/>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spacing w:after="80" w:line="288" w:lineRule="auto"/>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spacing w:after="80" w:line="288" w:lineRule="auto"/>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spacing w:after="80" w:line="288" w:lineRule="auto"/>
        <w:ind w:left="720"/>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spacing w:after="200" w:line="288" w:lineRule="auto"/>
        <w:ind w:left="680"/>
        <w:jc w:val="right"/>
        <w:rPr>
          <w:rFonts w:ascii="Garamond" w:eastAsia="Arial" w:hAnsi="Garamond" w:cs="Arial"/>
          <w:i/>
          <w:iCs/>
          <w:sz w:val="18"/>
          <w:szCs w:val="18"/>
        </w:rPr>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spacing w:after="80" w:line="288" w:lineRule="auto"/>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spacing w:after="80" w:line="312" w:lineRule="auto"/>
        <w:jc w:val="center"/>
      </w:pPr>
      <w:r>
        <w:rPr>
          <w:rFonts w:ascii="Garamond" w:hAnsi="Garamond"/>
          <w:color w:val="C0392B"/>
          <w:sz w:val="22"/>
        </w:rPr>
        <w:t>★★★</w:t>
      </w:r>
    </w:p>
    <w:p w14:paraId="018F0994"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pageBreakBefore/>
        <w:spacing w:before="720" w:after="280" w:line="288" w:lineRule="auto"/>
      </w:pPr>
      <w:r>
        <w:rPr>
          <w:rFonts w:ascii="Garamond" w:eastAsia="Arial" w:hAnsi="Garamond" w:cs="Arial"/>
          <w:b/>
          <w:bCs/>
          <w:color w:val="1A1A2E"/>
          <w:sz w:val="28"/>
          <w:szCs w:val="36"/>
        </w:rPr>
        <w:lastRenderedPageBreak/>
        <w:t>ÉPILOGUE</w:t>
      </w:r>
    </w:p>
    <w:p w14:paraId="05EFBC99" w14:textId="77777777" w:rsidR="006E716F" w:rsidRDefault="00000000">
      <w:pPr>
        <w:spacing w:before="240" w:after="120" w:line="288" w:lineRule="auto"/>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spacing w:after="80" w:line="312" w:lineRule="auto"/>
        <w:ind w:left="2160" w:firstLine="720"/>
        <w:jc w:val="both"/>
        <w:rPr>
          <w:rFonts w:ascii="Garamond" w:hAnsi="Garamond"/>
          <w:b/>
          <w:bCs/>
          <w:color w:val="D99594" w:themeColor="accent2" w:themeTint="99"/>
          <w:sz w:val="22"/>
          <w:szCs w:val="22"/>
        </w:rPr>
      </w:pPr>
      <w:bookmarkStart w:id="3" w:name="_Hlk231330285"/>
      <w:r w:rsidRPr="00745E9D">
        <w:rPr>
          <w:rFonts w:ascii="Garamond" w:hAnsi="Garamond"/>
          <w:b/>
          <w:bCs/>
          <w:color w:val="D99594" w:themeColor="accent2" w:themeTint="99"/>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spacing w:before="160" w:after="80"/>
      </w:pPr>
      <w:r>
        <w:rPr>
          <w:rFonts w:ascii="Garamond" w:hAnsi="Garamond"/>
          <w:b/>
          <w:sz w:val="22"/>
        </w:rPr>
        <w:t>Note sur les sources panafricanistes et militantes</w:t>
      </w:r>
    </w:p>
    <w:p w14:paraId="0FF00002" w14:textId="77777777" w:rsidR="0028409C" w:rsidRDefault="00000000">
      <w:pPr>
        <w:spacing w:after="80" w:line="288" w:lineRule="auto"/>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spacing w:after="80" w:line="288" w:lineRule="auto"/>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spacing w:after="80" w:line="288" w:lineRule="auto"/>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spacing w:after="160" w:line="288" w:lineRule="auto"/>
        <w:rPr>
          <w:sz w:val="28"/>
          <w:szCs w:val="28"/>
        </w:rPr>
      </w:pPr>
      <w:r>
        <w:rPr>
          <w:rFonts w:ascii="Garamond" w:hAnsi="Garamond"/>
          <w:b/>
          <w:bCs/>
          <w:color w:val="1A1A2E"/>
          <w:sz w:val="56"/>
          <w:szCs w:val="56"/>
        </w:rPr>
        <w:t xml:space="preserve">            </w:t>
      </w:r>
      <w:r w:rsidR="00F50583">
        <w:rPr>
          <w:rFonts w:ascii="Garamond" w:hAnsi="Garamond"/>
          <w:b/>
          <w:bCs/>
          <w:color w:val="1A1A2E"/>
          <w:sz w:val="56"/>
          <w:szCs w:val="56"/>
        </w:rPr>
        <w:t xml:space="preserve">    </w:t>
      </w:r>
      <w:r>
        <w:rPr>
          <w:rFonts w:ascii="Garamond" w:hAnsi="Garamond"/>
          <w:b/>
          <w:bCs/>
          <w:color w:val="1A1A2E"/>
          <w:sz w:val="56"/>
          <w:szCs w:val="56"/>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sz w:val="28"/>
          <w:szCs w:val="28"/>
        </w:rPr>
        <w:t xml:space="preserve">          </w:t>
      </w:r>
    </w:p>
    <w:p w14:paraId="2ED86905" w14:textId="77777777" w:rsidR="006E716F" w:rsidRDefault="00000000">
      <w:pPr>
        <w:spacing w:before="160" w:after="40" w:line="276" w:lineRule="auto"/>
        <w:ind w:left="680" w:right="283"/>
        <w:rPr>
          <w:rFonts w:ascii="Garamond" w:eastAsia="Arial" w:hAnsi="Garamond" w:cs="Arial"/>
          <w:i/>
          <w:iCs/>
          <w:color w:val="8B0000"/>
          <w:sz w:val="21"/>
        </w:rPr>
      </w:pPr>
      <w:r>
        <w:rPr>
          <w:rFonts w:ascii="Garamond" w:eastAsia="Arial" w:hAnsi="Garamond" w:cs="Arial"/>
          <w:i/>
          <w:iCs/>
          <w:color w:val="8B0000"/>
          <w:sz w:val="21"/>
        </w:rPr>
        <w:t>« Restons vigilants. »</w:t>
      </w:r>
    </w:p>
    <w:p>
      <w:pPr>
        <w:pStyle w:val="Normal"/>
        <w:spacing w:after="200"/>
        <w:ind w:left="680"/>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spacing w:after="200" w:line="264" w:lineRule="auto"/>
        <w:ind w:left="680"/>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