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2C3A4A"/>
          <w:sz w:val="56"/>
          <w:rFonts w:ascii="FreeSerif" w:hAnsi="FreeSerif" w:cs="FreeSerif"/>
        </w:rPr>
        <w:t>LA PAIX, ON PEUT L'ÉVITER</w:t>
      </w:r>
    </w:p>
    <w:p>
      <w:pPr>
        <w:spacing w:before="160" w:after="160"/>
        <w:jc w:val="center"/>
      </w:pPr>
      <w:r>
        <w:rPr>
          <w:b w:val="0"/>
          <w:i/>
          <w:color w:val="A07820"/>
          <w:sz w:val="24"/>
          <w:rFonts w:ascii="FreeSerif" w:hAnsi="FreeSerif" w:cs="FreeSerif"/>
        </w:rPr>
        <w:t>Enquête sur la naissance de l'Alliance des États du Sahel</w:t>
      </w:r>
    </w:p>
    <w:p>
      <w:pPr>
        <w:spacing w:before="400"/>
        <w:jc w:val="center"/>
      </w:pPr>
      <w:r>
        <w:rPr>
          <w:b/>
          <w:i w:val="0"/>
          <w:color w:val="0A0A0A"/>
          <w:sz w:val="22"/>
          <w:rFonts w:ascii="FreeSerif" w:hAnsi="FreeSerif" w:cs="FreeSerif"/>
        </w:rPr>
        <w:t>BEN–H2O</w:t>
      </w:r>
    </w:p>
    <w:p>
      <w:pPr>
        <w:spacing w:before="80" w:after="320"/>
        <w:jc w:val="center"/>
      </w:pPr>
      <w:r>
        <w:rPr>
          <w:b w:val="0"/>
          <w:i w:val="0"/>
          <w:color w:val="6A5A44"/>
          <w:sz w:val="20"/>
          <w:rFonts w:ascii="FreeSerif" w:hAnsi="FreeSerif" w:cs="FreeSerif"/>
        </w:rPr>
        <w:t>— 2026 —</w:t>
      </w:r>
    </w:p>
    <w:p>
      <w:pPr>
        <w:spacing w:before="160" w:after="160"/>
        <w:jc w:val="center"/>
      </w:pPr>
      <w:r>
        <w:rPr>
          <w:b w:val="0"/>
          <w:i w:val="0"/>
          <w:color w:val="A07820"/>
          <w:sz w:val="22"/>
          <w:rFonts w:ascii="FreeSerif" w:hAnsi="FreeSerif" w:cs="FreeSerif"/>
        </w:rPr>
        <w:t>★★★</w:t>
      </w:r>
    </w:p>
    <w:p>
      <w:pPr>
        <w:spacing w:before="600" w:after="120"/>
        <w:jc w:val="center"/>
      </w:pPr>
      <w:r>
        <w:rPr>
          <w:b w:val="0"/>
          <w:i w:val="0"/>
          <w:color w:val="6A5A44"/>
          <w:sz w:val="16"/>
          <w:rFonts w:ascii="FreeSerif" w:hAnsi="FreeSerif" w:cs="FreeSerif"/>
        </w:rPr>
        <w:t>© 2026 BEN–H2O — Tous droits réservés.</w:t>
      </w:r>
    </w:p>
    <w:p>
      <w:pPr>
        <w:spacing w:before="40" w:after="120"/>
        <w:ind w:left="567"/>
        <w:pBdr>
          <w:left w:val="single" w:sz="4" w:space="8" w:color="A07820"/>
        </w:pBdr>
      </w:pPr>
      <w:r>
        <w:rPr>
          <w:i/>
          <w:color w:val="8B1A1A"/>
          <w:sz w:val="20"/>
        </w:rPr>
        <w:t>« Un peuple sans connaissance de son histoire, de son origine et de sa culture est comme un arbre sans racines. »</w:t>
      </w:r>
    </w:p>
    <w:p>
      <w:pPr>
        <w:spacing w:before="40" w:after="120"/>
        <w:ind w:left="567"/>
        <w:pBdr>
          <w:left w:val="single" w:sz="4" w:space="8" w:color="A07820"/>
        </w:pBdr>
      </w:pPr>
      <w:r>
        <w:rPr>
          <w:i/>
          <w:color w:val="0A0A0A"/>
          <w:sz w:val="18"/>
        </w:rPr>
        <w:t>— Marcus Garvey</w:t>
      </w:r>
    </w:p>
    <w:p>
      <w:pPr>
        <w:spacing w:before="40" w:after="120"/>
        <w:ind w:left="567"/>
        <w:pBdr>
          <w:left w:val="single" w:sz="4" w:space="8" w:color="A07820"/>
        </w:pBdr>
      </w:pPr>
      <w:r>
        <w:rPr>
          <w:i/>
          <w:color w:val="8B1A1A"/>
          <w:sz w:val="20"/>
        </w:rPr>
        <w:t>« La liberté ne se donne pas, elle se prend. »</w:t>
      </w:r>
    </w:p>
    <w:p>
      <w:pPr>
        <w:spacing w:before="40" w:after="120"/>
        <w:ind w:left="567"/>
        <w:pBdr>
          <w:left w:val="single" w:sz="4" w:space="8" w:color="A07820"/>
        </w:pBdr>
      </w:pPr>
      <w:r>
        <w:rPr>
          <w:i/>
          <w:color w:val="0A0A0A"/>
          <w:sz w:val="18"/>
        </w:rPr>
        <w:t>— Frantz Fanon, *Les Damnés de la Terre*, 1961</w:t>
      </w:r>
    </w:p>
    <w:p>
      <w:pPr>
        <w:spacing w:before="40" w:after="120"/>
        <w:ind w:left="567"/>
        <w:pBdr>
          <w:left w:val="single" w:sz="4" w:space="8" w:color="A07820"/>
        </w:pBdr>
      </w:pPr>
      <w:r>
        <w:rPr>
          <w:i/>
          <w:color w:val="8B1A1A"/>
          <w:sz w:val="20"/>
        </w:rPr>
        <w:t>« Il faut oser inventer l'avenir. »</w:t>
      </w:r>
    </w:p>
    <w:p>
      <w:pPr>
        <w:spacing w:before="40" w:after="120"/>
        <w:ind w:left="567"/>
        <w:pBdr>
          <w:left w:val="single" w:sz="4" w:space="8" w:color="A07820"/>
        </w:pBdr>
      </w:pPr>
      <w:r>
        <w:rPr>
          <w:i/>
          <w:color w:val="0A0A0A"/>
          <w:sz w:val="18"/>
        </w:rPr>
        <w:t>— Thomas Sankara, discours à l'ONU, 4 octobre 1984</w:t>
      </w:r>
    </w:p>
    <w:p>
      <w:pPr>
        <w:spacing w:before="160" w:after="160"/>
        <w:jc w:val="center"/>
      </w:pPr>
      <w:r>
        <w:rPr>
          <w:b w:val="0"/>
          <w:i w:val="0"/>
          <w:color w:val="A07820"/>
          <w:sz w:val="22"/>
          <w:rFonts w:ascii="FreeSerif" w:hAnsi="FreeSerif" w:cs="FreeSerif"/>
        </w:rPr>
        <w:t>★★★</w:t>
      </w:r>
    </w:p>
    <w:p>
      <w:pPr>
        <w:spacing w:before="120" w:after="200"/>
        <w:jc w:val="center"/>
        <w:pBdr>
          <w:bottom w:val="single" w:sz="16" w:space="4" w:color="A07820"/>
        </w:pBdr>
      </w:pPr>
      <w:r>
        <w:rPr>
          <w:b/>
          <w:i w:val="0"/>
          <w:color w:val="2C3A4A"/>
          <w:sz w:val="36"/>
          <w:rFonts w:ascii="FreeSerif" w:hAnsi="FreeSerif" w:cs="FreeSerif"/>
        </w:rPr>
        <w:t>SOMMAIRE</w:t>
      </w:r>
    </w:p>
    <w:p>
      <w:pPr>
        <w:spacing w:before="100" w:after="40" w:line="288" w:lineRule="auto"/>
        <w:ind w:left="0"/>
        <w:jc w:val="left"/>
      </w:pPr>
      <w:r>
        <w:rPr>
          <w:b/>
          <w:i/>
          <w:color w:val="2C3A4A"/>
          <w:sz w:val="21"/>
          <w:rFonts w:ascii="FreeSerif" w:hAnsi="FreeSerif" w:cs="FreeSerif"/>
        </w:rPr>
        <w:t>Avant-propos — Méthode, sources et limites</w:t>
      </w:r>
    </w:p>
    <w:p>
      <w:pPr>
        <w:spacing w:before="100" w:after="40" w:line="288" w:lineRule="auto"/>
        <w:ind w:left="0"/>
        <w:jc w:val="left"/>
      </w:pPr>
      <w:r>
        <w:rPr>
          <w:b/>
          <w:i/>
          <w:color w:val="2C3A4A"/>
          <w:sz w:val="21"/>
          <w:rFonts w:ascii="FreeSerif" w:hAnsi="FreeSerif" w:cs="FreeSerif"/>
        </w:rPr>
        <w:t>Prologue — La villa de Niamey</w:t>
      </w:r>
    </w:p>
    <w:p>
      <w:pPr>
        <w:spacing w:before="100" w:after="40" w:line="288" w:lineRule="auto"/>
        <w:ind w:left="0"/>
        <w:jc w:val="left"/>
      </w:pPr>
      <w:r>
        <w:rPr>
          <w:b/>
          <w:i/>
          <w:color w:val="2C3A4A"/>
          <w:sz w:val="21"/>
          <w:rFonts w:ascii="FreeSerif" w:hAnsi="FreeSerif" w:cs="FreeSerif"/>
        </w:rPr>
        <w:t>Introduction — Pourquoi l'AES change tout</w:t>
      </w:r>
    </w:p>
    <w:p>
      <w:pPr>
        <w:spacing w:before="240" w:after="60" w:line="288" w:lineRule="auto"/>
        <w:ind w:left="0"/>
        <w:jc w:val="left"/>
      </w:pPr>
      <w:r>
        <w:rPr>
          <w:b/>
          <w:i w:val="0"/>
          <w:color w:val="A07820"/>
          <w:sz w:val="21"/>
          <w:rFonts w:ascii="FreeSerif" w:hAnsi="FreeSerif" w:cs="FreeSerif"/>
        </w:rPr>
        <w:t>PARTIE I — L'AFRIQUE AVANT LA DOMINATION</w:t>
      </w:r>
    </w:p>
    <w:p>
      <w:pPr>
        <w:spacing w:before="0" w:after="20" w:line="288" w:lineRule="auto"/>
        <w:ind w:left="432"/>
        <w:jc w:val="left"/>
      </w:pPr>
      <w:r>
        <w:rPr>
          <w:b w:val="0"/>
          <w:i w:val="0"/>
          <w:color w:val="2E2E2E"/>
          <w:sz w:val="20"/>
          <w:rFonts w:ascii="FreeSerif" w:hAnsi="FreeSerif" w:cs="FreeSerif"/>
        </w:rPr>
        <w:t>Chapitre 1 — Les grands empires</w:t>
      </w:r>
    </w:p>
    <w:p>
      <w:pPr>
        <w:spacing w:before="0" w:after="20" w:line="288" w:lineRule="auto"/>
        <w:ind w:left="432"/>
        <w:jc w:val="left"/>
      </w:pPr>
      <w:r>
        <w:rPr>
          <w:b w:val="0"/>
          <w:i w:val="0"/>
          <w:color w:val="2E2E2E"/>
          <w:sz w:val="20"/>
          <w:rFonts w:ascii="FreeSerif" w:hAnsi="FreeSerif" w:cs="FreeSerif"/>
        </w:rPr>
        <w:t>Chapitre 2 — Les civilisations du Sahel</w:t>
      </w:r>
    </w:p>
    <w:p>
      <w:pPr>
        <w:spacing w:before="0" w:after="20" w:line="288" w:lineRule="auto"/>
        <w:ind w:left="432"/>
        <w:jc w:val="left"/>
      </w:pPr>
      <w:r>
        <w:rPr>
          <w:b w:val="0"/>
          <w:i w:val="0"/>
          <w:color w:val="2E2E2E"/>
          <w:sz w:val="20"/>
          <w:rFonts w:ascii="FreeSerif" w:hAnsi="FreeSerif" w:cs="FreeSerif"/>
        </w:rPr>
        <w:t>Chapitre 3 — La conquête coloniale</w:t>
      </w:r>
    </w:p>
    <w:p>
      <w:pPr>
        <w:spacing w:before="0" w:after="20" w:line="288" w:lineRule="auto"/>
        <w:ind w:left="432"/>
        <w:jc w:val="left"/>
      </w:pPr>
      <w:r>
        <w:rPr>
          <w:b w:val="0"/>
          <w:i w:val="0"/>
          <w:color w:val="2E2E2E"/>
          <w:sz w:val="20"/>
          <w:rFonts w:ascii="FreeSerif" w:hAnsi="FreeSerif" w:cs="FreeSerif"/>
        </w:rPr>
        <w:t>Chapitre 4 — Les résistances oubliées</w:t>
      </w:r>
    </w:p>
    <w:p>
      <w:pPr>
        <w:spacing w:before="240" w:after="60" w:line="288" w:lineRule="auto"/>
        <w:ind w:left="0"/>
        <w:jc w:val="left"/>
      </w:pPr>
      <w:r>
        <w:rPr>
          <w:b/>
          <w:i w:val="0"/>
          <w:color w:val="A07820"/>
          <w:sz w:val="21"/>
          <w:rFonts w:ascii="FreeSerif" w:hAnsi="FreeSerif" w:cs="FreeSerif"/>
        </w:rPr>
        <w:t>PARTIE II — COMMENT LA DÉPENDANCE A ÉTÉ ORGANISÉE</w:t>
      </w:r>
    </w:p>
    <w:p>
      <w:pPr>
        <w:spacing w:before="0" w:after="20" w:line="288" w:lineRule="auto"/>
        <w:ind w:left="432"/>
        <w:jc w:val="left"/>
      </w:pPr>
      <w:r>
        <w:rPr>
          <w:b w:val="0"/>
          <w:i w:val="0"/>
          <w:color w:val="2E2E2E"/>
          <w:sz w:val="20"/>
          <w:rFonts w:ascii="FreeSerif" w:hAnsi="FreeSerif" w:cs="FreeSerif"/>
        </w:rPr>
        <w:t>Chapitre 5 — 1960: les indépendances inachevées</w:t>
      </w:r>
    </w:p>
    <w:p>
      <w:pPr>
        <w:spacing w:before="0" w:after="20" w:line="288" w:lineRule="auto"/>
        <w:ind w:left="432"/>
        <w:jc w:val="left"/>
      </w:pPr>
      <w:r>
        <w:rPr>
          <w:b w:val="0"/>
          <w:i w:val="0"/>
          <w:color w:val="2E2E2E"/>
          <w:sz w:val="20"/>
          <w:rFonts w:ascii="FreeSerif" w:hAnsi="FreeSerif" w:cs="FreeSerif"/>
        </w:rPr>
        <w:t>Chapitre 6 — Le pacte néocolonial</w:t>
      </w:r>
    </w:p>
    <w:p>
      <w:pPr>
        <w:spacing w:before="0" w:after="20" w:line="288" w:lineRule="auto"/>
        <w:ind w:left="432"/>
        <w:jc w:val="left"/>
      </w:pPr>
      <w:r>
        <w:rPr>
          <w:b w:val="0"/>
          <w:i w:val="0"/>
          <w:color w:val="2E2E2E"/>
          <w:sz w:val="20"/>
          <w:rFonts w:ascii="FreeSerif" w:hAnsi="FreeSerif" w:cs="FreeSerif"/>
        </w:rPr>
        <w:t>Chapitre 7 — Le franc CFA</w:t>
      </w:r>
    </w:p>
    <w:p>
      <w:pPr>
        <w:spacing w:before="0" w:after="20" w:line="288" w:lineRule="auto"/>
        <w:ind w:left="432"/>
        <w:jc w:val="left"/>
      </w:pPr>
      <w:r>
        <w:rPr>
          <w:b w:val="0"/>
          <w:i w:val="0"/>
          <w:color w:val="2E2E2E"/>
          <w:sz w:val="20"/>
          <w:rFonts w:ascii="FreeSerif" w:hAnsi="FreeSerif" w:cs="FreeSerif"/>
        </w:rPr>
        <w:t>Chapitre 8 — Les ressources stratégiques</w:t>
      </w:r>
    </w:p>
    <w:p>
      <w:pPr>
        <w:spacing w:before="0" w:after="20" w:line="288" w:lineRule="auto"/>
        <w:ind w:left="432"/>
        <w:jc w:val="left"/>
      </w:pPr>
      <w:r>
        <w:rPr>
          <w:b w:val="0"/>
          <w:i w:val="0"/>
          <w:color w:val="2E2E2E"/>
          <w:sz w:val="20"/>
          <w:rFonts w:ascii="FreeSerif" w:hAnsi="FreeSerif" w:cs="FreeSerif"/>
        </w:rPr>
        <w:t>Chapitre 9 — L'aide, la dette, les assassins financiers</w:t>
      </w:r>
    </w:p>
    <w:p>
      <w:pPr>
        <w:spacing w:before="0" w:after="20" w:line="288" w:lineRule="auto"/>
        <w:ind w:left="432"/>
        <w:jc w:val="left"/>
      </w:pPr>
      <w:r>
        <w:rPr>
          <w:b w:val="0"/>
          <w:i w:val="0"/>
          <w:color w:val="2E2E2E"/>
          <w:sz w:val="20"/>
          <w:rFonts w:ascii="FreeSerif" w:hAnsi="FreeSerif" w:cs="FreeSerif"/>
        </w:rPr>
        <w:t>Chapitre 10 — Les réseaux d'influence</w:t>
      </w:r>
    </w:p>
    <w:p>
      <w:pPr>
        <w:spacing w:before="240" w:after="60" w:line="288" w:lineRule="auto"/>
        <w:ind w:left="0"/>
        <w:jc w:val="left"/>
      </w:pPr>
      <w:r>
        <w:rPr>
          <w:b/>
          <w:i w:val="0"/>
          <w:color w:val="A07820"/>
          <w:sz w:val="21"/>
          <w:rFonts w:ascii="FreeSerif" w:hAnsi="FreeSerif" w:cs="FreeSerif"/>
        </w:rPr>
        <w:t>PARTIE III — LA GUERRE DU SAHEL</w:t>
      </w:r>
    </w:p>
    <w:p>
      <w:pPr>
        <w:spacing w:before="0" w:after="20" w:line="288" w:lineRule="auto"/>
        <w:ind w:left="432"/>
        <w:jc w:val="left"/>
      </w:pPr>
      <w:r>
        <w:rPr>
          <w:b w:val="0"/>
          <w:i w:val="0"/>
          <w:color w:val="2E2E2E"/>
          <w:sz w:val="20"/>
          <w:rFonts w:ascii="FreeSerif" w:hAnsi="FreeSerif" w:cs="FreeSerif"/>
        </w:rPr>
        <w:t>Chapitre 11 — La crise libyenne</w:t>
      </w:r>
    </w:p>
    <w:p>
      <w:pPr>
        <w:spacing w:before="0" w:after="20" w:line="288" w:lineRule="auto"/>
        <w:ind w:left="432"/>
        <w:jc w:val="left"/>
      </w:pPr>
      <w:r>
        <w:rPr>
          <w:b w:val="0"/>
          <w:i w:val="0"/>
          <w:color w:val="2E2E2E"/>
          <w:sz w:val="20"/>
          <w:rFonts w:ascii="FreeSerif" w:hAnsi="FreeSerif" w:cs="FreeSerif"/>
        </w:rPr>
        <w:t>Chapitre 12 — L'explosion du terrorisme</w:t>
      </w:r>
    </w:p>
    <w:p>
      <w:pPr>
        <w:spacing w:before="0" w:after="20" w:line="288" w:lineRule="auto"/>
        <w:ind w:left="432"/>
        <w:jc w:val="left"/>
      </w:pPr>
      <w:r>
        <w:rPr>
          <w:b w:val="0"/>
          <w:i w:val="0"/>
          <w:color w:val="2E2E2E"/>
          <w:sz w:val="20"/>
          <w:rFonts w:ascii="FreeSerif" w:hAnsi="FreeSerif" w:cs="FreeSerif"/>
        </w:rPr>
        <w:t>Chapitre 13 — Serval, Barkhane et leurs limites</w:t>
      </w:r>
    </w:p>
    <w:p>
      <w:pPr>
        <w:spacing w:before="0" w:after="20" w:line="288" w:lineRule="auto"/>
        <w:ind w:left="432"/>
        <w:jc w:val="left"/>
      </w:pPr>
      <w:r>
        <w:rPr>
          <w:b w:val="0"/>
          <w:i w:val="0"/>
          <w:color w:val="2E2E2E"/>
          <w:sz w:val="20"/>
          <w:rFonts w:ascii="FreeSerif" w:hAnsi="FreeSerif" w:cs="FreeSerif"/>
        </w:rPr>
        <w:t>Chapitre 14 — La bataille de l'information</w:t>
      </w:r>
    </w:p>
    <w:p>
      <w:pPr>
        <w:spacing w:before="0" w:after="20" w:line="288" w:lineRule="auto"/>
        <w:ind w:left="432"/>
        <w:jc w:val="left"/>
      </w:pPr>
      <w:r>
        <w:rPr>
          <w:b w:val="0"/>
          <w:i w:val="0"/>
          <w:color w:val="2E2E2E"/>
          <w:sz w:val="20"/>
          <w:rFonts w:ascii="FreeSerif" w:hAnsi="FreeSerif" w:cs="FreeSerif"/>
        </w:rPr>
        <w:t>Chapitre 15 — Ce que la France admet en privé</w:t>
      </w:r>
    </w:p>
    <w:p>
      <w:pPr>
        <w:spacing w:before="240" w:after="60" w:line="288" w:lineRule="auto"/>
        <w:ind w:left="0"/>
        <w:jc w:val="left"/>
      </w:pPr>
      <w:r>
        <w:rPr>
          <w:b/>
          <w:i w:val="0"/>
          <w:color w:val="A07820"/>
          <w:sz w:val="21"/>
          <w:rFonts w:ascii="FreeSerif" w:hAnsi="FreeSerif" w:cs="FreeSerif"/>
        </w:rPr>
        <w:t>PARTIE IV — LA RÉVOLUTION DE LA SOUVERAINETÉ</w:t>
      </w:r>
    </w:p>
    <w:p>
      <w:pPr>
        <w:spacing w:before="0" w:after="20" w:line="288" w:lineRule="auto"/>
        <w:ind w:left="432"/>
        <w:jc w:val="left"/>
      </w:pPr>
      <w:r>
        <w:rPr>
          <w:b w:val="0"/>
          <w:i w:val="0"/>
          <w:color w:val="2E2E2E"/>
          <w:sz w:val="20"/>
          <w:rFonts w:ascii="FreeSerif" w:hAnsi="FreeSerif" w:cs="FreeSerif"/>
        </w:rPr>
        <w:t>Chapitre 16 — Mali: la première rupture</w:t>
      </w:r>
    </w:p>
    <w:p>
      <w:pPr>
        <w:spacing w:before="0" w:after="20" w:line="288" w:lineRule="auto"/>
        <w:ind w:left="432"/>
        <w:jc w:val="left"/>
      </w:pPr>
      <w:r>
        <w:rPr>
          <w:b w:val="0"/>
          <w:i w:val="0"/>
          <w:color w:val="2E2E2E"/>
          <w:sz w:val="20"/>
          <w:rFonts w:ascii="FreeSerif" w:hAnsi="FreeSerif" w:cs="FreeSerif"/>
        </w:rPr>
        <w:t>Chapitre 17 — Burkina Faso: la doctrine Traoré</w:t>
      </w:r>
    </w:p>
    <w:p>
      <w:pPr>
        <w:spacing w:before="0" w:after="20" w:line="288" w:lineRule="auto"/>
        <w:ind w:left="432"/>
        <w:jc w:val="left"/>
      </w:pPr>
      <w:r>
        <w:rPr>
          <w:b w:val="0"/>
          <w:i w:val="0"/>
          <w:color w:val="2E2E2E"/>
          <w:sz w:val="20"/>
          <w:rFonts w:ascii="FreeSerif" w:hAnsi="FreeSerif" w:cs="FreeSerif"/>
        </w:rPr>
        <w:t>Chapitre 18 — Niger: le verrou final</w:t>
      </w:r>
    </w:p>
    <w:p>
      <w:pPr>
        <w:spacing w:before="0" w:after="20" w:line="288" w:lineRule="auto"/>
        <w:ind w:left="432"/>
        <w:jc w:val="left"/>
      </w:pPr>
      <w:r>
        <w:rPr>
          <w:b w:val="0"/>
          <w:i w:val="0"/>
          <w:color w:val="2E2E2E"/>
          <w:sz w:val="20"/>
          <w:rFonts w:ascii="FreeSerif" w:hAnsi="FreeSerif" w:cs="FreeSerif"/>
        </w:rPr>
        <w:t>Chapitre 19 — La naissance de l'AES</w:t>
      </w:r>
    </w:p>
    <w:p>
      <w:pPr>
        <w:spacing w:before="0" w:after="20" w:line="288" w:lineRule="auto"/>
        <w:ind w:left="432"/>
        <w:jc w:val="left"/>
      </w:pPr>
      <w:r>
        <w:rPr>
          <w:b w:val="0"/>
          <w:i w:val="0"/>
          <w:color w:val="2E2E2E"/>
          <w:sz w:val="20"/>
          <w:rFonts w:ascii="FreeSerif" w:hAnsi="FreeSerif" w:cs="FreeSerif"/>
        </w:rPr>
        <w:t>Chapitre 20 — La guerre proxy</w:t>
      </w:r>
    </w:p>
    <w:p>
      <w:pPr>
        <w:spacing w:before="0" w:after="20" w:line="288" w:lineRule="auto"/>
        <w:ind w:left="432"/>
        <w:jc w:val="left"/>
      </w:pPr>
      <w:r>
        <w:rPr>
          <w:b w:val="0"/>
          <w:i w:val="0"/>
          <w:color w:val="2E2E2E"/>
          <w:sz w:val="20"/>
          <w:rFonts w:ascii="FreeSerif" w:hAnsi="FreeSerif" w:cs="FreeSerif"/>
        </w:rPr>
        <w:t>Chapitre 21 — L'environnement régional</w:t>
      </w:r>
    </w:p>
    <w:p>
      <w:pPr>
        <w:spacing w:before="240" w:after="60" w:line="288" w:lineRule="auto"/>
        <w:ind w:left="0"/>
        <w:jc w:val="left"/>
      </w:pPr>
      <w:r>
        <w:rPr>
          <w:b/>
          <w:i w:val="0"/>
          <w:color w:val="A07820"/>
          <w:sz w:val="21"/>
          <w:rFonts w:ascii="FreeSerif" w:hAnsi="FreeSerif" w:cs="FreeSerif"/>
        </w:rPr>
        <w:t>PARTIE V — LE RÉVEIL PANAFRICAIN</w:t>
      </w:r>
    </w:p>
    <w:p>
      <w:pPr>
        <w:spacing w:before="0" w:after="20" w:line="288" w:lineRule="auto"/>
        <w:ind w:left="432"/>
        <w:jc w:val="left"/>
      </w:pPr>
      <w:r>
        <w:rPr>
          <w:b w:val="0"/>
          <w:i w:val="0"/>
          <w:color w:val="2E2E2E"/>
          <w:sz w:val="20"/>
          <w:rFonts w:ascii="FreeSerif" w:hAnsi="FreeSerif" w:cs="FreeSerif"/>
        </w:rPr>
        <w:t>Chapitre 22 — Nkrumah, Lumumba, Keïta: la première vague</w:t>
      </w:r>
    </w:p>
    <w:p>
      <w:pPr>
        <w:spacing w:before="0" w:after="20" w:line="288" w:lineRule="auto"/>
        <w:ind w:left="432"/>
        <w:jc w:val="left"/>
      </w:pPr>
      <w:r>
        <w:rPr>
          <w:b w:val="0"/>
          <w:i w:val="0"/>
          <w:color w:val="2E2E2E"/>
          <w:sz w:val="20"/>
          <w:rFonts w:ascii="FreeSerif" w:hAnsi="FreeSerif" w:cs="FreeSerif"/>
        </w:rPr>
        <w:t>Chapitre 23 — Sankara avait raison</w:t>
      </w:r>
    </w:p>
    <w:p>
      <w:pPr>
        <w:spacing w:before="0" w:after="20" w:line="288" w:lineRule="auto"/>
        <w:ind w:left="432"/>
        <w:jc w:val="left"/>
      </w:pPr>
      <w:r>
        <w:rPr>
          <w:b w:val="0"/>
          <w:i w:val="0"/>
          <w:color w:val="2E2E2E"/>
          <w:sz w:val="20"/>
          <w:rFonts w:ascii="FreeSerif" w:hAnsi="FreeSerif" w:cs="FreeSerif"/>
        </w:rPr>
        <w:t>Chapitre 24 — La jeunesse connectée, la diaspora en première ligne</w:t>
      </w:r>
    </w:p>
    <w:p>
      <w:pPr>
        <w:spacing w:before="0" w:after="20" w:line="288" w:lineRule="auto"/>
        <w:ind w:left="432"/>
        <w:jc w:val="left"/>
      </w:pPr>
      <w:r>
        <w:rPr>
          <w:b w:val="0"/>
          <w:i w:val="0"/>
          <w:color w:val="2E2E2E"/>
          <w:sz w:val="20"/>
          <w:rFonts w:ascii="FreeSerif" w:hAnsi="FreeSerif" w:cs="FreeSerif"/>
        </w:rPr>
        <w:t>Chapitre 25 — L'AES, laboratoire panafricain</w:t>
      </w:r>
    </w:p>
    <w:p>
      <w:pPr>
        <w:spacing w:before="240" w:after="60" w:line="288" w:lineRule="auto"/>
        <w:ind w:left="0"/>
        <w:jc w:val="left"/>
      </w:pPr>
      <w:r>
        <w:rPr>
          <w:b/>
          <w:i w:val="0"/>
          <w:color w:val="A07820"/>
          <w:sz w:val="21"/>
          <w:rFonts w:ascii="FreeSerif" w:hAnsi="FreeSerif" w:cs="FreeSerif"/>
        </w:rPr>
        <w:t>PARTIE VI — LES DÉFIS DE DEMAIN</w:t>
      </w:r>
    </w:p>
    <w:p>
      <w:pPr>
        <w:spacing w:before="0" w:after="20" w:line="288" w:lineRule="auto"/>
        <w:ind w:left="432"/>
        <w:jc w:val="left"/>
      </w:pPr>
      <w:r>
        <w:rPr>
          <w:b w:val="0"/>
          <w:i w:val="0"/>
          <w:color w:val="2E2E2E"/>
          <w:sz w:val="20"/>
          <w:rFonts w:ascii="FreeSerif" w:hAnsi="FreeSerif" w:cs="FreeSerif"/>
        </w:rPr>
        <w:t>Chapitre 26 — Sécurité : vaincre sans trahir</w:t>
      </w:r>
    </w:p>
    <w:p>
      <w:pPr>
        <w:spacing w:before="0" w:after="20" w:line="288" w:lineRule="auto"/>
        <w:ind w:left="432"/>
        <w:jc w:val="left"/>
      </w:pPr>
      <w:r>
        <w:rPr>
          <w:b w:val="0"/>
          <w:i w:val="0"/>
          <w:color w:val="2E2E2E"/>
          <w:sz w:val="20"/>
          <w:rFonts w:ascii="FreeSerif" w:hAnsi="FreeSerif" w:cs="FreeSerif"/>
        </w:rPr>
        <w:t>Chapitre 27 — Industrialisation et éducation: l'économie de guerre et l'arme des cerveaux</w:t>
      </w:r>
    </w:p>
    <w:p>
      <w:pPr>
        <w:spacing w:before="0" w:after="20" w:line="288" w:lineRule="auto"/>
        <w:ind w:left="432"/>
        <w:jc w:val="left"/>
      </w:pPr>
      <w:r>
        <w:rPr>
          <w:b w:val="0"/>
          <w:i w:val="0"/>
          <w:color w:val="2E2E2E"/>
          <w:sz w:val="20"/>
          <w:rFonts w:ascii="FreeSerif" w:hAnsi="FreeSerif" w:cs="FreeSerif"/>
        </w:rPr>
        <w:t>Chapitre 28 — La monnaie: briser la chaîne du CFA</w:t>
      </w:r>
    </w:p>
    <w:p>
      <w:pPr>
        <w:spacing w:before="0" w:after="20" w:line="288" w:lineRule="auto"/>
        <w:ind w:left="432"/>
        <w:jc w:val="left"/>
      </w:pPr>
      <w:r>
        <w:rPr>
          <w:b w:val="0"/>
          <w:i w:val="0"/>
          <w:color w:val="2E2E2E"/>
          <w:sz w:val="20"/>
          <w:rFonts w:ascii="FreeSerif" w:hAnsi="FreeSerif" w:cs="FreeSerif"/>
        </w:rPr>
        <w:t>Chapitre 29 — Le monde multipolaire: partenaires ou nouveaux maîtres?</w:t>
      </w:r>
    </w:p>
    <w:p>
      <w:pPr>
        <w:spacing w:before="0" w:after="20" w:line="288" w:lineRule="auto"/>
        <w:ind w:left="432"/>
        <w:jc w:val="left"/>
      </w:pPr>
      <w:r>
        <w:rPr>
          <w:b w:val="0"/>
          <w:i w:val="0"/>
          <w:color w:val="2E2E2E"/>
          <w:sz w:val="20"/>
          <w:rFonts w:ascii="FreeSerif" w:hAnsi="FreeSerif" w:cs="FreeSerif"/>
        </w:rPr>
        <w:t>Chapitre 30 — France-Afrique 2.0: la recomposition de la domination</w:t>
      </w:r>
    </w:p>
    <w:p>
      <w:pPr>
        <w:spacing w:before="0" w:after="20" w:line="288" w:lineRule="auto"/>
        <w:ind w:left="432"/>
        <w:jc w:val="left"/>
      </w:pPr>
      <w:r>
        <w:rPr>
          <w:b w:val="0"/>
          <w:i w:val="0"/>
          <w:color w:val="2E2E2E"/>
          <w:sz w:val="20"/>
          <w:rFonts w:ascii="FreeSerif" w:hAnsi="FreeSerif" w:cs="FreeSerif"/>
        </w:rPr>
        <w:t>Chapitre 31 — Ce que l'AES doit réussir pour survivre</w:t>
      </w:r>
    </w:p>
    <w:p>
      <w:pPr>
        <w:spacing w:before="100" w:after="40" w:line="288" w:lineRule="auto"/>
        <w:ind w:left="0"/>
        <w:jc w:val="left"/>
      </w:pPr>
      <w:r>
        <w:rPr>
          <w:b/>
          <w:i/>
          <w:color w:val="2C3A4A"/>
          <w:sz w:val="21"/>
          <w:rFonts w:ascii="FreeSerif" w:hAnsi="FreeSerif" w:cs="FreeSerif"/>
        </w:rPr>
        <w:t>Conclusion — Retour à la villa de Niamey</w:t>
      </w:r>
    </w:p>
    <w:p>
      <w:pPr>
        <w:spacing w:before="100" w:after="40" w:line="288" w:lineRule="auto"/>
        <w:ind w:left="0"/>
        <w:jc w:val="left"/>
      </w:pPr>
      <w:r>
        <w:rPr>
          <w:b/>
          <w:i/>
          <w:color w:val="2C3A4A"/>
          <w:sz w:val="21"/>
          <w:rFonts w:ascii="FreeSerif" w:hAnsi="FreeSerif" w:cs="FreeSerif"/>
        </w:rPr>
        <w:t>Chronologie — du partage de l'Afrique à l'Alliance des États du Sahel</w:t>
      </w:r>
    </w:p>
    <w:p>
      <w:pPr>
        <w:spacing w:before="100" w:after="40" w:line="288" w:lineRule="auto"/>
        <w:ind w:left="0"/>
        <w:jc w:val="left"/>
      </w:pPr>
      <w:r>
        <w:rPr>
          <w:b/>
          <w:i/>
          <w:color w:val="2C3A4A"/>
          <w:sz w:val="21"/>
          <w:rFonts w:ascii="FreeSerif" w:hAnsi="FreeSerif" w:cs="FreeSerif"/>
        </w:rPr>
        <w:t>Glossaire des sigles</w:t>
      </w:r>
    </w:p>
    <w:p>
      <w:pPr>
        <w:spacing w:before="100" w:after="40" w:line="288" w:lineRule="auto"/>
        <w:ind w:left="0"/>
        <w:jc w:val="left"/>
      </w:pPr>
      <w:r>
        <w:rPr>
          <w:b/>
          <w:i/>
          <w:color w:val="2C3A4A"/>
          <w:sz w:val="21"/>
          <w:rFonts w:ascii="FreeSerif" w:hAnsi="FreeSerif" w:cs="FreeSerif"/>
        </w:rPr>
        <w:t>Index des personnages</w:t>
      </w:r>
    </w:p>
    <w:p>
      <w:pPr>
        <w:spacing w:before="100" w:after="40" w:line="288" w:lineRule="auto"/>
        <w:ind w:left="0"/>
        <w:jc w:val="left"/>
      </w:pPr>
      <w:r>
        <w:rPr>
          <w:b/>
          <w:i/>
          <w:color w:val="2C3A4A"/>
          <w:sz w:val="21"/>
          <w:rFonts w:ascii="FreeSerif" w:hAnsi="FreeSerif" w:cs="FreeSerif"/>
        </w:rPr>
        <w:t>Notes méthodologiques &amp; corpus de sources</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AVANT-PROPOS — MÉTHODE, SOURCES ET LIMITES</w:t>
      </w:r>
    </w:p>
    <w:p>
      <w:pPr>
        <w:spacing w:before="40" w:after="120"/>
        <w:ind w:left="567"/>
        <w:pBdr>
          <w:left w:val="single" w:sz="4" w:space="8" w:color="A07820"/>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INTRODUCTION — POURQUOI L'AES CHANGE TOUT</w:t>
      </w:r>
    </w:p>
    <w:p>
      <w:pPr>
        <w:spacing w:before="40" w:after="120"/>
        <w:ind w:left="567"/>
        <w:pBdr>
          <w:left w:val="single" w:sz="4" w:space="8" w:color="A07820"/>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A07820"/>
          <w:sz w:val="22"/>
          <w:rFonts w:ascii="FreeSerif" w:hAnsi="FreeSerif" w:cs="FreeSerif"/>
        </w:rPr>
        <w:t>★★★</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I — L'AFRIQUE AVANT LA DOMINATION</w:t>
      </w:r>
    </w:p>
    <w:p>
      <w:pPr>
        <w:pBdr>
          <w:top w:val="single" w:sz="24" w:space="4" w:color="A07820"/>
        </w:pBdr>
      </w:pPr>
    </w:p>
    <w:p>
      <w:pPr>
        <w:spacing w:before="160" w:after="160"/>
        <w:jc w:val="center"/>
      </w:pPr>
      <w:r>
        <w:rPr>
          <w:b w:val="0"/>
          <w:i w:val="0"/>
          <w:color w:val="A07820"/>
          <w:sz w:val="22"/>
          <w:rFonts w:ascii="FreeSerif" w:hAnsi="FreeSerif" w:cs="FreeSerif"/>
        </w:rPr>
        <w:t>★★★</w:t>
      </w:r>
    </w:p>
    <w:p>
      <w:pPr>
        <w:spacing w:before="40" w:after="120"/>
        <w:ind w:left="567"/>
        <w:pBdr>
          <w:left w:val="single" w:sz="4" w:space="8" w:color="A07820"/>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Bdr>
          <w:bottom w:val="single" w:sz="8" w:space="4" w:color="A07820"/>
        </w:pBdr>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Bdr>
          <w:bottom w:val="single" w:sz="8" w:space="4" w:color="A07820"/>
        </w:pBdr>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Bdr>
          <w:bottom w:val="single" w:sz="8" w:space="4" w:color="A07820"/>
        </w:pBdr>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Bdr>
          <w:bottom w:val="single" w:sz="8" w:space="4" w:color="A07820"/>
        </w:pBdr>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GRANDS ÉTATS DU SAHEL PRÉCOLONIAL</w:t>
            </w:r>
          </w:p>
        </w:tc>
      </w:tr>
      <w:tr>
        <w:tc>
          <w:tcPr>
            <w:tcW w:type="dxa" w:w="6624"/>
            <w:shd w:val="clear" w:fill="F4EFE4"/>
          </w:tcPr>
          <w:p>
            <w:r>
              <w:rPr>
                <w:rFonts w:ascii="FreeSerif" w:hAnsi="FreeSerif" w:cs="FreeSerif"/>
                <w:color w:val="2E2E2E"/>
                <w:sz w:val="19"/>
              </w:rPr>
              <w:t>Empire du Ghana / Wagadou (IVe–XIe siècle): routes de l'or et du sel, système douanier sophistiqué.</w:t>
            </w:r>
          </w:p>
        </w:tc>
      </w:tr>
      <w:tr>
        <w:tc>
          <w:tcPr>
            <w:tcW w:type="dxa" w:w="6624"/>
            <w:shd w:val="clear" w:fill="F4EFE4"/>
          </w:tcPr>
          <w:p>
            <w:r>
              <w:rPr>
                <w:rFonts w:ascii="FreeSerif" w:hAnsi="FreeSerif" w:cs="FreeSerif"/>
                <w:color w:val="2E2E2E"/>
                <w:sz w:val="19"/>
              </w:rPr>
              <w:t>Empire du Mali (XIIIe–XVe siècle): fondé par Soundiata Keïta (Kirina, 1235); Charte du Mandé (1236) ; Mansa Moussa fait s'effondrer le cours de l'or au Caire (1324).</w:t>
            </w:r>
          </w:p>
        </w:tc>
      </w:tr>
      <w:tr>
        <w:tc>
          <w:tcPr>
            <w:tcW w:type="dxa" w:w="6624"/>
            <w:shd w:val="clear" w:fill="F4EFE4"/>
          </w:tcPr>
          <w:p>
            <w:r>
              <w:rPr>
                <w:rFonts w:ascii="FreeSerif" w:hAnsi="FreeSerif" w:cs="FreeSerif"/>
                <w:color w:val="2E2E2E"/>
                <w:sz w:val="19"/>
              </w:rPr>
              <w:t>Empire Songhaï (XVe–XVIe siècle): université de Sankoré (~25 000 étudiants); Tombouctou, env. 100 000 habitants.</w:t>
            </w:r>
          </w:p>
        </w:tc>
      </w:tr>
      <w:tr>
        <w:tc>
          <w:tcPr>
            <w:tcW w:type="dxa" w:w="6624"/>
            <w:shd w:val="clear" w:fill="F4EFE4"/>
          </w:tcPr>
          <w:p>
            <w:r>
              <w:rPr>
                <w:rFonts w:ascii="FreeSerif" w:hAnsi="FreeSerif" w:cs="FreeSerif"/>
                <w:color w:val="2E2E2E"/>
                <w:sz w:val="19"/>
              </w:rPr>
              <w:t>Sultanat du Bornou / Kanem (IXe–XIXe siècle): correspondances diplomatiques avec l'Égypte et l'Empire ottoman.</w:t>
            </w:r>
          </w:p>
        </w:tc>
      </w:tr>
      <w:tr>
        <w:tc>
          <w:tcPr>
            <w:tcW w:type="dxa" w:w="6624"/>
            <w:shd w:val="clear" w:fill="F4EFE4"/>
          </w:tcPr>
          <w:p>
            <w:r>
              <w:rPr>
                <w:rFonts w:ascii="FreeSerif" w:hAnsi="FreeSerif" w:cs="FreeSerif"/>
                <w:color w:val="2E2E2E"/>
                <w:sz w:val="19"/>
              </w:rPr>
              <w:t>Califat de Sokoto (1804–1903): l'une des plus grandes entités politiques africaines, référent actuel des populations haoussa-peules.</w:t>
            </w:r>
          </w:p>
        </w:tc>
      </w:tr>
      <w:tr>
        <w:tc>
          <w:tcPr>
            <w:tcW w:type="dxa" w:w="6624"/>
            <w:shd w:val="clear" w:fill="F4EFE4"/>
          </w:tcPr>
          <w:p>
            <w:r>
              <w:rPr>
                <w:rFonts w:ascii="FreeSerif" w:hAnsi="FreeSerif" w:cs="FreeSerif"/>
                <w:color w:val="2E2E2E"/>
                <w:sz w:val="19"/>
              </w:rPr>
              <w:t>Ces empires sont absents des manuels scolaires africains postcoloniaux, rédigés sur le modèle français.</w:t>
            </w:r>
          </w:p>
        </w:tc>
      </w:tr>
    </w:tbl>
    <w:p/>
    <w:p>
      <w:pPr>
        <w:pStyle w:val="Heading2"/>
        <w:pBdr>
          <w:bottom w:val="single" w:sz="8" w:space="4" w:color="A07820"/>
        </w:pBdr>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Bdr>
          <w:bottom w:val="single" w:sz="8" w:space="4" w:color="A07820"/>
        </w:pBdr>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Bdr>
          <w:bottom w:val="single" w:sz="8" w:space="4" w:color="A07820"/>
        </w:pBdr>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CE QUE LE SAHEL A PRODUIT</w:t>
            </w:r>
          </w:p>
        </w:tc>
      </w:tr>
      <w:tr>
        <w:tc>
          <w:tcPr>
            <w:tcW w:type="dxa" w:w="6624"/>
            <w:shd w:val="clear" w:fill="F4EFE4"/>
          </w:tcPr>
          <w:p>
            <w:r>
              <w:rPr>
                <w:rFonts w:ascii="FreeSerif" w:hAnsi="FreeSerif" w:cs="FreeSerif"/>
                <w:color w:val="2E2E2E"/>
                <w:sz w:val="19"/>
              </w:rPr>
              <w:t>Charte du Mandé / Kouroukan Fouga (1236) : sacralité de la vie, égalité, interdiction de réduire en esclavage — l'une des premières déclarations de droits de l'histoire.</w:t>
            </w:r>
          </w:p>
        </w:tc>
      </w:tr>
      <w:tr>
        <w:tc>
          <w:tcPr>
            <w:tcW w:type="dxa" w:w="6624"/>
            <w:shd w:val="clear" w:fill="F4EFE4"/>
          </w:tcPr>
          <w:p>
            <w:r>
              <w:rPr>
                <w:rFonts w:ascii="FreeSerif" w:hAnsi="FreeSerif" w:cs="FreeSerif"/>
                <w:color w:val="2E2E2E"/>
                <w:sz w:val="19"/>
              </w:rPr>
              <w:t>Université de Sankoré, Tombouctou (XVe siècle): jusqu'à 25 000 étudiants; ville d'environ 100 000 habitants.</w:t>
            </w:r>
          </w:p>
        </w:tc>
      </w:tr>
      <w:tr>
        <w:tc>
          <w:tcPr>
            <w:tcW w:type="dxa" w:w="6624"/>
            <w:shd w:val="clear" w:fill="F4EFE4"/>
          </w:tcPr>
          <w:p>
            <w:r>
              <w:rPr>
                <w:rFonts w:ascii="FreeSerif" w:hAnsi="FreeSerif" w:cs="FreeSerif"/>
                <w:color w:val="2E2E2E"/>
                <w:sz w:val="19"/>
              </w:rPr>
              <w:t>Manuscrits de Tombouctou: plusieurs centaines de milliers de textes — médecine, mathématiques, philosophie, droit.</w:t>
            </w:r>
          </w:p>
        </w:tc>
      </w:tr>
      <w:tr>
        <w:tc>
          <w:tcPr>
            <w:tcW w:type="dxa" w:w="6624"/>
            <w:shd w:val="clear" w:fill="F4EFE4"/>
          </w:tcPr>
          <w:p>
            <w:r>
              <w:rPr>
                <w:rFonts w:ascii="FreeSerif" w:hAnsi="FreeSerif" w:cs="FreeSerif"/>
                <w:color w:val="2E2E2E"/>
                <w:sz w:val="19"/>
              </w:rPr>
              <w:t>Cheikh Anta Diop: *Nations nègres et culture* (1954), laboratoire de datation carbone de Dakar, colloque UNESCO du Caire (1974).</w:t>
            </w:r>
          </w:p>
        </w:tc>
      </w:tr>
    </w:tbl>
    <w:p/>
    <w:p>
      <w:pPr>
        <w:pStyle w:val="Heading2"/>
        <w:pBdr>
          <w:bottom w:val="single" w:sz="8" w:space="4" w:color="A07820"/>
        </w:pBdr>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Bdr>
          <w:bottom w:val="single" w:sz="8" w:space="4" w:color="A07820"/>
        </w:pBdr>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Bdr>
          <w:bottom w:val="single" w:sz="8" w:space="4" w:color="A07820"/>
        </w:pBdr>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Bdr>
          <w:bottom w:val="single" w:sz="8" w:space="4" w:color="A07820"/>
        </w:pBdr>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BERLIN, 1884-1885</w:t>
            </w:r>
          </w:p>
        </w:tc>
      </w:tr>
      <w:tr>
        <w:tc>
          <w:tcPr>
            <w:tcW w:type="dxa" w:w="6624"/>
            <w:shd w:val="clear" w:fill="F4EFE4"/>
          </w:tcPr>
          <w:p>
            <w:r>
              <w:rPr>
                <w:rFonts w:ascii="FreeSerif" w:hAnsi="FreeSerif" w:cs="FreeSerif"/>
                <w:color w:val="2E2E2E"/>
                <w:sz w:val="19"/>
              </w:rPr>
              <w:t>15 novembre 1884: ouverture de la conférence dans la résidence du chancelier Bismarck, à Berlin.</w:t>
            </w:r>
          </w:p>
        </w:tc>
      </w:tr>
      <w:tr>
        <w:tc>
          <w:tcPr>
            <w:tcW w:type="dxa" w:w="6624"/>
            <w:shd w:val="clear" w:fill="F4EFE4"/>
          </w:tcPr>
          <w:p>
            <w:r>
              <w:rPr>
                <w:rFonts w:ascii="FreeSerif" w:hAnsi="FreeSerif" w:cs="FreeSerif"/>
                <w:color w:val="2E2E2E"/>
                <w:sz w:val="19"/>
              </w:rPr>
              <w:t>Quatorze puissances européennes et les États-Unis autour de la table; aucun représentant africain.</w:t>
            </w:r>
          </w:p>
        </w:tc>
      </w:tr>
      <w:tr>
        <w:tc>
          <w:tcPr>
            <w:tcW w:type="dxa" w:w="6624"/>
            <w:shd w:val="clear" w:fill="F4EFE4"/>
          </w:tcPr>
          <w:p>
            <w:r>
              <w:rPr>
                <w:rFonts w:ascii="FreeSerif" w:hAnsi="FreeSerif" w:cs="FreeSerif"/>
                <w:color w:val="2E2E2E"/>
                <w:sz w:val="19"/>
              </w:rPr>
              <w:t>26 février 1885: clôture — l'Afrique est découpée en zones d'influence, ses fleuves ouverts à la navigation européenne.</w:t>
            </w:r>
          </w:p>
        </w:tc>
      </w:tr>
      <w:tr>
        <w:tc>
          <w:tcPr>
            <w:tcW w:type="dxa" w:w="6624"/>
            <w:shd w:val="clear" w:fill="F4EFE4"/>
          </w:tcPr>
          <w:p>
            <w:r>
              <w:rPr>
                <w:rFonts w:ascii="FreeSerif" w:hAnsi="FreeSerif" w:cs="FreeSerif"/>
                <w:color w:val="2E2E2E"/>
                <w:sz w:val="19"/>
              </w:rPr>
              <w:t>Première conférence internationale de l'histoire consacrée exclusivement à un continent absent des débats.</w:t>
            </w:r>
          </w:p>
        </w:tc>
      </w:tr>
    </w:tbl>
    <w:p/>
    <w:p>
      <w:pPr>
        <w:pStyle w:val="Heading2"/>
        <w:pBdr>
          <w:bottom w:val="single" w:sz="8" w:space="4" w:color="A07820"/>
        </w:pBdr>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Bdr>
          <w:bottom w:val="single" w:sz="8" w:space="4" w:color="A07820"/>
        </w:pBdr>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Bdr>
          <w:bottom w:val="single" w:sz="8" w:space="4" w:color="A07820"/>
        </w:pBdr>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FIGURES DE LA RÉSISTANCE SAHÉLIENNE</w:t>
            </w:r>
          </w:p>
        </w:tc>
      </w:tr>
      <w:tr>
        <w:tc>
          <w:tcPr>
            <w:tcW w:type="dxa" w:w="6624"/>
            <w:shd w:val="clear" w:fill="F4EFE4"/>
          </w:tcPr>
          <w:p>
            <w:r>
              <w:rPr>
                <w:rFonts w:ascii="FreeSerif" w:hAnsi="FreeSerif" w:cs="FreeSerif"/>
                <w:color w:val="2E2E2E"/>
                <w:sz w:val="19"/>
              </w:rPr>
              <w:t>El Hadj Omar Tall: fondateur de la théocratie toucouleur (Mali, Guinée, Sénégal actuels); mène la résistance islamique jusqu'à sa disparition, acculé dans une grotte au nord du Mali (1864).</w:t>
            </w:r>
          </w:p>
        </w:tc>
      </w:tr>
      <w:tr>
        <w:tc>
          <w:tcPr>
            <w:tcW w:type="dxa" w:w="6624"/>
            <w:shd w:val="clear" w:fill="F4EFE4"/>
          </w:tcPr>
          <w:p>
            <w:r>
              <w:rPr>
                <w:rFonts w:ascii="FreeSerif" w:hAnsi="FreeSerif" w:cs="FreeSerif"/>
                <w:color w:val="2E2E2E"/>
                <w:sz w:val="19"/>
              </w:rPr>
              <w:t>Samory Touré (vers 1830–1900): empire du Wassoulou; seize ans de résistance armée; capturé en 1898, déporté au Gabon où il meurt.</w:t>
            </w:r>
          </w:p>
        </w:tc>
      </w:tr>
      <w:tr>
        <w:tc>
          <w:tcPr>
            <w:tcW w:type="dxa" w:w="6624"/>
            <w:shd w:val="clear" w:fill="F4EFE4"/>
          </w:tcPr>
          <w:p>
            <w:r>
              <w:rPr>
                <w:rFonts w:ascii="FreeSerif" w:hAnsi="FreeSerif" w:cs="FreeSerif"/>
                <w:color w:val="2E2E2E"/>
                <w:sz w:val="19"/>
              </w:rPr>
              <w:t>Babemba Traoré: roi du Kenédougou; se suicide à Sikasso en 1898 plutôt que de se rendre.</w:t>
            </w:r>
          </w:p>
        </w:tc>
      </w:tr>
      <w:tr>
        <w:tc>
          <w:tcPr>
            <w:tcW w:type="dxa" w:w="6624"/>
            <w:shd w:val="clear" w:fill="F4EFE4"/>
          </w:tcPr>
          <w:p>
            <w:r>
              <w:rPr>
                <w:rFonts w:ascii="FreeSerif" w:hAnsi="FreeSerif" w:cs="FreeSerif"/>
                <w:color w:val="2E2E2E"/>
                <w:sz w:val="19"/>
              </w:rPr>
              <w:t>Rabah Fadlallah: conquérant du Bornou; résiste jusqu'à sa mort à la bataille de Kousseri (1900).</w:t>
            </w:r>
          </w:p>
        </w:tc>
      </w:tr>
      <w:tr>
        <w:tc>
          <w:tcPr>
            <w:tcW w:type="dxa" w:w="6624"/>
            <w:shd w:val="clear" w:fill="F4EFE4"/>
          </w:tcPr>
          <w:p>
            <w:r>
              <w:rPr>
                <w:rFonts w:ascii="FreeSerif" w:hAnsi="FreeSerif" w:cs="FreeSerif"/>
                <w:color w:val="2E2E2E"/>
                <w:sz w:val="19"/>
              </w:rPr>
              <w:t>Tous absents des manuels scolaires postcoloniaux; tous présents dans les discours des dirigeants de l'AES.</w:t>
            </w:r>
          </w:p>
        </w:tc>
      </w:tr>
    </w:tbl>
    <w:p/>
    <w:p>
      <w:pPr>
        <w:pStyle w:val="Heading2"/>
        <w:pBdr>
          <w:bottom w:val="single" w:sz="8" w:space="4" w:color="A07820"/>
        </w:pBdr>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Bdr>
          <w:bottom w:val="single" w:sz="8" w:space="4" w:color="A07820"/>
        </w:pBdr>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A07820"/>
          <w:sz w:val="22"/>
          <w:rFonts w:ascii="FreeSerif" w:hAnsi="FreeSerif" w:cs="FreeSerif"/>
        </w:rPr>
        <w:t>★★★</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II — COMMENT LA DÉPENDANCE A ÉTÉ ORGANISÉE</w:t>
      </w:r>
    </w:p>
    <w:p>
      <w:pPr>
        <w:pBdr>
          <w:top w:val="single" w:sz="24" w:space="4" w:color="A07820"/>
        </w:pBdr>
      </w:pPr>
    </w:p>
    <w:p>
      <w:pPr>
        <w:spacing w:before="160" w:after="160"/>
        <w:jc w:val="center"/>
      </w:pPr>
      <w:r>
        <w:rPr>
          <w:b w:val="0"/>
          <w:i w:val="0"/>
          <w:color w:val="A07820"/>
          <w:sz w:val="22"/>
          <w:rFonts w:ascii="FreeSerif" w:hAnsi="FreeSerif" w:cs="FreeSerif"/>
        </w:rPr>
        <w:t>★★★</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5 — 1960: LES INDÉPENDANCES INACHEVÉES</w:t>
      </w:r>
    </w:p>
    <w:p>
      <w:pPr>
        <w:spacing w:before="40" w:after="120"/>
        <w:ind w:left="567"/>
        <w:pBdr>
          <w:left w:val="single" w:sz="4" w:space="8" w:color="A07820"/>
        </w:pBdr>
      </w:pPr>
      <w:r>
        <w:rPr>
          <w:i/>
          <w:color w:val="8B1A1A"/>
          <w:sz w:val="20"/>
        </w:rPr>
        <w:t>« Nous préférons la pauvreté dans la liberté à l'opulence dans l'esclavage.»</w:t>
      </w:r>
    </w:p>
    <w:p>
      <w:pPr>
        <w:spacing w:before="40" w:after="120"/>
        <w:ind w:left="567"/>
        <w:pBdr>
          <w:left w:val="single" w:sz="4" w:space="8" w:color="A07820"/>
        </w:pBdr>
      </w:pPr>
      <w:r>
        <w:rPr>
          <w:i/>
          <w:color w:val="0A0A0A"/>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Bdr>
          <w:bottom w:val="single" w:sz="8" w:space="4" w:color="A07820"/>
        </w:pBdr>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Bdr>
          <w:bottom w:val="single" w:sz="8" w:space="4" w:color="A07820"/>
        </w:pBdr>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Bdr>
          <w:bottom w:val="single" w:sz="8" w:space="4" w:color="A07820"/>
        </w:pBdr>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INDÉPENDANCES ET LEUR BILAN, SOIXANTE ANS APRÈS</w:t>
            </w:r>
          </w:p>
        </w:tc>
      </w:tr>
      <w:tr>
        <w:tc>
          <w:tcPr>
            <w:tcW w:type="dxa" w:w="6624"/>
            <w:shd w:val="clear" w:fill="F4EFE4"/>
          </w:tcPr>
          <w:p>
            <w:r>
              <w:rPr>
                <w:rFonts w:ascii="FreeSerif" w:hAnsi="FreeSerif" w:cs="FreeSerif"/>
                <w:color w:val="2E2E2E"/>
                <w:sz w:val="19"/>
              </w:rPr>
              <w:t>Sénégal: 4 avril 1960 — Niger: 3 août 1960 — Burkina Faso (ex-Haute-Volta): 5 août 1960 — Tchad: 11 août 1960 — Mali: 22 septembre 1960 — Mauritanie: 28 novembre 1960</w:t>
            </w:r>
          </w:p>
        </w:tc>
      </w:tr>
      <w:tr>
        <w:tc>
          <w:tcPr>
            <w:tcW w:type="dxa" w:w="6624"/>
            <w:shd w:val="clear" w:fill="F4EFE4"/>
          </w:tcPr>
          <w:p>
            <w:r>
              <w:rPr>
                <w:rFonts w:ascii="FreeSerif" w:hAnsi="FreeSerif" w:cs="FreeSerif"/>
                <w:color w:val="2E2E2E"/>
                <w:sz w:val="19"/>
              </w:rPr>
              <w:t>Guinée: 2 octobre 1958 — seul territoire à avoir voté non au referendum</w:t>
            </w:r>
          </w:p>
        </w:tc>
      </w:tr>
      <w:tr>
        <w:tc>
          <w:tcPr>
            <w:tcW w:type="dxa" w:w="6624"/>
            <w:shd w:val="clear" w:fill="F4EFE4"/>
          </w:tcPr>
          <w:p>
            <w:r>
              <w:rPr>
                <w:rFonts w:ascii="FreeSerif" w:hAnsi="FreeSerif" w:cs="FreeSerif"/>
                <w:color w:val="2E2E2E"/>
                <w:sz w:val="19"/>
              </w:rPr>
              <w:t>Soixante ans plus tard: le Niger est 189e sur 191 à l'indice de développement humain, le Burkina Faso 184e, le Mali 185e (PNUD, 2023). Les trois pays de l'AES figurent dans les cinq derniers rangs mondiaux.</w:t>
            </w:r>
          </w:p>
        </w:tc>
      </w:tr>
    </w:tbl>
    <w:p/>
    <w:p>
      <w:pPr>
        <w:pStyle w:val="Heading2"/>
        <w:pBdr>
          <w:bottom w:val="single" w:sz="8" w:space="4" w:color="A07820"/>
        </w:pBdr>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6 — LE PACTE NÉOCOLONIAL</w:t>
      </w:r>
    </w:p>
    <w:p>
      <w:pPr>
        <w:spacing w:before="40" w:after="120"/>
        <w:ind w:left="567"/>
        <w:pBdr>
          <w:left w:val="single" w:sz="4" w:space="8" w:color="A07820"/>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4" w:space="8" w:color="A07820"/>
        </w:pBdr>
      </w:pPr>
      <w:r>
        <w:rPr>
          <w:i/>
          <w:color w:val="0A0A0A"/>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Bdr>
          <w:bottom w:val="single" w:sz="8" w:space="4" w:color="A07820"/>
        </w:pBdr>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Bdr>
          <w:bottom w:val="single" w:sz="8" w:space="4" w:color="A07820"/>
        </w:pBdr>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Bdr>
          <w:bottom w:val="single" w:sz="8" w:space="4" w:color="A07820"/>
        </w:pBdr>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CIRCUIT DU PILLAGE, DE L'EXTRACTION AU FINANCEMENT POLITIQUE</w:t>
            </w:r>
          </w:p>
        </w:tc>
      </w:tr>
      <w:tr>
        <w:tc>
          <w:tcPr>
            <w:tcW w:type="dxa" w:w="6624"/>
            <w:shd w:val="clear" w:fill="F4EFE4"/>
          </w:tcPr>
          <w:p>
            <w:r>
              <w:rPr>
                <w:rFonts w:ascii="FreeSerif" w:hAnsi="FreeSerif" w:cs="FreeSerif"/>
                <w:color w:val="2E2E2E"/>
                <w:sz w:val="19"/>
              </w:rPr>
              <w:t>Extraction des ressources africaines à prix décoté (4 $ pour un pétrole revendu 80 $)</w:t>
            </w:r>
          </w:p>
        </w:tc>
      </w:tr>
      <w:tr>
        <w:tc>
          <w:tcPr>
            <w:tcW w:type="dxa" w:w="6624"/>
            <w:shd w:val="clear" w:fill="F4EFE4"/>
          </w:tcPr>
          <w:p>
            <w:r>
              <w:rPr>
                <w:rFonts w:ascii="FreeSerif" w:hAnsi="FreeSerif" w:cs="FreeSerif"/>
                <w:color w:val="2E2E2E"/>
                <w:sz w:val="19"/>
              </w:rPr>
              <w:t>Cargaisons non déclarées, chiffres invérifiables par les États producteurs</w:t>
            </w:r>
          </w:p>
        </w:tc>
      </w:tr>
      <w:tr>
        <w:tc>
          <w:tcPr>
            <w:tcW w:type="dxa" w:w="6624"/>
            <w:shd w:val="clear" w:fill="F4EFE4"/>
          </w:tcPr>
          <w:p>
            <w:r>
              <w:rPr>
                <w:rFonts w:ascii="FreeSerif" w:hAnsi="FreeSerif" w:cs="FreeSerif"/>
                <w:color w:val="2E2E2E"/>
                <w:sz w:val="19"/>
              </w:rPr>
              <w:t>Financement politique par mallettes (Bourgi) et réseaux offshore</w:t>
            </w:r>
          </w:p>
        </w:tc>
      </w:tr>
      <w:tr>
        <w:tc>
          <w:tcPr>
            <w:tcW w:type="dxa" w:w="6624"/>
            <w:shd w:val="clear" w:fill="F4EFE4"/>
          </w:tcPr>
          <w:p>
            <w:r>
              <w:rPr>
                <w:rFonts w:ascii="FreeSerif" w:hAnsi="FreeSerif" w:cs="FreeSerif"/>
                <w:color w:val="2E2E2E"/>
                <w:sz w:val="19"/>
              </w:rPr>
              <w:t>Financement retour: des campagnes électorales françaises payées par les chefs d'État africains</w:t>
            </w:r>
          </w:p>
        </w:tc>
      </w:tr>
      <w:tr>
        <w:tc>
          <w:tcPr>
            <w:tcW w:type="dxa" w:w="6624"/>
            <w:shd w:val="clear" w:fill="F4EFE4"/>
          </w:tcPr>
          <w:p>
            <w:r>
              <w:rPr>
                <w:rFonts w:ascii="FreeSerif" w:hAnsi="FreeSerif" w:cs="FreeSerif"/>
                <w:color w:val="2E2E2E"/>
                <w:sz w:val="19"/>
              </w:rPr>
              <w:t>Double impunité: les États africains ne peuvent pas vérifier, les tribunaux français regardent ailleurs</w:t>
            </w:r>
          </w:p>
        </w:tc>
      </w:tr>
    </w:tbl>
    <w:p/>
    <w:p>
      <w:r>
        <w:t>(Sources: Le Floch-Prigent, Lissouba, Koulibaly, Bourgi, Pasqua; Le Monde, 2018)</w:t>
      </w:r>
    </w:p>
    <w:p>
      <w:pPr>
        <w:pStyle w:val="Heading2"/>
        <w:pBdr>
          <w:bottom w:val="single" w:sz="8" w:space="4" w:color="A07820"/>
        </w:pBdr>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7 — LE FRANC CFA</w:t>
      </w:r>
    </w:p>
    <w:p>
      <w:pPr>
        <w:spacing w:before="40" w:after="120"/>
        <w:ind w:left="567"/>
        <w:pBdr>
          <w:left w:val="single" w:sz="4" w:space="8" w:color="A07820"/>
        </w:pBdr>
      </w:pPr>
      <w:r>
        <w:rPr>
          <w:i/>
          <w:color w:val="8B1A1A"/>
          <w:sz w:val="20"/>
        </w:rPr>
        <w:t>« La monnaie est la mère des souverainetés. Vous ne pouvez pas être souverain si vous n'avez pas de monnaie.»</w:t>
      </w:r>
    </w:p>
    <w:p>
      <w:pPr>
        <w:spacing w:before="40" w:after="120"/>
        <w:ind w:left="567"/>
        <w:pBdr>
          <w:left w:val="single" w:sz="4" w:space="8" w:color="A07820"/>
        </w:pBdr>
      </w:pPr>
      <w:r>
        <w:rPr>
          <w:i/>
          <w:color w:val="0A0A0A"/>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Bdr>
          <w:bottom w:val="single" w:sz="8" w:space="4" w:color="A07820"/>
        </w:pBdr>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COMPTE D'OPÉRATIONS EN CLAIR</w:t>
            </w:r>
          </w:p>
        </w:tc>
      </w:tr>
      <w:tr>
        <w:tc>
          <w:tcPr>
            <w:tcW w:type="dxa" w:w="6624"/>
            <w:shd w:val="clear" w:fill="F4EFE4"/>
          </w:tcPr>
          <w:p>
            <w:r>
              <w:rPr>
                <w:rFonts w:ascii="FreeSerif" w:hAnsi="FreeSerif" w:cs="FreeSerif"/>
                <w:color w:val="2E2E2E"/>
                <w:sz w:val="19"/>
              </w:rPr>
              <w:t>Le principe: la France « garantit» la convertibilité du franc CFA en euros</w:t>
            </w:r>
          </w:p>
        </w:tc>
      </w:tr>
      <w:tr>
        <w:tc>
          <w:tcPr>
            <w:tcW w:type="dxa" w:w="6624"/>
            <w:shd w:val="clear" w:fill="F4EFE4"/>
          </w:tcPr>
          <w:p>
            <w:r>
              <w:rPr>
                <w:rFonts w:ascii="FreeSerif" w:hAnsi="FreeSerif" w:cs="FreeSerif"/>
                <w:color w:val="2E2E2E"/>
                <w:sz w:val="19"/>
              </w:rPr>
              <w:t>Le prix: 50 % des réserves de change des États membres déposées au Trésor français (100 % de 1945 à 1975)</w:t>
            </w:r>
          </w:p>
        </w:tc>
      </w:tr>
      <w:tr>
        <w:tc>
          <w:tcPr>
            <w:tcW w:type="dxa" w:w="6624"/>
            <w:shd w:val="clear" w:fill="F4EFE4"/>
          </w:tcPr>
          <w:p>
            <w:r>
              <w:rPr>
                <w:rFonts w:ascii="FreeSerif" w:hAnsi="FreeSerif" w:cs="FreeSerif"/>
                <w:color w:val="2E2E2E"/>
                <w:sz w:val="19"/>
              </w:rPr>
              <w:t>La conséquence: Paris voit passer tous les flux d'exportation, peut les bloquer, et fixe le taux de change</w:t>
            </w:r>
          </w:p>
        </w:tc>
      </w:tr>
      <w:tr>
        <w:tc>
          <w:tcPr>
            <w:tcW w:type="dxa" w:w="6624"/>
            <w:shd w:val="clear" w:fill="F4EFE4"/>
          </w:tcPr>
          <w:p>
            <w:r>
              <w:rPr>
                <w:rFonts w:ascii="FreeSerif" w:hAnsi="FreeSerif" w:cs="FreeSerif"/>
                <w:color w:val="2E2E2E"/>
                <w:sz w:val="19"/>
              </w:rPr>
              <w:t>L'échelle: quinze pays africains utilisent aujourd'hui cette monnaie fabriquée et contrôlée en France</w:t>
            </w:r>
          </w:p>
        </w:tc>
      </w:tr>
    </w:tbl>
    <w:p/>
    <w:p>
      <w:pPr>
        <w:pStyle w:val="Heading2"/>
        <w:pBdr>
          <w:bottom w:val="single" w:sz="8" w:space="4" w:color="A07820"/>
        </w:pBdr>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Bdr>
          <w:bottom w:val="single" w:sz="8" w:space="4" w:color="A07820"/>
        </w:pBdr>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r>
        <w:t>La Guinée, souvent brandée comme l'argument décisif contre la souveraineté monétaire — «regardez où elle est, hors du CFA!» —, n'est pas l'exemple d'une monnaie souveraine qui aurait échoué seule. C'est l'exemple d'une économie sabotée méthodiquement dès sa naissance: faux billets du SDECE, exilés armés, insurrections financées, complots d'élimination du président, coffres de la BCEAO vidés le jour du 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pPr>
        <w:pStyle w:val="Heading2"/>
        <w:pBdr>
          <w:bottom w:val="single" w:sz="8" w:space="4" w:color="A07820"/>
        </w:pBdr>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8 — LES RESSOURCES STRATÉGIQUES</w:t>
      </w:r>
    </w:p>
    <w:p>
      <w:pPr>
        <w:spacing w:before="40" w:after="120"/>
        <w:ind w:left="567"/>
        <w:pBdr>
          <w:left w:val="single" w:sz="4" w:space="8" w:color="A07820"/>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4" w:space="8" w:color="A07820"/>
        </w:pBdr>
      </w:pPr>
      <w:r>
        <w:rPr>
          <w:i/>
          <w:color w:val="0A0A0A"/>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Bdr>
          <w:bottom w:val="single" w:sz="8" w:space="4" w:color="A07820"/>
        </w:pBdr>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NIGER: L'INVENTAIRE D'UN PARADOXE</w:t>
            </w:r>
          </w:p>
        </w:tc>
      </w:tr>
      <w:tr>
        <w:tc>
          <w:tcPr>
            <w:tcW w:type="dxa" w:w="6624"/>
            <w:shd w:val="clear" w:fill="F4EFE4"/>
          </w:tcPr>
          <w:p>
            <w:r>
              <w:rPr>
                <w:rFonts w:ascii="FreeSerif" w:hAnsi="FreeSerif" w:cs="FreeSerif"/>
                <w:color w:val="2E2E2E"/>
                <w:sz w:val="19"/>
              </w:rPr>
              <w:t>35 % des importations françaises d'uranium concentré en 2020 (Haut Comité pour la transparence nucléaire)</w:t>
            </w:r>
          </w:p>
        </w:tc>
      </w:tr>
      <w:tr>
        <w:tc>
          <w:tcPr>
            <w:tcW w:type="dxa" w:w="6624"/>
            <w:shd w:val="clear" w:fill="F4EFE4"/>
          </w:tcPr>
          <w:p>
            <w:r>
              <w:rPr>
                <w:rFonts w:ascii="FreeSerif" w:hAnsi="FreeSerif" w:cs="FreeSerif"/>
                <w:color w:val="2E2E2E"/>
                <w:sz w:val="19"/>
              </w:rPr>
              <w:t>Prix historiquement payé: 30 à 40 % sous le cours mondial (ONG Sherpa, 2013)</w:t>
            </w:r>
          </w:p>
        </w:tc>
      </w:tr>
      <w:tr>
        <w:tc>
          <w:tcPr>
            <w:tcW w:type="dxa" w:w="6624"/>
            <w:shd w:val="clear" w:fill="F4EFE4"/>
          </w:tcPr>
          <w:p>
            <w:r>
              <w:rPr>
                <w:rFonts w:ascii="FreeSerif" w:hAnsi="FreeSerif" w:cs="FreeSerif"/>
                <w:color w:val="2E2E2E"/>
                <w:sz w:val="19"/>
              </w:rPr>
              <w:t>Contamination radioactive des eaux d'Arlit documentée (Greenpeace, 2010)</w:t>
            </w:r>
          </w:p>
        </w:tc>
      </w:tr>
      <w:tr>
        <w:tc>
          <w:tcPr>
            <w:tcW w:type="dxa" w:w="6624"/>
            <w:shd w:val="clear" w:fill="F4EFE4"/>
          </w:tcPr>
          <w:p>
            <w:r>
              <w:rPr>
                <w:rFonts w:ascii="FreeSerif" w:hAnsi="FreeSerif" w:cs="FreeSerif"/>
                <w:color w:val="2E2E2E"/>
                <w:sz w:val="19"/>
              </w:rPr>
              <w:t>Accès à l'électricité: moins de 20 % de la population (Banque mondiale, 2022); IDH: 189e sur 191 (PNUD)</w:t>
            </w:r>
          </w:p>
        </w:tc>
      </w:tr>
      <w:tr>
        <w:tc>
          <w:tcPr>
            <w:tcW w:type="dxa" w:w="6624"/>
            <w:shd w:val="clear" w:fill="F4EFE4"/>
          </w:tcPr>
          <w:p>
            <w:r>
              <w:rPr>
                <w:rFonts w:ascii="FreeSerif" w:hAnsi="FreeSerif" w:cs="FreeSerif"/>
                <w:color w:val="2E2E2E"/>
                <w:sz w:val="19"/>
              </w:rPr>
              <w:t>Après la transition de 2023: recettes pétrolières +218 % (2020-2024), couverture des besoins domestiques passée de 20 % à 60 %</w:t>
            </w:r>
          </w:p>
        </w:tc>
      </w:tr>
    </w:tbl>
    <w:p/>
    <w:p>
      <w:pPr>
        <w:pStyle w:val="Heading2"/>
        <w:pBdr>
          <w:bottom w:val="single" w:sz="8" w:space="4" w:color="A07820"/>
        </w:pBdr>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Bdr>
          <w:bottom w:val="single" w:sz="8" w:space="4" w:color="A07820"/>
        </w:pBdr>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Bdr>
          <w:bottom w:val="single" w:sz="8" w:space="4" w:color="A07820"/>
        </w:pBdr>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9 — L'AIDE, LA DETTE, LES ASSASSINS FINANCIERS</w:t>
      </w:r>
    </w:p>
    <w:p>
      <w:pPr>
        <w:spacing w:before="40" w:after="120"/>
        <w:ind w:left="567"/>
        <w:pBdr>
          <w:left w:val="single" w:sz="4" w:space="8" w:color="A07820"/>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4" w:space="8" w:color="A07820"/>
        </w:pBdr>
      </w:pPr>
      <w:r>
        <w:rPr>
          <w:i/>
          <w:color w:val="0A0A0A"/>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Bdr>
          <w:bottom w:val="single" w:sz="8" w:space="4" w:color="A07820"/>
        </w:pBdr>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Bdr>
          <w:bottom w:val="single" w:sz="8" w:space="4" w:color="A07820"/>
        </w:pBdr>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AIDE FRANÇAISE AU MALI: CHRONOLOGIE D'UN CHANTAGE</w:t>
            </w:r>
          </w:p>
        </w:tc>
      </w:tr>
      <w:tr>
        <w:tc>
          <w:tcPr>
            <w:tcW w:type="dxa" w:w="6624"/>
            <w:shd w:val="clear" w:fill="F4EFE4"/>
          </w:tcPr>
          <w:p>
            <w:r>
              <w:rPr>
                <w:rFonts w:ascii="FreeSerif" w:hAnsi="FreeSerif" w:cs="FreeSerif"/>
                <w:color w:val="2E2E2E"/>
                <w:sz w:val="19"/>
              </w:rPr>
              <w:t>2017-2021: 587 millions d'euros au total (385 milliards FCFA)</w:t>
            </w:r>
          </w:p>
        </w:tc>
      </w:tr>
      <w:tr>
        <w:tc>
          <w:tcPr>
            <w:tcW w:type="dxa" w:w="6624"/>
            <w:shd w:val="clear" w:fill="F4EFE4"/>
          </w:tcPr>
          <w:p>
            <w:r>
              <w:rPr>
                <w:rFonts w:ascii="FreeSerif" w:hAnsi="FreeSerif" w:cs="FreeSerif"/>
                <w:color w:val="2E2E2E"/>
                <w:sz w:val="19"/>
              </w:rPr>
              <w:t>2018-2019: montant multiplié par sept (de 30 à 205 millions d'euros) — les années où Bamako obéit</w:t>
            </w:r>
          </w:p>
        </w:tc>
      </w:tr>
      <w:tr>
        <w:tc>
          <w:tcPr>
            <w:tcW w:type="dxa" w:w="6624"/>
            <w:shd w:val="clear" w:fill="F4EFE4"/>
          </w:tcPr>
          <w:p>
            <w:r>
              <w:rPr>
                <w:rFonts w:ascii="FreeSerif" w:hAnsi="FreeSerif" w:cs="FreeSerif"/>
                <w:color w:val="2E2E2E"/>
                <w:sz w:val="19"/>
              </w:rPr>
              <w:t>2020-2021: montant divisé par trois (de 110 à 39 millions d'euros) — les années de resistance</w:t>
            </w:r>
          </w:p>
        </w:tc>
      </w:tr>
      <w:tr>
        <w:tc>
          <w:tcPr>
            <w:tcW w:type="dxa" w:w="6624"/>
            <w:shd w:val="clear" w:fill="F4EFE4"/>
          </w:tcPr>
          <w:p>
            <w:r>
              <w:rPr>
                <w:rFonts w:ascii="FreeSerif" w:hAnsi="FreeSerif" w:cs="FreeSerif"/>
                <w:color w:val="2E2E2E"/>
                <w:sz w:val="19"/>
              </w:rPr>
              <w:t>Août 2022: expulsion de Barkhane — suspension de l'aide</w:t>
            </w:r>
          </w:p>
        </w:tc>
      </w:tr>
      <w:tr>
        <w:tc>
          <w:tcPr>
            <w:tcW w:type="dxa" w:w="6624"/>
            <w:shd w:val="clear" w:fill="F4EFE4"/>
          </w:tcPr>
          <w:p>
            <w:r>
              <w:rPr>
                <w:rFonts w:ascii="FreeSerif" w:hAnsi="FreeSerif" w:cs="FreeSerif"/>
                <w:color w:val="2E2E2E"/>
                <w:sz w:val="19"/>
              </w:rPr>
              <w:t>Novembre 2022: suspension totale</w:t>
            </w:r>
          </w:p>
        </w:tc>
      </w:tr>
      <w:tr>
        <w:tc>
          <w:tcPr>
            <w:tcW w:type="dxa" w:w="6624"/>
            <w:shd w:val="clear" w:fill="F4EFE4"/>
          </w:tcPr>
          <w:p>
            <w:r>
              <w:rPr>
                <w:rFonts w:ascii="FreeSerif" w:hAnsi="FreeSerif" w:cs="FreeSerif"/>
                <w:color w:val="2E2E2E"/>
                <w:sz w:val="19"/>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Bdr>
          <w:bottom w:val="single" w:sz="8" w:space="4" w:color="A07820"/>
        </w:pBdr>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Bdr>
          <w:bottom w:val="single" w:sz="8" w:space="4" w:color="A07820"/>
        </w:pBdr>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10 — LES RÉSEAUX D'INFLUENCE</w:t>
      </w:r>
    </w:p>
    <w:p>
      <w:pPr>
        <w:spacing w:before="40" w:after="120"/>
        <w:ind w:left="567"/>
        <w:pBdr>
          <w:left w:val="single" w:sz="4" w:space="8" w:color="A07820"/>
        </w:pBdr>
      </w:pPr>
      <w:r>
        <w:rPr>
          <w:i/>
          <w:color w:val="8B1A1A"/>
          <w:sz w:val="20"/>
        </w:rPr>
        <w:t>« Il se trouve toujours des Africains pour poignarder leurs frères afin de faire plaisir à l'homme blanc.»</w:t>
      </w:r>
    </w:p>
    <w:p>
      <w:pPr>
        <w:spacing w:before="40" w:after="120"/>
        <w:ind w:left="567"/>
        <w:pBdr>
          <w:left w:val="single" w:sz="4" w:space="8" w:color="A07820"/>
        </w:pBdr>
      </w:pPr>
      <w:r>
        <w:rPr>
          <w:i/>
          <w:color w:val="0A0A0A"/>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Bdr>
          <w:bottom w:val="single" w:sz="8" w:space="4" w:color="A07820"/>
        </w:pBdr>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LA PYRAMIDE DE DOMINATION (DR YAMB NTIMBA)</w:t>
            </w:r>
          </w:p>
        </w:tc>
      </w:tr>
      <w:tr>
        <w:tc>
          <w:tcPr>
            <w:tcW w:type="dxa" w:w="6624"/>
            <w:shd w:val="clear" w:fill="F4EFE4"/>
          </w:tcPr>
          <w:p>
            <w:r>
              <w:rPr>
                <w:rFonts w:ascii="FreeSerif" w:hAnsi="FreeSerif" w:cs="FreeSerif"/>
                <w:color w:val="2E2E2E"/>
                <w:sz w:val="19"/>
              </w:rPr>
              <w:t>Niveau 5 — Ontologique: faire croire aux dominés à leur propre infériorité; structurer l'environnement mental</w:t>
            </w:r>
          </w:p>
        </w:tc>
      </w:tr>
      <w:tr>
        <w:tc>
          <w:tcPr>
            <w:tcW w:type="dxa" w:w="6624"/>
            <w:shd w:val="clear" w:fill="F4EFE4"/>
          </w:tcPr>
          <w:p>
            <w:r>
              <w:rPr>
                <w:rFonts w:ascii="FreeSerif" w:hAnsi="FreeSerif" w:cs="FreeSerif"/>
                <w:color w:val="2E2E2E"/>
                <w:sz w:val="19"/>
              </w:rPr>
              <w:t>Niveau 4 — Culturel et médiatique: RFI, France 24, TV5, ONG; la « démocratie» comme label décerné ou retiré</w:t>
            </w:r>
          </w:p>
        </w:tc>
      </w:tr>
      <w:tr>
        <w:tc>
          <w:tcPr>
            <w:tcW w:type="dxa" w:w="6624"/>
            <w:shd w:val="clear" w:fill="F4EFE4"/>
          </w:tcPr>
          <w:p>
            <w:r>
              <w:rPr>
                <w:rFonts w:ascii="FreeSerif" w:hAnsi="FreeSerif" w:cs="FreeSerif"/>
                <w:color w:val="2E2E2E"/>
                <w:sz w:val="19"/>
              </w:rPr>
              <w:t>Niveau 3 — Informationnel: opérations d'influence numérique et influenceurs rémunérés (détaillées au chapitre 14)</w:t>
            </w:r>
          </w:p>
        </w:tc>
      </w:tr>
      <w:tr>
        <w:tc>
          <w:tcPr>
            <w:tcW w:type="dxa" w:w="6624"/>
            <w:shd w:val="clear" w:fill="F4EFE4"/>
          </w:tcPr>
          <w:p>
            <w:r>
              <w:rPr>
                <w:rFonts w:ascii="FreeSerif" w:hAnsi="FreeSerif" w:cs="FreeSerif"/>
                <w:color w:val="2E2E2E"/>
                <w:sz w:val="19"/>
              </w:rPr>
              <w:t>Niveau 2 — Économique: franc CFA, BCEAO, FMI, mécanisme de la dette (chapitres 7 et 9)</w:t>
            </w:r>
          </w:p>
        </w:tc>
      </w:tr>
      <w:tr>
        <w:tc>
          <w:tcPr>
            <w:tcW w:type="dxa" w:w="6624"/>
            <w:shd w:val="clear" w:fill="F4EFE4"/>
          </w:tcPr>
          <w:p>
            <w:r>
              <w:rPr>
                <w:rFonts w:ascii="FreeSerif" w:hAnsi="FreeSerif" w:cs="FreeSerif"/>
                <w:color w:val="2E2E2E"/>
                <w:sz w:val="19"/>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Bdr>
          <w:bottom w:val="single" w:sz="8" w:space="4" w:color="A07820"/>
        </w:pBdr>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DÉCONSTRUCTION DU LEXIQUE IMPÉRIAL</w:t>
            </w:r>
          </w:p>
        </w:tc>
      </w:tr>
      <w:tr>
        <w:tc>
          <w:tcPr>
            <w:tcW w:type="dxa" w:w="6624"/>
            <w:shd w:val="clear" w:fill="F4EFE4"/>
          </w:tcPr>
          <w:p>
            <w:r>
              <w:rPr>
                <w:rFonts w:ascii="FreeSerif" w:hAnsi="FreeSerif" w:cs="FreeSerif"/>
                <w:color w:val="2E2E2E"/>
                <w:sz w:val="19"/>
              </w:rPr>
              <w:t>« Opération de stabilisation» = intervention militaire non autorisée par le peuple concerné</w:t>
            </w:r>
          </w:p>
        </w:tc>
      </w:tr>
      <w:tr>
        <w:tc>
          <w:tcPr>
            <w:tcW w:type="dxa" w:w="6624"/>
            <w:shd w:val="clear" w:fill="F4EFE4"/>
          </w:tcPr>
          <w:p>
            <w:r>
              <w:rPr>
                <w:rFonts w:ascii="FreeSerif" w:hAnsi="FreeSerif" w:cs="FreeSerif"/>
                <w:color w:val="2E2E2E"/>
                <w:sz w:val="19"/>
              </w:rPr>
              <w:t>« Partenariat sécuritaire» = présence militaire avec droit de regard sur les ressources</w:t>
            </w:r>
          </w:p>
        </w:tc>
      </w:tr>
      <w:tr>
        <w:tc>
          <w:tcPr>
            <w:tcW w:type="dxa" w:w="6624"/>
            <w:shd w:val="clear" w:fill="F4EFE4"/>
          </w:tcPr>
          <w:p>
            <w:r>
              <w:rPr>
                <w:rFonts w:ascii="FreeSerif" w:hAnsi="FreeSerif" w:cs="FreeSerif"/>
                <w:color w:val="2E2E2E"/>
                <w:sz w:val="19"/>
              </w:rPr>
              <w:t>« Aide au développement» = prêts conditionnés à l'ouverture des marchés</w:t>
            </w:r>
          </w:p>
        </w:tc>
      </w:tr>
      <w:tr>
        <w:tc>
          <w:tcPr>
            <w:tcW w:type="dxa" w:w="6624"/>
            <w:shd w:val="clear" w:fill="F4EFE4"/>
          </w:tcPr>
          <w:p>
            <w:r>
              <w:rPr>
                <w:rFonts w:ascii="FreeSerif" w:hAnsi="FreeSerif" w:cs="FreeSerif"/>
                <w:color w:val="2E2E2E"/>
                <w:sz w:val="19"/>
              </w:rPr>
              <w:t>« Coup d'État» = renversement d'un régime pro-français; « transition légitime» = changement favorable à Paris</w:t>
            </w:r>
          </w:p>
        </w:tc>
      </w:tr>
      <w:tr>
        <w:tc>
          <w:tcPr>
            <w:tcW w:type="dxa" w:w="6624"/>
            <w:shd w:val="clear" w:fill="F4EFE4"/>
          </w:tcPr>
          <w:p>
            <w:r>
              <w:rPr>
                <w:rFonts w:ascii="FreeSerif" w:hAnsi="FreeSerif" w:cs="FreeSerif"/>
                <w:color w:val="2E2E2E"/>
                <w:sz w:val="19"/>
              </w:rPr>
              <w:t>« Ingratitude africaine» = refus de la servitude</w:t>
            </w:r>
          </w:p>
        </w:tc>
      </w:tr>
      <w:tr>
        <w:tc>
          <w:tcPr>
            <w:tcW w:type="dxa" w:w="6624"/>
            <w:shd w:val="clear" w:fill="F4EFE4"/>
          </w:tcPr>
          <w:p>
            <w:r>
              <w:rPr>
                <w:rFonts w:ascii="FreeSerif" w:hAnsi="FreeSerif" w:cs="FreeSerif"/>
                <w:color w:val="2E2E2E"/>
                <w:sz w:val="19"/>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Bdr>
          <w:bottom w:val="single" w:sz="8" w:space="4" w:color="A07820"/>
        </w:pBdr>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Bdr>
          <w:bottom w:val="single" w:sz="8" w:space="4" w:color="A07820"/>
        </w:pBdr>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Bdr>
          <w:bottom w:val="single" w:sz="8" w:space="4" w:color="A07820"/>
        </w:pBdr>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depuis sa visite à Ouagadougou en 1986, n'intervient pas pour le protéger.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intérêts.» L'Occident utilise, puis jette.</w:t>
      </w:r>
    </w:p>
    <w:p>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séquence révèle n'est pas nouveau dans sa logique — c'est la loi de Mabiala appliquée aux transitions militaires: quand le valet tombe, l'Empire installe le suivant. Le critère de continuité n'est pas dynastique; il est systémique.</w:t>
      </w:r>
    </w:p>
    <w:p>
      <w:pPr>
        <w:pStyle w:val="Heading2"/>
        <w:pBdr>
          <w:bottom w:val="single" w:sz="8" w:space="4" w:color="A07820"/>
        </w:pBdr>
      </w:pPr>
      <w:r>
        <w:t>Les biens mal acquis: la fortune compradore devant les juges</w:t>
      </w:r>
    </w:p>
    <w:p>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r>
        <w:t>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millions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plus de 200 millions d'euros.</w:t>
      </w:r>
    </w:p>
    <w:p>
      <w:r>
        <w:t>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tout.» Jugement définitif en 2019: deux ans avec sursis. «Anecdotique comme peine, dit Jean-Philippe, mais c'était surtout la confirmation de tout ce qu'on avait saisi. C'était la première. Si ça avait été négatif, les autres enquêtes auraient eu du plomb dans l'aile.» Première enquête, premier jugement, premier précédent: posé.</w:t>
      </w:r>
    </w:p>
    <w:p>
      <w:r>
        <w:t>Mais la procédure ne doit pas masquer la disproportion. François Ndengwe la pose en termes arithmétiques: les trois patrimoines cumulés représentent environ 160 millions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r>
        <w:t>La disproportion est plus profonde encore.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r>
        <w:t>Catherine Pierce, administratrice de Transparency International France, n'esquive pas la critique — elle en change le périmètre: «Nous n'attaquons pas le comportement des chefs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r>
        <w:t>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fonction?» (reportage télévisé, Malabo). À Paris, les avocats de la défense invoquent l'immunité ratione personae — juridiquement sérieuse — et la déstabilisation politique. Mais l'argument le plus révélateur est celui-ci: «Il ne faut pas rendre cet argent à la République tant que les dirigeants politiques sont en place.»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pPr>
        <w:pStyle w:val="Heading2"/>
        <w:pBdr>
          <w:bottom w:val="single" w:sz="8" w:space="4" w:color="A07820"/>
        </w:pBdr>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A07820"/>
          <w:sz w:val="22"/>
          <w:rFonts w:ascii="FreeSerif" w:hAnsi="FreeSerif" w:cs="FreeSerif"/>
        </w:rPr>
        <w:t>★★★</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III — LA GUERRE DU SAHEL</w:t>
      </w:r>
    </w:p>
    <w:p>
      <w:pPr>
        <w:pBdr>
          <w:top w:val="single" w:sz="24" w:space="4" w:color="A07820"/>
        </w:pBdr>
      </w:pPr>
    </w:p>
    <w:p>
      <w:pPr>
        <w:spacing w:before="160" w:after="160"/>
        <w:jc w:val="center"/>
      </w:pPr>
      <w:r>
        <w:rPr>
          <w:b w:val="0"/>
          <w:i w:val="0"/>
          <w:color w:val="A07820"/>
          <w:sz w:val="22"/>
          <w:rFonts w:ascii="FreeSerif" w:hAnsi="FreeSerif" w:cs="FreeSerif"/>
        </w:rPr>
        <w:t>★★★</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11 — LA CRISE LIBYENNE</w:t>
      </w:r>
    </w:p>
    <w:p>
      <w:pPr>
        <w:spacing w:before="40" w:after="120"/>
        <w:ind w:left="567"/>
        <w:pBdr>
          <w:left w:val="single" w:sz="4" w:space="8" w:color="A07820"/>
        </w:pBdr>
      </w:pPr>
      <w:r>
        <w:rPr>
          <w:i/>
          <w:color w:val="8B1A1A"/>
          <w:sz w:val="20"/>
        </w:rPr>
        <w:t>« Il est des cycles inévitables dans l'histoire sociale: c'est désormais au tour de la race noire de prévaloir dans le monde.» — Mouammar Kadhafi</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Bdr>
          <w:bottom w:val="single" w:sz="8" w:space="4" w:color="A07820"/>
        </w:pBdr>
      </w:pPr>
      <w:r>
        <w:t>L'enfant du désert</w:t>
      </w:r>
    </w:p>
    <w:p>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r>
        <w:t>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totalitaire.»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pPr>
        <w:pStyle w:val="Heading2"/>
        <w:pBdr>
          <w:bottom w:val="single" w:sz="8" w:space="4" w:color="A07820"/>
        </w:pBdr>
      </w:pPr>
      <w:r>
        <w:t>L'argent du panafricanisme</w:t>
      </w:r>
    </w:p>
    <w:p>
      <w:r>
        <w:t>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manière pacifique — et l'Afrique l'adopte, jusqu'à lui décerner des titres de chef traditionnel.</w:t>
      </w:r>
    </w:p>
    <w:p>
      <w:r>
        <w:t>Mais l'essentiel, pour Pondi, n'est pas dans les titres: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L'EMPREINTE AFRICAINE DE KADHAFI (2000-2010)</w:t>
            </w:r>
          </w:p>
        </w:tc>
      </w:tr>
      <w:tr>
        <w:tc>
          <w:tcPr>
            <w:tcW w:type="dxa" w:w="6624"/>
            <w:shd w:val="clear" w:fill="F4EFE4"/>
          </w:tcPr>
          <w:p>
            <w:r>
              <w:rPr>
                <w:rFonts w:ascii="FreeSerif" w:hAnsi="FreeSerif" w:cs="FreeSerif"/>
                <w:color w:val="2E2E2E"/>
                <w:sz w:val="19"/>
              </w:rPr>
              <w:t>Malibya: environ 100 000 hectares de terres agricoles aménagées au Mali</w:t>
            </w:r>
          </w:p>
        </w:tc>
      </w:tr>
      <w:tr>
        <w:tc>
          <w:tcPr>
            <w:tcW w:type="dxa" w:w="6624"/>
            <w:shd w:val="clear" w:fill="F4EFE4"/>
          </w:tcPr>
          <w:p>
            <w:r>
              <w:rPr>
                <w:rFonts w:ascii="FreeSerif" w:hAnsi="FreeSerif" w:cs="FreeSerif"/>
                <w:color w:val="2E2E2E"/>
                <w:sz w:val="19"/>
              </w:rPr>
              <w:t>Oilibya: plus de 200 stations-service réparties à travers le continent</w:t>
            </w:r>
          </w:p>
        </w:tc>
      </w:tr>
      <w:tr>
        <w:tc>
          <w:tcPr>
            <w:tcW w:type="dxa" w:w="6624"/>
            <w:shd w:val="clear" w:fill="F4EFE4"/>
          </w:tcPr>
          <w:p>
            <w:r>
              <w:rPr>
                <w:rFonts w:ascii="FreeSerif" w:hAnsi="FreeSerif" w:cs="FreeSerif"/>
                <w:color w:val="2E2E2E"/>
                <w:sz w:val="19"/>
              </w:rPr>
              <w:t>Afriqiyah Airways: une compagnie « low cost» pour faire voyager les Africains à prix réduit</w:t>
            </w:r>
          </w:p>
        </w:tc>
      </w:tr>
      <w:tr>
        <w:tc>
          <w:tcPr>
            <w:tcW w:type="dxa" w:w="6624"/>
            <w:shd w:val="clear" w:fill="F4EFE4"/>
          </w:tcPr>
          <w:p>
            <w:r>
              <w:rPr>
                <w:rFonts w:ascii="FreeSerif" w:hAnsi="FreeSerif" w:cs="FreeSerif"/>
                <w:color w:val="2E2E2E"/>
                <w:sz w:val="19"/>
              </w:rPr>
              <w:t>RASCOM: un satellite de communication libérant l'Afrique de la location des satellites occidentaux</w:t>
            </w:r>
          </w:p>
        </w:tc>
      </w:tr>
      <w:tr>
        <w:tc>
          <w:tcPr>
            <w:tcW w:type="dxa" w:w="6624"/>
            <w:shd w:val="clear" w:fill="F4EFE4"/>
          </w:tcPr>
          <w:p>
            <w:r>
              <w:rPr>
                <w:rFonts w:ascii="FreeSerif" w:hAnsi="FreeSerif" w:cs="FreeSerif"/>
                <w:color w:val="2E2E2E"/>
                <w:sz w:val="19"/>
              </w:rPr>
              <w:t>Plus de 20 milliards de dollars investis sur la période — davantage que la Banque mondiale ou le FMI</w:t>
            </w:r>
          </w:p>
        </w:tc>
      </w:tr>
    </w:tbl>
    <w:p/>
    <w:p>
      <w:pPr>
        <w:pStyle w:val="Heading2"/>
        <w:pBdr>
          <w:bottom w:val="single" w:sz="8" w:space="4" w:color="A07820"/>
        </w:pBdr>
      </w:pPr>
      <w:r>
        <w:t>L'architecte de l'Union africaine</w:t>
      </w:r>
    </w:p>
    <w:p>
      <w:r>
        <w:t>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Bdr>
          <w:bottom w:val="single" w:sz="8" w:space="4" w:color="A07820"/>
        </w:pBdr>
      </w:pPr>
      <w:r>
        <w:t>Quatre leçons pour l'Afrique</w:t>
      </w:r>
    </w:p>
    <w:p>
      <w:r>
        <w:t>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r>
        <w:t>Cette dernière leçon n'est pas abstraite. Sept mois de frappes l'ont écrite dans la chair d'un homme et dans le destin d'un pays. Il faut maintenant raconter comment.</w:t>
      </w:r>
    </w:p>
    <w:p>
      <w:pPr>
        <w:pStyle w:val="Heading2"/>
        <w:pBdr>
          <w:bottom w:val="single" w:sz="8" w:space="4" w:color="A07820"/>
        </w:pBdr>
      </w:pPr>
      <w:r>
        <w:t>Mars-octobre 2011: chronologie d'une destruction</w:t>
      </w:r>
    </w:p>
    <w:p>
      <w:r>
        <w:t>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témoignage est de première main; il est aussi tout sauf neutre, et on le lira comme tel. Reste un fait que nul ne conteste: la vitesse à laquelle des manifestations sont devenues une guerre civile internationalisée.</w:t>
      </w:r>
    </w:p>
    <w:p>
      <w:r>
        <w:t>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Assad. Détail qui ne s'invente pas: l'expression « printemps arabe» est elle-même le titre d'un livre de l'écrivain français Jacques Benoist-Méchin, paru en 1959 et consacré à la vague nationaliste de Nasser. Recyclée un demi-siècle plus tard, elle a paré d'un parfum d'émancipation une séquence d'une autre nature. Cette lecture est contestée et émane d'une source partisane.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Bdr>
          <w:bottom w:val="single" w:sz="8" w:space="4" w:color="A07820"/>
        </w:pBdr>
      </w:pPr>
      <w:r>
        <w:t>Les hommes de la chute</w:t>
      </w:r>
    </w:p>
    <w:p>
      <w:r>
        <w:t>Une fois le mandat de protection mué en guerre de renversement, restait à savoir qui prendrait le pays. Trois hommes disent la nature réelle de la rébellion que la coalition a portée au pouvoir.</w:t>
      </w:r>
    </w:p>
    <w:p>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r>
        <w:t>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pPr>
        <w:pStyle w:val="Heading2"/>
        <w:pBdr>
          <w:bottom w:val="single" w:sz="8" w:space="4" w:color="A07820"/>
        </w:pBdr>
      </w:pPr>
      <w:r>
        <w:t>L'islamiste utile</w:t>
      </w:r>
    </w:p>
    <w:p>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r>
        <w:t>La preuve libyenne est limpide. Abdelhakim Belhadj, qu'on a vu sortir des geôles pour devenir gouverneur de Tripoli, en est l'archétype: jihadiste traqué hier, allié utile aujourd'hui, gouverneur demain, exportateur de 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r>
        <w:t>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C'est une lecture partisane, et on la pèse comme telle.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pPr>
        <w:pStyle w:val="Heading2"/>
        <w:pBdr>
          <w:bottom w:val="single" w:sz="8" w:space="4" w:color="A07820"/>
        </w:pBdr>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LA LIBYE APRÈS 2011: CE QUI S'EST DÉVERSÉ VERS LE SAHEL</w:t>
            </w:r>
          </w:p>
        </w:tc>
      </w:tr>
      <w:tr>
        <w:tc>
          <w:tcPr>
            <w:tcW w:type="dxa" w:w="6624"/>
            <w:shd w:val="clear" w:fill="F4EFE4"/>
          </w:tcPr>
          <w:p>
            <w:r>
              <w:rPr>
                <w:rFonts w:ascii="FreeSerif" w:hAnsi="FreeSerif" w:cs="FreeSerif"/>
                <w:color w:val="2E2E2E"/>
                <w:sz w:val="19"/>
              </w:rPr>
              <w:t>Des dizaines de milliers de tonnes d'armes issues des arsenaux libyens (missiles, lance-roquettes, armes automatiques, blindés)</w:t>
            </w:r>
          </w:p>
        </w:tc>
      </w:tr>
      <w:tr>
        <w:tc>
          <w:tcPr>
            <w:tcW w:type="dxa" w:w="6624"/>
            <w:shd w:val="clear" w:fill="F4EFE4"/>
          </w:tcPr>
          <w:p>
            <w:r>
              <w:rPr>
                <w:rFonts w:ascii="FreeSerif" w:hAnsi="FreeSerif" w:cs="FreeSerif"/>
                <w:color w:val="2E2E2E"/>
                <w:sz w:val="19"/>
              </w:rPr>
              <w:t>Des combattants aguerris, notamment touareg, rentrant vers le nord du Mali</w:t>
            </w:r>
          </w:p>
        </w:tc>
      </w:tr>
      <w:tr>
        <w:tc>
          <w:tcPr>
            <w:tcW w:type="dxa" w:w="6624"/>
            <w:shd w:val="clear" w:fill="F4EFE4"/>
          </w:tcPr>
          <w:p>
            <w:r>
              <w:rPr>
                <w:rFonts w:ascii="FreeSerif" w:hAnsi="FreeSerif" w:cs="FreeSerif"/>
                <w:color w:val="2E2E2E"/>
                <w:sz w:val="19"/>
              </w:rPr>
              <w:t>Un État effondré, incapable de contrôler ses 4 000 kilomètres de frontières sahariennes</w:t>
            </w:r>
          </w:p>
        </w:tc>
      </w:tr>
      <w:tr>
        <w:tc>
          <w:tcPr>
            <w:tcW w:type="dxa" w:w="6624"/>
            <w:shd w:val="clear" w:fill="F4EFE4"/>
          </w:tcPr>
          <w:p>
            <w:r>
              <w:rPr>
                <w:rFonts w:ascii="FreeSerif" w:hAnsi="FreeSerif" w:cs="FreeSerif"/>
                <w:color w:val="2E2E2E"/>
                <w:sz w:val="19"/>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12 — L'EXPLOSION DU TERRORISME</w:t>
      </w:r>
    </w:p>
    <w:p>
      <w:pPr>
        <w:spacing w:before="40" w:after="120"/>
        <w:ind w:left="567"/>
        <w:pBdr>
          <w:left w:val="single" w:sz="4" w:space="8" w:color="A07820"/>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Bdr>
          <w:bottom w:val="single" w:sz="8" w:space="4" w:color="A07820"/>
        </w:pBdr>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Bdr>
          <w:bottom w:val="single" w:sz="8" w:space="4" w:color="A07820"/>
        </w:pBdr>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l'incendie de la même année que les panafricanistes, la cause cesse d'être une opinion.</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Bdr>
          <w:bottom w:val="single" w:sz="8" w:space="4" w:color="A07820"/>
        </w:pBdr>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Bdr>
          <w:bottom w:val="single" w:sz="8" w:space="4" w:color="A07820"/>
        </w:pBdr>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TROIS RÉALITÉS DES CORRIDORS TRANSSAHARIENS</w:t>
            </w:r>
          </w:p>
        </w:tc>
      </w:tr>
      <w:tr>
        <w:tc>
          <w:tcPr>
            <w:tcW w:type="dxa" w:w="6624"/>
            <w:shd w:val="clear" w:fill="F4EFE4"/>
          </w:tcPr>
          <w:p>
            <w:r>
              <w:rPr>
                <w:rFonts w:ascii="FreeSerif" w:hAnsi="FreeSerif" w:cs="FreeSerif"/>
                <w:color w:val="2E2E2E"/>
                <w:sz w:val="19"/>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4EFE4"/>
          </w:tcPr>
          <w:p>
            <w:r>
              <w:rPr>
                <w:rFonts w:ascii="FreeSerif" w:hAnsi="FreeSerif" w:cs="FreeSerif"/>
                <w:color w:val="2E2E2E"/>
                <w:sz w:val="19"/>
              </w:rPr>
              <w:t>Les sentiers nomades traversent l'Algérie et la Mauritanie presque de bout en bout, reliant les zones de combat maliennes aux bases arrière proches de la Méditerranée</w:t>
            </w:r>
          </w:p>
        </w:tc>
      </w:tr>
      <w:tr>
        <w:tc>
          <w:tcPr>
            <w:tcW w:type="dxa" w:w="6624"/>
            <w:shd w:val="clear" w:fill="F4EFE4"/>
          </w:tcPr>
          <w:p>
            <w:r>
              <w:rPr>
                <w:rFonts w:ascii="FreeSerif" w:hAnsi="FreeSerif" w:cs="FreeSerif"/>
                <w:color w:val="2E2E2E"/>
                <w:sz w:val="19"/>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Bdr>
          <w:bottom w:val="single" w:sz="8" w:space="4" w:color="A07820"/>
        </w:pBdr>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13 — SERVAL, BARKHANE ET LEURS LIMITES</w:t>
      </w:r>
    </w:p>
    <w:p>
      <w:pPr>
        <w:spacing w:before="40" w:after="120"/>
        <w:ind w:left="567"/>
        <w:pBdr>
          <w:left w:val="single" w:sz="4" w:space="8" w:color="A07820"/>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Bdr>
          <w:bottom w:val="single" w:sz="8" w:space="4" w:color="A07820"/>
        </w:pBdr>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Bdr>
          <w:bottom w:val="single" w:sz="8" w:space="4" w:color="A07820"/>
        </w:pBdr>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Bdr>
          <w:bottom w:val="single" w:sz="8" w:space="4" w:color="A07820"/>
        </w:pBdr>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BARKHANE EN CHIFFRES</w:t>
            </w:r>
          </w:p>
        </w:tc>
      </w:tr>
      <w:tr>
        <w:tc>
          <w:tcPr>
            <w:tcW w:type="dxa" w:w="6624"/>
            <w:shd w:val="clear" w:fill="F4EFE4"/>
          </w:tcPr>
          <w:p>
            <w:r>
              <w:rPr>
                <w:rFonts w:ascii="FreeSerif" w:hAnsi="FreeSerif" w:cs="FreeSerif"/>
                <w:color w:val="2E2E2E"/>
                <w:sz w:val="19"/>
              </w:rPr>
              <w:t>Zone d'opération: 5 millions de km² — dix fois la France</w:t>
            </w:r>
          </w:p>
        </w:tc>
      </w:tr>
      <w:tr>
        <w:tc>
          <w:tcPr>
            <w:tcW w:type="dxa" w:w="6624"/>
            <w:shd w:val="clear" w:fill="F4EFE4"/>
          </w:tcPr>
          <w:p>
            <w:r>
              <w:rPr>
                <w:rFonts w:ascii="FreeSerif" w:hAnsi="FreeSerif" w:cs="FreeSerif"/>
                <w:color w:val="2E2E2E"/>
                <w:sz w:val="19"/>
              </w:rPr>
              <w:t>Effectifs: jusqu'à 5 500 hommes</w:t>
            </w:r>
          </w:p>
        </w:tc>
      </w:tr>
      <w:tr>
        <w:tc>
          <w:tcPr>
            <w:tcW w:type="dxa" w:w="6624"/>
            <w:shd w:val="clear" w:fill="F4EFE4"/>
          </w:tcPr>
          <w:p>
            <w:r>
              <w:rPr>
                <w:rFonts w:ascii="FreeSerif" w:hAnsi="FreeSerif" w:cs="FreeSerif"/>
                <w:color w:val="2E2E2E"/>
                <w:sz w:val="19"/>
              </w:rPr>
              <w:t>Coût: environ 1 milliard d'euros par an, soit 1,3 milliard de francs CFA par jour; plus de 5 milliards cumulés entre 2014 et 2022 (Cour des comptes, 2020)</w:t>
            </w:r>
          </w:p>
        </w:tc>
      </w:tr>
      <w:tr>
        <w:tc>
          <w:tcPr>
            <w:tcW w:type="dxa" w:w="6624"/>
            <w:shd w:val="clear" w:fill="F4EFE4"/>
          </w:tcPr>
          <w:p>
            <w:r>
              <w:rPr>
                <w:rFonts w:ascii="FreeSerif" w:hAnsi="FreeSerif" w:cs="FreeSerif"/>
                <w:color w:val="2E2E2E"/>
                <w:sz w:val="19"/>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Bdr>
          <w:bottom w:val="single" w:sz="8" w:space="4" w:color="A07820"/>
        </w:pBdr>
      </w:pPr>
      <w:r>
        <w:t>L'OCRS: la vraie raison, nommée à la tribune de l'ONU</w:t>
      </w:r>
    </w:p>
    <w:p>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r>
        <w:t>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pPr>
        <w:pStyle w:val="Heading2"/>
        <w:pBdr>
          <w:bottom w:val="single" w:sz="8" w:space="4" w:color="A07820"/>
        </w:pBdr>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58 MORTS DE BARKHANE: LA DÉCOMPOSITION (DONNÉES DU MINISTÈRE FRANÇAIS DES ARMÉES, COMPILÉES PAR N. YAMB, 2025)</w:t>
            </w:r>
          </w:p>
        </w:tc>
      </w:tr>
      <w:tr>
        <w:tc>
          <w:tcPr>
            <w:tcW w:type="dxa" w:w="6624"/>
            <w:shd w:val="clear" w:fill="F4EFE4"/>
          </w:tcPr>
          <w:p>
            <w:r>
              <w:rPr>
                <w:rFonts w:ascii="FreeSerif" w:hAnsi="FreeSerif" w:cs="FreeSerif"/>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4EFE4"/>
          </w:tcPr>
          <w:p>
            <w:r>
              <w:rPr>
                <w:rFonts w:ascii="FreeSerif" w:hAnsi="FreeSerif" w:cs="FreeSerif"/>
                <w:color w:val="2E2E2E"/>
                <w:sz w:val="19"/>
              </w:rPr>
              <w:t>13 morts dans la collision de deux hélicoptères français, à la suite d'un différend interne entre équipes</w:t>
            </w:r>
          </w:p>
        </w:tc>
      </w:tr>
      <w:tr>
        <w:tc>
          <w:tcPr>
            <w:tcW w:type="dxa" w:w="6624"/>
            <w:shd w:val="clear" w:fill="F4EFE4"/>
          </w:tcPr>
          <w:p>
            <w:r>
              <w:rPr>
                <w:rFonts w:ascii="FreeSerif" w:hAnsi="FreeSerif" w:cs="FreeSerif"/>
                <w:color w:val="2E2E2E"/>
                <w:sz w:val="19"/>
              </w:rPr>
              <w:t>2 tués par leurs propres camarades</w:t>
            </w:r>
          </w:p>
        </w:tc>
      </w:tr>
      <w:tr>
        <w:tc>
          <w:tcPr>
            <w:tcW w:type="dxa" w:w="6624"/>
            <w:shd w:val="clear" w:fill="F4EFE4"/>
          </w:tcPr>
          <w:p>
            <w:r>
              <w:rPr>
                <w:rFonts w:ascii="FreeSerif" w:hAnsi="FreeSerif" w:cs="FreeSerif"/>
                <w:color w:val="2E2E2E"/>
                <w:sz w:val="19"/>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14 — LA BATAILLE DE L'INFORMATION</w:t>
      </w:r>
    </w:p>
    <w:p>
      <w:pPr>
        <w:spacing w:before="40" w:after="120"/>
        <w:ind w:left="567"/>
        <w:pBdr>
          <w:left w:val="single" w:sz="4" w:space="8" w:color="A07820"/>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Bdr>
          <w:bottom w:val="single" w:sz="8" w:space="4" w:color="A07820"/>
        </w:pBdr>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pouvoir.»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a appris à les piloter, dans des pays dont l'État peine à faire homologuer un appareil civil? — avant de renvoyer à l'aveu du renseignement militaire ukrainien après Tinzawaten (chapitre 12). Pour l'AES, la « fabrique du terrorisme» n'est pas une thèse: c'est un dossier.</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Bdr>
          <w:bottom w:val="single" w:sz="8" w:space="4" w:color="A07820"/>
        </w:pBdr>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Bdr>
          <w:bottom w:val="single" w:sz="8" w:space="4" w:color="A07820"/>
        </w:pBdr>
      </w:pPr>
      <w:r>
        <w:t>Troisième front: l'humanitaire</w:t>
      </w:r>
    </w:p>
    <w:p>
      <w: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SEPT USAGES SIMULTANÉS D'UN RAPPORT D'ONG (DÉCRYPTAGE DE N. YAMB, AVRIL 2026)</w:t>
            </w:r>
          </w:p>
        </w:tc>
      </w:tr>
      <w:tr>
        <w:tc>
          <w:tcPr>
            <w:tcW w:type="dxa" w:w="6624"/>
            <w:shd w:val="clear" w:fill="F4EFE4"/>
          </w:tcPr>
          <w:p>
            <w:r>
              <w:rPr>
                <w:rFonts w:ascii="FreeSerif" w:hAnsi="FreeSerif" w:cs="FreeSerif"/>
                <w:color w:val="2E2E2E"/>
                <w:sz w:val="19"/>
              </w:rPr>
              <w:t>Diplomatique: des munitions dans les enceintes multilaterals</w:t>
            </w:r>
          </w:p>
        </w:tc>
      </w:tr>
      <w:tr>
        <w:tc>
          <w:tcPr>
            <w:tcW w:type="dxa" w:w="6624"/>
            <w:shd w:val="clear" w:fill="F4EFE4"/>
          </w:tcPr>
          <w:p>
            <w:r>
              <w:rPr>
                <w:rFonts w:ascii="FreeSerif" w:hAnsi="FreeSerif" w:cs="FreeSerif"/>
                <w:color w:val="2E2E2E"/>
                <w:sz w:val="19"/>
              </w:rPr>
              <w:t>Judiciaire: un dossier prêt à l'emploi pour la CPI</w:t>
            </w:r>
          </w:p>
        </w:tc>
      </w:tr>
      <w:tr>
        <w:tc>
          <w:tcPr>
            <w:tcW w:type="dxa" w:w="6624"/>
            <w:shd w:val="clear" w:fill="F4EFE4"/>
          </w:tcPr>
          <w:p>
            <w:r>
              <w:rPr>
                <w:rFonts w:ascii="FreeSerif" w:hAnsi="FreeSerif" w:cs="FreeSerif"/>
                <w:color w:val="2E2E2E"/>
                <w:sz w:val="19"/>
              </w:rPr>
              <w:t>Économique: la dégradation de la note souveraine du pays visé</w:t>
            </w:r>
          </w:p>
        </w:tc>
      </w:tr>
      <w:tr>
        <w:tc>
          <w:tcPr>
            <w:tcW w:type="dxa" w:w="6624"/>
            <w:shd w:val="clear" w:fill="F4EFE4"/>
          </w:tcPr>
          <w:p>
            <w:r>
              <w:rPr>
                <w:rFonts w:ascii="FreeSerif" w:hAnsi="FreeSerif" w:cs="FreeSerif"/>
                <w:color w:val="2E2E2E"/>
                <w:sz w:val="19"/>
              </w:rPr>
              <w:t>Médiatique: l'alimentation d'un récit hostile</w:t>
            </w:r>
          </w:p>
        </w:tc>
      </w:tr>
      <w:tr>
        <w:tc>
          <w:tcPr>
            <w:tcW w:type="dxa" w:w="6624"/>
            <w:shd w:val="clear" w:fill="F4EFE4"/>
          </w:tcPr>
          <w:p>
            <w:r>
              <w:rPr>
                <w:rFonts w:ascii="FreeSerif" w:hAnsi="FreeSerif" w:cs="FreeSerif"/>
                <w:color w:val="2E2E2E"/>
                <w:sz w:val="19"/>
              </w:rPr>
              <w:t>Psychologique: semer des fissures au sein de l'armée burkinabè</w:t>
            </w:r>
          </w:p>
        </w:tc>
      </w:tr>
      <w:tr>
        <w:tc>
          <w:tcPr>
            <w:tcW w:type="dxa" w:w="6624"/>
            <w:shd w:val="clear" w:fill="F4EFE4"/>
          </w:tcPr>
          <w:p>
            <w:r>
              <w:rPr>
                <w:rFonts w:ascii="FreeSerif" w:hAnsi="FreeSerif" w:cs="FreeSerif"/>
                <w:color w:val="2E2E2E"/>
                <w:sz w:val="19"/>
              </w:rPr>
              <w:t>Sanctions: justifier gels d'avoirs et mesures ciblées</w:t>
            </w:r>
          </w:p>
        </w:tc>
      </w:tr>
      <w:tr>
        <w:tc>
          <w:tcPr>
            <w:tcW w:type="dxa" w:w="6624"/>
            <w:shd w:val="clear" w:fill="F4EFE4"/>
          </w:tcPr>
          <w:p>
            <w:r>
              <w:rPr>
                <w:rFonts w:ascii="FreeSerif" w:hAnsi="FreeSerif" w:cs="FreeSerif"/>
                <w:color w:val="2E2E2E"/>
                <w:sz w:val="19"/>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Bdr>
          <w:bottom w:val="single" w:sz="8" w:space="4" w:color="A07820"/>
        </w:pBdr>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Bdr>
          <w:bottom w:val="single" w:sz="8" w:space="4" w:color="A07820"/>
        </w:pBdr>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Bdr>
          <w:bottom w:val="single" w:sz="8" w:space="4" w:color="A07820"/>
        </w:pBdr>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15 — CE QUE LA FRANCE ADMET EN PRIVÉ</w:t>
      </w:r>
    </w:p>
    <w:p>
      <w:pPr>
        <w:spacing w:before="40" w:after="120"/>
        <w:ind w:left="567"/>
        <w:pBdr>
          <w:left w:val="single" w:sz="4" w:space="8" w:color="A07820"/>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Bdr>
          <w:bottom w:val="single" w:sz="8" w:space="4" w:color="A07820"/>
        </w:pBdr>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Bdr>
          <w:bottom w:val="single" w:sz="8" w:space="4" w:color="A07820"/>
        </w:pBdr>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Bdr>
          <w:bottom w:val="single" w:sz="8" w:space="4" w:color="A07820"/>
        </w:pBdr>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Ces citations, rapportées par une source engagée, ne peuvent être retenues au même rang que les rapports parlementaires ou les auditions à huis clos.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pPr>
        <w:pStyle w:val="Heading2"/>
        <w:pBdr>
          <w:bottom w:val="single" w:sz="8" w:space="4" w:color="A07820"/>
        </w:pBdr>
      </w:pPr>
      <w:r>
        <w:t>L'aveu du stratège: « pour les intérêts de la France »</w:t>
      </w:r>
    </w:p>
    <w:p>
      <w:r>
        <w:t>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échec.» L'ancien patron des armées, sous lequel Barkhane fut conduite, parle d'échec. Le mot, dans sa bouche, n'est pas une opinion de plus: c'est un constat dressé de l'intérieur.</w:t>
      </w:r>
    </w:p>
    <w:p>
      <w:r>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r>
        <w:t>Lecointre lâche pourtant la phrase qui dissout tous les alibis. Selon les propos qui lui sont attribués — rapportés avec la prudence due à une source unique —, « on ne fait pas la guerre pour la démocratie mais pour les intérêts de la France». Si la formule est exacte, elle ruine la justification officielle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r>
        <w:t>Le même stratège dessine enfin l'avenir, et il glace: « Je suis persuadé que dans quelques années — dix ans, moins, ou plus — nous aurons l'obligation de retourner aider ces pays africains.»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des solutions durables.»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pPr>
        <w:pStyle w:val="Heading2"/>
        <w:pBdr>
          <w:bottom w:val="single" w:sz="8" w:space="4" w:color="A07820"/>
        </w:pBdr>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A07820"/>
          <w:sz w:val="22"/>
          <w:rFonts w:ascii="FreeSerif" w:hAnsi="FreeSerif" w:cs="FreeSerif"/>
        </w:rPr>
        <w:t>★★★</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IV — LA RÉVOLUTION DE LA SOUVERAINETÉ</w:t>
      </w:r>
    </w:p>
    <w:p>
      <w:pPr>
        <w:pBdr>
          <w:top w:val="single" w:sz="24" w:space="4" w:color="A07820"/>
        </w:pBdr>
      </w:pPr>
    </w:p>
    <w:p>
      <w:pPr>
        <w:spacing w:before="160" w:after="160"/>
        <w:jc w:val="center"/>
      </w:pPr>
      <w:r>
        <w:rPr>
          <w:b w:val="0"/>
          <w:i w:val="0"/>
          <w:color w:val="A07820"/>
          <w:sz w:val="22"/>
          <w:rFonts w:ascii="FreeSerif" w:hAnsi="FreeSerif" w:cs="FreeSerif"/>
        </w:rPr>
        <w:t>★★★</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16 — MALI: LA PREMIÈRE RUPTURE</w:t>
      </w:r>
    </w:p>
    <w:p>
      <w:pPr>
        <w:spacing w:before="40" w:after="120"/>
        <w:ind w:left="567"/>
        <w:pBdr>
          <w:left w:val="single" w:sz="4" w:space="8" w:color="A07820"/>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Bdr>
          <w:bottom w:val="single" w:sz="8" w:space="4" w:color="A07820"/>
        </w:pBdr>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Bdr>
          <w:bottom w:val="single" w:sz="8" w:space="4" w:color="A07820"/>
        </w:pBdr>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Bdr>
          <w:bottom w:val="single" w:sz="8" w:space="4" w:color="A07820"/>
        </w:pBdr>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Bdr>
          <w:bottom w:val="single" w:sz="8" w:space="4" w:color="A07820"/>
        </w:pBdr>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Bdr>
          <w:bottom w:val="single" w:sz="8" w:space="4" w:color="A07820"/>
        </w:pBdr>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Bdr>
          <w:bottom w:val="single" w:sz="8" w:space="4" w:color="A07820"/>
        </w:pBdr>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17 — BURKINA FASO: LA DOCTRINE TRAORÉ</w:t>
      </w:r>
    </w:p>
    <w:p>
      <w:pPr>
        <w:spacing w:before="40" w:after="120"/>
        <w:ind w:left="567"/>
        <w:pBdr>
          <w:left w:val="single" w:sz="4" w:space="8" w:color="A07820"/>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Bdr>
          <w:bottom w:val="single" w:sz="8" w:space="4" w:color="A07820"/>
        </w:pBdr>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Bdr>
          <w:bottom w:val="single" w:sz="8" w:space="4" w:color="A07820"/>
        </w:pBdr>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Bdr>
          <w:bottom w:val="single" w:sz="8" w:space="4" w:color="A07820"/>
        </w:pBdr>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18 — NIGER: LE VERROU FINAL</w:t>
      </w:r>
    </w:p>
    <w:p>
      <w:pPr>
        <w:spacing w:before="40" w:after="120"/>
        <w:ind w:left="567"/>
        <w:pBdr>
          <w:left w:val="single" w:sz="4" w:space="8" w:color="A07820"/>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CE QUE L'OCCIDENT PERDAIT AVEC LE NIGER (JUILLET 2023)</w:t>
            </w:r>
          </w:p>
        </w:tc>
      </w:tr>
      <w:tr>
        <w:tc>
          <w:tcPr>
            <w:tcW w:type="dxa" w:w="6624"/>
            <w:shd w:val="clear" w:fill="F4EFE4"/>
          </w:tcPr>
          <w:p>
            <w:r>
              <w:rPr>
                <w:rFonts w:ascii="FreeSerif" w:hAnsi="FreeSerif" w:cs="FreeSerif"/>
                <w:color w:val="2E2E2E"/>
                <w:sz w:val="19"/>
              </w:rPr>
              <w:t>Base aérienne de Niamey: environ 1 500 soldats français</w:t>
            </w:r>
          </w:p>
        </w:tc>
      </w:tr>
      <w:tr>
        <w:tc>
          <w:tcPr>
            <w:tcW w:type="dxa" w:w="6624"/>
            <w:shd w:val="clear" w:fill="F4EFE4"/>
          </w:tcPr>
          <w:p>
            <w:r>
              <w:rPr>
                <w:rFonts w:ascii="FreeSerif" w:hAnsi="FreeSerif" w:cs="FreeSerif"/>
                <w:color w:val="2E2E2E"/>
                <w:sz w:val="19"/>
              </w:rPr>
              <w:t>Base 201 d'Agadez: environ 1 000 soldats américains et des drones Reaper MQ-9 — la seule base de drones américains en Afrique de l'Ouest</w:t>
            </w:r>
          </w:p>
        </w:tc>
      </w:tr>
      <w:tr>
        <w:tc>
          <w:tcPr>
            <w:tcW w:type="dxa" w:w="6624"/>
            <w:shd w:val="clear" w:fill="F4EFE4"/>
          </w:tcPr>
          <w:p>
            <w:r>
              <w:rPr>
                <w:rFonts w:ascii="FreeSerif" w:hAnsi="FreeSerif" w:cs="FreeSerif"/>
                <w:color w:val="2E2E2E"/>
                <w:sz w:val="19"/>
              </w:rPr>
              <w:t>Uranium: 35 % des importations françaises d'uranium concentré (2020)</w:t>
            </w:r>
          </w:p>
        </w:tc>
      </w:tr>
      <w:tr>
        <w:tc>
          <w:tcPr>
            <w:tcW w:type="dxa" w:w="6624"/>
            <w:shd w:val="clear" w:fill="F4EFE4"/>
          </w:tcPr>
          <w:p>
            <w:r>
              <w:rPr>
                <w:rFonts w:ascii="FreeSerif" w:hAnsi="FreeSerif" w:cs="FreeSerif"/>
                <w:color w:val="2E2E2E"/>
                <w:sz w:val="19"/>
              </w:rPr>
              <w:t>Accord UE-Niger de 2015 sur les flux migratoires transsahariens — le verrou migratoire de l'Europe</w:t>
            </w:r>
          </w:p>
        </w:tc>
      </w:tr>
      <w:tr>
        <w:tc>
          <w:tcPr>
            <w:tcW w:type="dxa" w:w="6624"/>
            <w:shd w:val="clear" w:fill="F4EFE4"/>
          </w:tcPr>
          <w:p>
            <w:r>
              <w:rPr>
                <w:rFonts w:ascii="FreeSerif" w:hAnsi="FreeSerif" w:cs="FreeSerif"/>
                <w:color w:val="2E2E2E"/>
                <w:sz w:val="19"/>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Bdr>
          <w:bottom w:val="single" w:sz="8" w:space="4" w:color="A07820"/>
        </w:pBdr>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Bdr>
          <w:bottom w:val="single" w:sz="8" w:space="4" w:color="A07820"/>
        </w:pBdr>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Bdr>
          <w:bottom w:val="single" w:sz="8" w:space="4" w:color="A07820"/>
        </w:pBdr>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Bdr>
          <w:bottom w:val="single" w:sz="8" w:space="4" w:color="A07820"/>
        </w:pBdr>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19 — LA NAISSANCE DE L'AES</w:t>
      </w:r>
    </w:p>
    <w:p>
      <w:pPr>
        <w:spacing w:before="40" w:after="120"/>
        <w:ind w:left="567"/>
        <w:pBdr>
          <w:left w:val="single" w:sz="4" w:space="8" w:color="A07820"/>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CHARTE DU LIPTAKO-GOURMA — DISPOSITIONS ESSENTIELLES</w:t>
            </w:r>
          </w:p>
        </w:tc>
      </w:tr>
      <w:tr>
        <w:tc>
          <w:tcPr>
            <w:tcW w:type="dxa" w:w="6624"/>
            <w:shd w:val="clear" w:fill="F4EFE4"/>
          </w:tcPr>
          <w:p>
            <w:r>
              <w:rPr>
                <w:rFonts w:ascii="FreeSerif" w:hAnsi="FreeSerif" w:cs="FreeSerif"/>
                <w:color w:val="2E2E2E"/>
                <w:sz w:val="19"/>
              </w:rPr>
              <w:t>Article 1: toute agression contre l'un des membres est une agression contre tous</w:t>
            </w:r>
          </w:p>
        </w:tc>
      </w:tr>
      <w:tr>
        <w:tc>
          <w:tcPr>
            <w:tcW w:type="dxa" w:w="6624"/>
            <w:shd w:val="clear" w:fill="F4EFE4"/>
          </w:tcPr>
          <w:p>
            <w:r>
              <w:rPr>
                <w:rFonts w:ascii="FreeSerif" w:hAnsi="FreeSerif" w:cs="FreeSerif"/>
                <w:color w:val="2E2E2E"/>
                <w:sz w:val="19"/>
              </w:rPr>
              <w:t>Souveraineté pleine sur les ressources naturelles nationales</w:t>
            </w:r>
          </w:p>
        </w:tc>
      </w:tr>
      <w:tr>
        <w:tc>
          <w:tcPr>
            <w:tcW w:type="dxa" w:w="6624"/>
            <w:shd w:val="clear" w:fill="F4EFE4"/>
          </w:tcPr>
          <w:p>
            <w:r>
              <w:rPr>
                <w:rFonts w:ascii="FreeSerif" w:hAnsi="FreeSerif" w:cs="FreeSerif"/>
                <w:color w:val="2E2E2E"/>
                <w:sz w:val="19"/>
              </w:rPr>
              <w:t>Droit de choisir ses partenaires militaires et diplomatiques sans tutelle extérieure</w:t>
            </w:r>
          </w:p>
        </w:tc>
      </w:tr>
      <w:tr>
        <w:tc>
          <w:tcPr>
            <w:tcW w:type="dxa" w:w="6624"/>
            <w:shd w:val="clear" w:fill="F4EFE4"/>
          </w:tcPr>
          <w:p>
            <w:r>
              <w:rPr>
                <w:rFonts w:ascii="FreeSerif" w:hAnsi="FreeSerif" w:cs="FreeSerif"/>
                <w:color w:val="2E2E2E"/>
                <w:sz w:val="19"/>
              </w:rPr>
              <w:t>Libre circulation des personnes entre les trois États membres</w:t>
            </w:r>
          </w:p>
        </w:tc>
      </w:tr>
      <w:tr>
        <w:tc>
          <w:tcPr>
            <w:tcW w:type="dxa" w:w="6624"/>
            <w:shd w:val="clear" w:fill="F4EFE4"/>
          </w:tcPr>
          <w:p>
            <w:r>
              <w:rPr>
                <w:rFonts w:ascii="FreeSerif" w:hAnsi="FreeSerif" w:cs="FreeSerif"/>
                <w:color w:val="2E2E2E"/>
                <w:sz w:val="19"/>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Bdr>
          <w:bottom w:val="single" w:sz="8" w:space="4" w:color="A07820"/>
        </w:pBdr>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Bdr>
          <w:bottom w:val="single" w:sz="8" w:space="4" w:color="A07820"/>
        </w:pBdr>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Bdr>
          <w:bottom w:val="single" w:sz="8" w:space="4" w:color="A07820"/>
        </w:pBdr>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20 — LA GUERRE PROXY</w:t>
      </w:r>
    </w:p>
    <w:p>
      <w:pPr>
        <w:spacing w:before="40" w:after="120"/>
        <w:ind w:left="567"/>
        <w:pBdr>
          <w:left w:val="single" w:sz="4" w:space="8" w:color="A07820"/>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Bdr>
          <w:bottom w:val="single" w:sz="8" w:space="4" w:color="A07820"/>
        </w:pBdr>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La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(source engagée déjà rencontrée aux chapitres précédents) désigne ce dispositif comme une guerre de quatrième génération. Sa lecture est partisane; le mécanisme qu'elle pointe — faire saisir les leviers de la crédibilité internationale pour asphyxier économiquement un État souverain — est, lui, documenté dans d'autres contextes géopolitiques. Ce que la Centrafrique a subi à partir de 2020, les États de l'AES en expérimenteront les variantes dès 2021.</w:t>
      </w:r>
    </w:p>
    <w:p>
      <w:r>
        <w:t>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Bdr>
          <w:bottom w:val="single" w:sz="8" w:space="4" w:color="A07820"/>
        </w:pBdr>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Bdr>
          <w:bottom w:val="single" w:sz="8" w:space="4" w:color="A07820"/>
        </w:pBdr>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Bdr>
          <w:bottom w:val="single" w:sz="8" w:space="4" w:color="A07820"/>
        </w:pBdr>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Bdr>
          <w:bottom w:val="single" w:sz="8" w:space="4" w:color="A07820"/>
        </w:pBdr>
      </w:pPr>
      <w:r>
        <w:t>Le 25 avril, et l'homme qu'il fallait tuer</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CHRONOLOGIE AUTOUR DU 25 AVRIL 2026</w:t>
            </w:r>
          </w:p>
        </w:tc>
      </w:tr>
      <w:tr>
        <w:tc>
          <w:tcPr>
            <w:tcW w:type="dxa" w:w="6624"/>
            <w:shd w:val="clear" w:fill="F4EFE4"/>
          </w:tcPr>
          <w:p>
            <w:r>
              <w:rPr>
                <w:rFonts w:ascii="FreeSerif" w:hAnsi="FreeSerif" w:cs="FreeSerif"/>
                <w:color w:val="2E2E2E"/>
                <w:sz w:val="19"/>
              </w:rPr>
              <w:t>22-23 avril: victoires des FAMa contre les groupes armés — non relayées par les médias occidentaux (Jules Domche, Vox Africa)</w:t>
            </w:r>
          </w:p>
        </w:tc>
      </w:tr>
      <w:tr>
        <w:tc>
          <w:tcPr>
            <w:tcW w:type="dxa" w:w="6624"/>
            <w:shd w:val="clear" w:fill="F4EFE4"/>
          </w:tcPr>
          <w:p>
            <w:r>
              <w:rPr>
                <w:rFonts w:ascii="FreeSerif" w:hAnsi="FreeSerif" w:cs="FreeSerif"/>
                <w:color w:val="2E2E2E"/>
                <w:sz w:val="19"/>
              </w:rPr>
              <w:t>23 avril: le Conseil de l'UE finalise 90 milliards d'euros pour l'Ukraine, dont 60 pour la défense, avec « dérogations ciblées»</w:t>
            </w:r>
          </w:p>
        </w:tc>
      </w:tr>
      <w:tr>
        <w:tc>
          <w:tcPr>
            <w:tcW w:type="dxa" w:w="6624"/>
            <w:shd w:val="clear" w:fill="F4EFE4"/>
          </w:tcPr>
          <w:p>
            <w:r>
              <w:rPr>
                <w:rFonts w:ascii="FreeSerif" w:hAnsi="FreeSerif" w:cs="FreeSerif"/>
                <w:color w:val="2E2E2E"/>
                <w:sz w:val="19"/>
              </w:rPr>
              <w:t>25 avril: attaques coordonnées sur Bamako, Kati, Kidal, Gao, Sévaré; mort du général Sadio Camara; le FLA reprend temporairement Kidal</w:t>
            </w:r>
          </w:p>
        </w:tc>
      </w:tr>
      <w:tr>
        <w:tc>
          <w:tcPr>
            <w:tcW w:type="dxa" w:w="6624"/>
            <w:shd w:val="clear" w:fill="F4EFE4"/>
          </w:tcPr>
          <w:p>
            <w:r>
              <w:rPr>
                <w:rFonts w:ascii="FreeSerif" w:hAnsi="FreeSerif" w:cs="FreeSerif"/>
                <w:color w:val="2E2E2E"/>
                <w:sz w:val="19"/>
              </w:rPr>
              <w:t>28 avril: discours de Goïta; 1er mai: 800 citernes de carburant nigériennes vers le Mali</w:t>
            </w:r>
          </w:p>
        </w:tc>
      </w:tr>
      <w:tr>
        <w:tc>
          <w:tcPr>
            <w:tcW w:type="dxa" w:w="6624"/>
            <w:shd w:val="clear" w:fill="F4EFE4"/>
          </w:tcPr>
          <w:p>
            <w:r>
              <w:rPr>
                <w:rFonts w:ascii="FreeSerif" w:hAnsi="FreeSerif" w:cs="FreeSerif"/>
                <w:color w:val="2E2E2E"/>
                <w:sz w:val="19"/>
              </w:rPr>
              <w:t>8 mai: le Niger suspend dix médias français; la HAC malienne bannit Al Arabiya</w:t>
            </w:r>
          </w:p>
        </w:tc>
      </w:tr>
      <w:tr>
        <w:tc>
          <w:tcPr>
            <w:tcW w:type="dxa" w:w="6624"/>
            <w:shd w:val="clear" w:fill="F4EFE4"/>
          </w:tcPr>
          <w:p>
            <w:r>
              <w:rPr>
                <w:rFonts w:ascii="FreeSerif" w:hAnsi="FreeSerif" w:cs="FreeSerif"/>
                <w:color w:val="2E2E2E"/>
                <w:sz w:val="19"/>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Bdr>
          <w:bottom w:val="single" w:sz="8" w:space="4" w:color="A07820"/>
        </w:pBdr>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Bdr>
          <w:bottom w:val="single" w:sz="8" w:space="4" w:color="A07820"/>
        </w:pBdr>
      </w:pPr>
      <w:r>
        <w:t>Tiani l'avait annoncé</w:t>
      </w:r>
    </w:p>
    <w:p>
      <w:r>
        <w:t>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l'autorité d'un émir». L'allégation repose sur une source unique — Tiani lui-même — et doit être maniée comme telle. Mais le calendrier lui a donné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r>
        <w:t>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pour nous faire avaler la pilule», résume-t-il, avant de citer les précédents: Afghanistan, Irak, Syrie, et la Libye « à notre frontière». Or c'est très exactement la doctrine qu'un responsable français allait formuler cinq mois plus tard — sans savoir, ou sans se soucier, qu'il confirmait la prophétie nigérienne.</w:t>
      </w:r>
    </w:p>
    <w:p>
      <w:pPr>
        <w:pStyle w:val="Heading2"/>
        <w:pBdr>
          <w:bottom w:val="single" w:sz="8" w:space="4" w:color="A07820"/>
        </w:pBdr>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21 — L'ENVIRONNEMENT RÉGIONAL</w:t>
      </w:r>
    </w:p>
    <w:p>
      <w:pPr>
        <w:spacing w:before="40" w:after="120"/>
        <w:ind w:left="567"/>
        <w:pBdr>
          <w:left w:val="single" w:sz="4" w:space="8" w:color="A07820"/>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Bdr>
          <w:bottom w:val="single" w:sz="8" w:space="4" w:color="A07820"/>
        </w:pBdr>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Bdr>
          <w:bottom w:val="single" w:sz="8" w:space="4" w:color="A07820"/>
        </w:pBdr>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Bdr>
          <w:bottom w:val="single" w:sz="8" w:space="4" w:color="A07820"/>
        </w:pBdr>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Bdr>
          <w:bottom w:val="single" w:sz="8" w:space="4" w:color="A07820"/>
        </w:pBdr>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ÉMIRATS EN AFRIQUE — FAITS ÉTABLIS PAR LE RAPPORT SWP (MAI 2026)</w:t>
            </w:r>
          </w:p>
        </w:tc>
      </w:tr>
      <w:tr>
        <w:tc>
          <w:tcPr>
            <w:tcW w:type="dxa" w:w="6624"/>
            <w:shd w:val="clear" w:fill="F4EFE4"/>
          </w:tcPr>
          <w:p>
            <w:r>
              <w:rPr>
                <w:rFonts w:ascii="FreeSerif" w:hAnsi="FreeSerif" w:cs="FreeSerif"/>
                <w:color w:val="2E2E2E"/>
                <w:sz w:val="19"/>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4EFE4"/>
          </w:tcPr>
          <w:p>
            <w:r>
              <w:rPr>
                <w:rFonts w:ascii="FreeSerif" w:hAnsi="FreeSerif" w:cs="FreeSerif"/>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4EFE4"/>
          </w:tcPr>
          <w:p>
            <w:r>
              <w:rPr>
                <w:rFonts w:ascii="FreeSerif" w:hAnsi="FreeSerif" w:cs="FreeSerif"/>
                <w:color w:val="2E2E2E"/>
                <w:sz w:val="19"/>
              </w:rPr>
              <w:t>458 vols de transport lourd depuis des aéroports militaires émiratis vers la Libye orientale entre octobre 2024 et fin 2025, dont 239 vers le seul hub de Kufra — en violation d'embargos de l'ONU</w:t>
            </w:r>
          </w:p>
        </w:tc>
      </w:tr>
      <w:tr>
        <w:tc>
          <w:tcPr>
            <w:tcW w:type="dxa" w:w="6624"/>
            <w:shd w:val="clear" w:fill="F4EFE4"/>
          </w:tcPr>
          <w:p>
            <w:r>
              <w:rPr>
                <w:rFonts w:ascii="FreeSerif" w:hAnsi="FreeSerif" w:cs="FreeSerif"/>
                <w:color w:val="2E2E2E"/>
                <w:sz w:val="19"/>
              </w:rPr>
              <w:t>Libye: armement du maréchal Haftar depuis 2014; coopération documentée avec Wagner</w:t>
            </w:r>
          </w:p>
        </w:tc>
      </w:tr>
      <w:tr>
        <w:tc>
          <w:tcPr>
            <w:tcW w:type="dxa" w:w="6624"/>
            <w:shd w:val="clear" w:fill="F4EFE4"/>
          </w:tcPr>
          <w:p>
            <w:r>
              <w:rPr>
                <w:rFonts w:ascii="FreeSerif" w:hAnsi="FreeSerif" w:cs="FreeSerif"/>
                <w:color w:val="2E2E2E"/>
                <w:sz w:val="19"/>
              </w:rPr>
              <w:t>Prêt de 1,5 milliard de dollars au Tchad (juin 2023) pour contrôler le corridor logistique</w:t>
            </w:r>
          </w:p>
        </w:tc>
      </w:tr>
      <w:tr>
        <w:tc>
          <w:tcPr>
            <w:tcW w:type="dxa" w:w="6624"/>
            <w:shd w:val="clear" w:fill="F4EFE4"/>
          </w:tcPr>
          <w:p>
            <w:r>
              <w:rPr>
                <w:rFonts w:ascii="FreeSerif" w:hAnsi="FreeSerif" w:cs="FreeSerif"/>
                <w:color w:val="2E2E2E"/>
                <w:sz w:val="19"/>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Bdr>
          <w:bottom w:val="single" w:sz="8" w:space="4" w:color="A07820"/>
        </w:pBdr>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Bdr>
          <w:bottom w:val="single" w:sz="8" w:space="4" w:color="A07820"/>
        </w:pBdr>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A07820"/>
          <w:sz w:val="22"/>
          <w:rFonts w:ascii="FreeSerif" w:hAnsi="FreeSerif" w:cs="FreeSerif"/>
        </w:rPr>
        <w:t>★★★</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V — LE RÉVEIL PANAFRICAIN</w:t>
      </w:r>
    </w:p>
    <w:p>
      <w:pPr>
        <w:pBdr>
          <w:top w:val="single" w:sz="24" w:space="4" w:color="A07820"/>
        </w:pBdr>
      </w:pPr>
    </w:p>
    <w:p>
      <w:pPr>
        <w:spacing w:before="160" w:after="160"/>
        <w:jc w:val="center"/>
      </w:pPr>
      <w:r>
        <w:rPr>
          <w:b w:val="0"/>
          <w:i w:val="0"/>
          <w:color w:val="A07820"/>
          <w:sz w:val="22"/>
          <w:rFonts w:ascii="FreeSerif" w:hAnsi="FreeSerif" w:cs="FreeSerif"/>
        </w:rPr>
        <w:t>★★★</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Bdr>
          <w:bottom w:val="single" w:sz="8" w:space="4" w:color="A07820"/>
        </w:pBdr>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Bdr>
          <w:bottom w:val="single" w:sz="8" w:space="4" w:color="A07820"/>
        </w:pBdr>
      </w:pPr>
      <w:r>
        <w:t>Boganda: le nom comme programme fédéral</w:t>
      </w:r>
    </w:p>
    <w:p>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r>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pPr>
        <w:pStyle w:val="Heading2"/>
        <w:pBdr>
          <w:bottom w:val="single" w:sz="8" w:space="4" w:color="A07820"/>
        </w:pBdr>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Bdr>
          <w:bottom w:val="single" w:sz="8" w:space="4" w:color="A07820"/>
        </w:pBdr>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LA PREMIÈRE VAGUE — CHRONOLOGIE D'UNE ÉLIMINATION</w:t>
            </w:r>
          </w:p>
        </w:tc>
      </w:tr>
      <w:tr>
        <w:tc>
          <w:tcPr>
            <w:tcW w:type="dxa" w:w="6624"/>
            <w:shd w:val="clear" w:fill="F4EFE4"/>
          </w:tcPr>
          <w:p>
            <w:r>
              <w:rPr>
                <w:rFonts w:ascii="FreeSerif" w:hAnsi="FreeSerif" w:cs="FreeSerif"/>
                <w:color w:val="2E2E2E"/>
                <w:sz w:val="19"/>
              </w:rPr>
              <w:t>6 mars 1957: indépendance du Ghana, Nkrumah appelle à la libération totale du continent</w:t>
            </w:r>
          </w:p>
        </w:tc>
      </w:tr>
      <w:tr>
        <w:tc>
          <w:tcPr>
            <w:tcW w:type="dxa" w:w="6624"/>
            <w:shd w:val="clear" w:fill="F4EFE4"/>
          </w:tcPr>
          <w:p>
            <w:r>
              <w:rPr>
                <w:rFonts w:ascii="FreeSerif" w:hAnsi="FreeSerif" w:cs="FreeSerif"/>
                <w:color w:val="2E2E2E"/>
                <w:sz w:val="19"/>
              </w:rPr>
              <w:t>Novembre 1958: Union Ghana-Guinée, élargie au Mali en 1961</w:t>
            </w:r>
          </w:p>
        </w:tc>
      </w:tr>
      <w:tr>
        <w:tc>
          <w:tcPr>
            <w:tcW w:type="dxa" w:w="6624"/>
            <w:shd w:val="clear" w:fill="F4EFE4"/>
          </w:tcPr>
          <w:p>
            <w:r>
              <w:rPr>
                <w:rFonts w:ascii="FreeSerif" w:hAnsi="FreeSerif" w:cs="FreeSerif"/>
                <w:color w:val="2E2E2E"/>
                <w:sz w:val="19"/>
              </w:rPr>
              <w:t>30 juin 1960: indépendance du Congo, discours de Lumumba devant Baudouin</w:t>
            </w:r>
          </w:p>
        </w:tc>
      </w:tr>
      <w:tr>
        <w:tc>
          <w:tcPr>
            <w:tcW w:type="dxa" w:w="6624"/>
            <w:shd w:val="clear" w:fill="F4EFE4"/>
          </w:tcPr>
          <w:p>
            <w:r>
              <w:rPr>
                <w:rFonts w:ascii="FreeSerif" w:hAnsi="FreeSerif" w:cs="FreeSerif"/>
                <w:color w:val="2E2E2E"/>
                <w:sz w:val="19"/>
              </w:rPr>
              <w:t>17 janvier 1961: Lumumba assassiné au Katanga, à 35 ans</w:t>
            </w:r>
          </w:p>
        </w:tc>
      </w:tr>
      <w:tr>
        <w:tc>
          <w:tcPr>
            <w:tcW w:type="dxa" w:w="6624"/>
            <w:shd w:val="clear" w:fill="F4EFE4"/>
          </w:tcPr>
          <w:p>
            <w:r>
              <w:rPr>
                <w:rFonts w:ascii="FreeSerif" w:hAnsi="FreeSerif" w:cs="FreeSerif"/>
                <w:color w:val="2E2E2E"/>
                <w:sz w:val="19"/>
              </w:rPr>
              <w:t>1er juillet 1962: Modibo Keïta crée le franc malien et sort de la zone franc</w:t>
            </w:r>
          </w:p>
        </w:tc>
      </w:tr>
      <w:tr>
        <w:tc>
          <w:tcPr>
            <w:tcW w:type="dxa" w:w="6624"/>
            <w:shd w:val="clear" w:fill="F4EFE4"/>
          </w:tcPr>
          <w:p>
            <w:r>
              <w:rPr>
                <w:rFonts w:ascii="FreeSerif" w:hAnsi="FreeSerif" w:cs="FreeSerif"/>
                <w:color w:val="2E2E2E"/>
                <w:sz w:val="19"/>
              </w:rPr>
              <w:t>13 janvier 1963: Sylvanus Olympio, créateur du franc togolais, assassiné à Lomé</w:t>
            </w:r>
          </w:p>
        </w:tc>
      </w:tr>
      <w:tr>
        <w:tc>
          <w:tcPr>
            <w:tcW w:type="dxa" w:w="6624"/>
            <w:shd w:val="clear" w:fill="F4EFE4"/>
          </w:tcPr>
          <w:p>
            <w:r>
              <w:rPr>
                <w:rFonts w:ascii="FreeSerif" w:hAnsi="FreeSerif" w:cs="FreeSerif"/>
                <w:color w:val="2E2E2E"/>
                <w:sz w:val="19"/>
              </w:rPr>
              <w:t>Mai 1963: à Addis-Abeba, le plan continental de Nkrumah est rejeté</w:t>
            </w:r>
          </w:p>
        </w:tc>
      </w:tr>
      <w:tr>
        <w:tc>
          <w:tcPr>
            <w:tcW w:type="dxa" w:w="6624"/>
            <w:shd w:val="clear" w:fill="F4EFE4"/>
          </w:tcPr>
          <w:p>
            <w:r>
              <w:rPr>
                <w:rFonts w:ascii="FreeSerif" w:hAnsi="FreeSerif" w:cs="FreeSerif"/>
                <w:color w:val="2E2E2E"/>
                <w:sz w:val="19"/>
              </w:rPr>
              <w:t>24 février 1966: Nkrumah renversé pendant un voyage à l'étranger</w:t>
            </w:r>
          </w:p>
        </w:tc>
      </w:tr>
      <w:tr>
        <w:tc>
          <w:tcPr>
            <w:tcW w:type="dxa" w:w="6624"/>
            <w:shd w:val="clear" w:fill="F4EFE4"/>
          </w:tcPr>
          <w:p>
            <w:r>
              <w:rPr>
                <w:rFonts w:ascii="FreeSerif" w:hAnsi="FreeSerif" w:cs="FreeSerif"/>
                <w:color w:val="2E2E2E"/>
                <w:sz w:val="19"/>
              </w:rPr>
              <w:t>19 novembre 1968: Modibo Keïta renversé; il mourra en détention en 1977</w:t>
            </w:r>
          </w:p>
        </w:tc>
      </w:tr>
    </w:tbl>
    <w:p/>
    <w:p>
      <w:pPr>
        <w:pStyle w:val="Heading2"/>
        <w:pBdr>
          <w:bottom w:val="single" w:sz="8" w:space="4" w:color="A07820"/>
        </w:pBdr>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23 — SANKARA AVAIT RAISON</w:t>
      </w:r>
    </w:p>
    <w:p>
      <w:pPr>
        <w:spacing w:before="40" w:after="120"/>
        <w:ind w:left="567"/>
        <w:pBdr>
          <w:left w:val="single" w:sz="4" w:space="8" w:color="A07820"/>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Bdr>
          <w:bottom w:val="single" w:sz="8" w:space="4" w:color="A07820"/>
        </w:pBdr>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BILAN DES QUATRE ANS (1983-1987)</w:t>
            </w:r>
          </w:p>
        </w:tc>
      </w:tr>
      <w:tr>
        <w:tc>
          <w:tcPr>
            <w:tcW w:type="dxa" w:w="6624"/>
            <w:shd w:val="clear" w:fill="F4EFE4"/>
          </w:tcPr>
          <w:p>
            <w:r>
              <w:rPr>
                <w:rFonts w:ascii="FreeSerif" w:hAnsi="FreeSerif" w:cs="FreeSerif"/>
                <w:color w:val="2E2E2E"/>
                <w:sz w:val="19"/>
              </w:rPr>
              <w:t>2,5 millions d'enfants vaccinés contre la rougeole, la méningite et la fièvre jaune</w:t>
            </w:r>
          </w:p>
        </w:tc>
      </w:tr>
      <w:tr>
        <w:tc>
          <w:tcPr>
            <w:tcW w:type="dxa" w:w="6624"/>
            <w:shd w:val="clear" w:fill="F4EFE4"/>
          </w:tcPr>
          <w:p>
            <w:r>
              <w:rPr>
                <w:rFonts w:ascii="FreeSerif" w:hAnsi="FreeSerif" w:cs="FreeSerif"/>
                <w:color w:val="2E2E2E"/>
                <w:sz w:val="19"/>
              </w:rPr>
              <w:t>10 millions d'arbres plantés contre l'avancée du désert</w:t>
            </w:r>
          </w:p>
        </w:tc>
      </w:tr>
      <w:tr>
        <w:tc>
          <w:tcPr>
            <w:tcW w:type="dxa" w:w="6624"/>
            <w:shd w:val="clear" w:fill="F4EFE4"/>
          </w:tcPr>
          <w:p>
            <w:r>
              <w:rPr>
                <w:rFonts w:ascii="FreeSerif" w:hAnsi="FreeSerif" w:cs="FreeSerif"/>
                <w:color w:val="2E2E2E"/>
                <w:sz w:val="19"/>
              </w:rPr>
              <w:t>Routes et chemin de fer construits sans aide extérieure</w:t>
            </w:r>
          </w:p>
        </w:tc>
      </w:tr>
      <w:tr>
        <w:tc>
          <w:tcPr>
            <w:tcW w:type="dxa" w:w="6624"/>
            <w:shd w:val="clear" w:fill="F4EFE4"/>
          </w:tcPr>
          <w:p>
            <w:r>
              <w:rPr>
                <w:rFonts w:ascii="FreeSerif" w:hAnsi="FreeSerif" w:cs="FreeSerif"/>
                <w:color w:val="2E2E2E"/>
                <w:sz w:val="19"/>
              </w:rPr>
              <w:t>Budget de l'État équilibré, salaire du président réduit, train de vie des ministres rogné</w:t>
            </w:r>
          </w:p>
        </w:tc>
      </w:tr>
      <w:tr>
        <w:tc>
          <w:tcPr>
            <w:tcW w:type="dxa" w:w="6624"/>
            <w:shd w:val="clear" w:fill="F4EFE4"/>
          </w:tcPr>
          <w:p>
            <w:r>
              <w:rPr>
                <w:rFonts w:ascii="FreeSerif" w:hAnsi="FreeSerif" w:cs="FreeSerif"/>
                <w:color w:val="2E2E2E"/>
                <w:sz w:val="19"/>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Bdr>
          <w:bottom w:val="single" w:sz="8" w:space="4" w:color="A07820"/>
        </w:pBdr>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Bdr>
          <w:bottom w:val="single" w:sz="8" w:space="4" w:color="A07820"/>
        </w:pBdr>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Bdr>
          <w:bottom w:val="single" w:sz="8" w:space="4" w:color="A07820"/>
        </w:pBdr>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Bdr>
          <w:bottom w:val="single" w:sz="8" w:space="4" w:color="A07820"/>
        </w:pBdr>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JEUNESSE ET DIASPORA EN CHIFFRES</w:t>
            </w:r>
          </w:p>
        </w:tc>
      </w:tr>
      <w:tr>
        <w:tc>
          <w:tcPr>
            <w:tcW w:type="dxa" w:w="6624"/>
            <w:shd w:val="clear" w:fill="F4EFE4"/>
          </w:tcPr>
          <w:p>
            <w:r>
              <w:rPr>
                <w:rFonts w:ascii="FreeSerif" w:hAnsi="FreeSerif" w:cs="FreeSerif"/>
                <w:color w:val="2E2E2E"/>
                <w:sz w:val="19"/>
              </w:rPr>
              <w:t>Médiane d'âge au Sahel: moins de 18 ans (données ONU)</w:t>
            </w:r>
          </w:p>
        </w:tc>
      </w:tr>
      <w:tr>
        <w:tc>
          <w:tcPr>
            <w:tcW w:type="dxa" w:w="6624"/>
            <w:shd w:val="clear" w:fill="F4EFE4"/>
          </w:tcPr>
          <w:p>
            <w:r>
              <w:rPr>
                <w:rFonts w:ascii="FreeSerif" w:hAnsi="FreeSerif" w:cs="FreeSerif"/>
                <w:color w:val="2E2E2E"/>
                <w:sz w:val="19"/>
              </w:rPr>
              <w:t>Plus de 60 % des Africains ont moins de 25 ans</w:t>
            </w:r>
          </w:p>
        </w:tc>
      </w:tr>
      <w:tr>
        <w:tc>
          <w:tcPr>
            <w:tcW w:type="dxa" w:w="6624"/>
            <w:shd w:val="clear" w:fill="F4EFE4"/>
          </w:tcPr>
          <w:p>
            <w:r>
              <w:rPr>
                <w:rFonts w:ascii="FreeSerif" w:hAnsi="FreeSerif" w:cs="FreeSerif"/>
                <w:color w:val="2E2E2E"/>
                <w:sz w:val="19"/>
              </w:rPr>
              <w:t>Transferts de la diaspora vers l'Afrique subsaharienne: environ 40 milliards de dollars par an — très au-dessus de l'aide publique au développement (Banque mondiale)</w:t>
            </w:r>
          </w:p>
        </w:tc>
      </w:tr>
    </w:tbl>
    <w:p/>
    <w:p>
      <w:pPr>
        <w:pStyle w:val="Heading2"/>
        <w:pBdr>
          <w:bottom w:val="single" w:sz="8" w:space="4" w:color="A07820"/>
        </w:pBdr>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25 — L'AES, LABORATOIRE PANAFRICAIN</w:t>
      </w:r>
    </w:p>
    <w:p>
      <w:pPr>
        <w:spacing w:before="40" w:after="120"/>
        <w:ind w:left="567"/>
        <w:pBdr>
          <w:left w:val="single" w:sz="4" w:space="8" w:color="A07820"/>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Bdr>
          <w:bottom w:val="single" w:sz="8" w:space="4" w:color="A07820"/>
        </w:pBdr>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4" w:space="8" w:color="A07820"/>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Bdr>
          <w:bottom w:val="single" w:sz="8" w:space="4" w:color="A07820"/>
        </w:pBdr>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Bdr>
          <w:bottom w:val="single" w:sz="8" w:space="4" w:color="A07820"/>
        </w:pBdr>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LES CINQ AVEUX INVOLONTAIRES DE BAZOUM (INTERVIEW RFI/FRANCE 24)</w:t>
            </w:r>
          </w:p>
        </w:tc>
      </w:tr>
      <w:tr>
        <w:tc>
          <w:tcPr>
            <w:tcW w:type="dxa" w:w="6624"/>
            <w:shd w:val="clear" w:fill="F4EFE4"/>
          </w:tcPr>
          <w:p>
            <w:r>
              <w:rPr>
                <w:rFonts w:ascii="FreeSerif" w:hAnsi="FreeSerif" w:cs="FreeSerif"/>
                <w:color w:val="2E2E2E"/>
                <w:sz w:val="19"/>
              </w:rPr>
              <w:t>*Le jihadisme n'est pas religieux*: le jeune recru « n'a rien à voir avec la religion», il cherche une arme, une moto, une fierté — la rhétorique religieuse est réservée aux chefs.</w:t>
            </w:r>
          </w:p>
        </w:tc>
      </w:tr>
      <w:tr>
        <w:tc>
          <w:tcPr>
            <w:tcW w:type="dxa" w:w="6624"/>
            <w:shd w:val="clear" w:fill="F4EFE4"/>
          </w:tcPr>
          <w:p>
            <w:r>
              <w:rPr>
                <w:rFonts w:ascii="FreeSerif" w:hAnsi="FreeSerif" w:cs="FreeSerif"/>
                <w:color w:val="2E2E2E"/>
                <w:sz w:val="19"/>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4EFE4"/>
          </w:tcPr>
          <w:p>
            <w:r>
              <w:rPr>
                <w:rFonts w:ascii="FreeSerif" w:hAnsi="FreeSerif" w:cs="FreeSerif"/>
                <w:color w:val="2E2E2E"/>
                <w:sz w:val="19"/>
              </w:rPr>
              <w:t>*La pauvreté et la démographie sont la racine du recrutement* — l'analyse et ses chiffres sont détaillés au chapitre 27.</w:t>
            </w:r>
          </w:p>
        </w:tc>
      </w:tr>
      <w:tr>
        <w:tc>
          <w:tcPr>
            <w:tcW w:type="dxa" w:w="6624"/>
            <w:shd w:val="clear" w:fill="F4EFE4"/>
          </w:tcPr>
          <w:p>
            <w:r>
              <w:rPr>
                <w:rFonts w:ascii="FreeSerif" w:hAnsi="FreeSerif" w:cs="FreeSerif"/>
                <w:color w:val="2E2E2E"/>
                <w:sz w:val="19"/>
              </w:rPr>
              <w:t>*Les ruptures seraient survenues de toute façon*: corruption systémique, échec sécuritaire malgré les alliés français et américains, voisinage entièrement passé sous direction militaire.</w:t>
            </w:r>
          </w:p>
        </w:tc>
      </w:tr>
      <w:tr>
        <w:tc>
          <w:tcPr>
            <w:tcW w:type="dxa" w:w="6624"/>
            <w:shd w:val="clear" w:fill="F4EFE4"/>
          </w:tcPr>
          <w:p>
            <w:r>
              <w:rPr>
                <w:rFonts w:ascii="FreeSerif" w:hAnsi="FreeSerif" w:cs="FreeSerif"/>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Bdr>
          <w:bottom w:val="single" w:sz="8" w:space="4" w:color="A07820"/>
        </w:pBdr>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CRITÈRE DES TROIS QUESTIONS</w:t>
            </w:r>
          </w:p>
        </w:tc>
      </w:tr>
      <w:tr>
        <w:tc>
          <w:tcPr>
            <w:tcW w:type="dxa" w:w="6624"/>
            <w:shd w:val="clear" w:fill="F4EFE4"/>
          </w:tcPr>
          <w:p>
            <w:r>
              <w:rPr>
                <w:rFonts w:ascii="FreeSerif" w:hAnsi="FreeSerif" w:cs="FreeSerif"/>
                <w:color w:val="2E2E2E"/>
                <w:sz w:val="19"/>
              </w:rPr>
              <w:t>Les transitions produisent-elles des institutions, ou des règnes personnels?</w:t>
            </w:r>
          </w:p>
        </w:tc>
      </w:tr>
      <w:tr>
        <w:tc>
          <w:tcPr>
            <w:tcW w:type="dxa" w:w="6624"/>
            <w:shd w:val="clear" w:fill="F4EFE4"/>
          </w:tcPr>
          <w:p>
            <w:r>
              <w:rPr>
                <w:rFonts w:ascii="FreeSerif" w:hAnsi="FreeSerif" w:cs="FreeSerif"/>
                <w:color w:val="2E2E2E"/>
                <w:sz w:val="19"/>
              </w:rPr>
              <w:t>Les droits fondamentaux sont-ils respectés en dehors des discours?</w:t>
            </w:r>
          </w:p>
        </w:tc>
      </w:tr>
      <w:tr>
        <w:tc>
          <w:tcPr>
            <w:tcW w:type="dxa" w:w="6624"/>
            <w:shd w:val="clear" w:fill="F4EFE4"/>
          </w:tcPr>
          <w:p>
            <w:r>
              <w:rPr>
                <w:rFonts w:ascii="FreeSerif" w:hAnsi="FreeSerif" w:cs="FreeSerif"/>
                <w:color w:val="2E2E2E"/>
                <w:sz w:val="19"/>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A07820"/>
          <w:sz w:val="22"/>
          <w:rFonts w:ascii="FreeSerif" w:hAnsi="FreeSerif" w:cs="FreeSerif"/>
        </w:rPr>
        <w:t>★★★</w:t>
      </w:r>
    </w:p>
    <w:p>
      <w:r>
        <w:br w:type="page"/>
      </w:r>
    </w:p>
    <w:p/>
    <w:p/>
    <w:p/>
    <w:p/>
    <w:p/>
    <w:p>
      <w:pPr>
        <w:pBdr>
          <w:bottom w:val="single" w:sz="24" w:space="4" w:color="A07820"/>
        </w:pBdr>
      </w:pPr>
    </w:p>
    <w:p>
      <w:pPr>
        <w:spacing w:before="320" w:after="320"/>
        <w:jc w:val="center"/>
      </w:pPr>
      <w:r>
        <w:rPr>
          <w:b/>
          <w:i w:val="0"/>
          <w:color w:val="2C3A4A"/>
          <w:sz w:val="36"/>
          <w:rFonts w:ascii="FreeSerif" w:hAnsi="FreeSerif" w:cs="FreeSerif"/>
        </w:rPr>
        <w:t>PARTIE VI — LES DÉFIS DE DEMAIN</w:t>
      </w:r>
    </w:p>
    <w:p>
      <w:pPr>
        <w:pBdr>
          <w:top w:val="single" w:sz="24" w:space="4" w:color="A07820"/>
        </w:pBdr>
      </w:pPr>
    </w:p>
    <w:p>
      <w:pPr>
        <w:spacing w:before="160" w:after="160"/>
        <w:jc w:val="center"/>
      </w:pPr>
      <w:r>
        <w:rPr>
          <w:b w:val="0"/>
          <w:i w:val="0"/>
          <w:color w:val="A07820"/>
          <w:sz w:val="22"/>
          <w:rFonts w:ascii="FreeSerif" w:hAnsi="FreeSerif" w:cs="FreeSerif"/>
        </w:rPr>
        <w:t>★★★</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26 — SÉCURITÉ : VAINCRE SANS TRAHIR</w:t>
      </w:r>
    </w:p>
    <w:p>
      <w:pPr>
        <w:spacing w:before="40" w:after="120"/>
        <w:ind w:left="567"/>
        <w:pBdr>
          <w:left w:val="single" w:sz="4" w:space="8" w:color="A07820"/>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Bdr>
          <w:bottom w:val="single" w:sz="8" w:space="4" w:color="A07820"/>
        </w:pBdr>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BLOCUS JNIM — CHRONOLOGIE</w:t>
            </w:r>
          </w:p>
        </w:tc>
      </w:tr>
      <w:tr>
        <w:tc>
          <w:tcPr>
            <w:tcW w:type="dxa" w:w="6624"/>
            <w:shd w:val="clear" w:fill="F4EFE4"/>
          </w:tcPr>
          <w:p>
            <w:r>
              <w:rPr>
                <w:rFonts w:ascii="FreeSerif" w:hAnsi="FreeSerif" w:cs="FreeSerif"/>
                <w:color w:val="2E2E2E"/>
                <w:sz w:val="19"/>
              </w:rPr>
              <w:t>Septembre 2025: début du blocus méthodique des convois de carburant vers le Mali</w:t>
            </w:r>
          </w:p>
        </w:tc>
      </w:tr>
      <w:tr>
        <w:tc>
          <w:tcPr>
            <w:tcW w:type="dxa" w:w="6624"/>
            <w:shd w:val="clear" w:fill="F4EFE4"/>
          </w:tcPr>
          <w:p>
            <w:r>
              <w:rPr>
                <w:rFonts w:ascii="FreeSerif" w:hAnsi="FreeSerif" w:cs="FreeSerif"/>
                <w:color w:val="2E2E2E"/>
                <w:sz w:val="19"/>
              </w:rPr>
              <w:t>29-30 octobre 2025: un convoi des FAMa brise le blocus — effet dissuasif immédiat sur le terrain</w:t>
            </w:r>
          </w:p>
        </w:tc>
      </w:tr>
      <w:tr>
        <w:tc>
          <w:tcPr>
            <w:tcW w:type="dxa" w:w="6624"/>
            <w:shd w:val="clear" w:fill="F4EFE4"/>
          </w:tcPr>
          <w:p>
            <w:r>
              <w:rPr>
                <w:rFonts w:ascii="FreeSerif" w:hAnsi="FreeSerif" w:cs="FreeSerif"/>
                <w:color w:val="2E2E2E"/>
                <w:sz w:val="19"/>
              </w:rPr>
              <w:t>9-12 novembre 2025: pic de la crise sécuritaire et énergétique</w:t>
            </w:r>
          </w:p>
        </w:tc>
      </w:tr>
      <w:tr>
        <w:tc>
          <w:tcPr>
            <w:tcW w:type="dxa" w:w="6624"/>
            <w:shd w:val="clear" w:fill="F4EFE4"/>
          </w:tcPr>
          <w:p>
            <w:r>
              <w:rPr>
                <w:rFonts w:ascii="FreeSerif" w:hAnsi="FreeSerif" w:cs="FreeSerif"/>
                <w:color w:val="2E2E2E"/>
                <w:sz w:val="19"/>
              </w:rPr>
              <w:t>11 novembre 2025: réouverture des écoles maliennes</w:t>
            </w:r>
          </w:p>
        </w:tc>
      </w:tr>
      <w:tr>
        <w:tc>
          <w:tcPr>
            <w:tcW w:type="dxa" w:w="6624"/>
            <w:shd w:val="clear" w:fill="F4EFE4"/>
          </w:tcPr>
          <w:p>
            <w:r>
              <w:rPr>
                <w:rFonts w:ascii="FreeSerif" w:hAnsi="FreeSerif" w:cs="FreeSerif"/>
                <w:color w:val="2E2E2E"/>
                <w:sz w:val="19"/>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Bdr>
          <w:bottom w:val="single" w:sz="8" w:space="4" w:color="A07820"/>
        </w:pBdr>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Bdr>
          <w:bottom w:val="single" w:sz="8" w:space="4" w:color="A07820"/>
        </w:pBdr>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Bdr>
          <w:bottom w:val="single" w:sz="8" w:space="4" w:color="A07820"/>
        </w:pBdr>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Bdr>
          <w:bottom w:val="single" w:sz="8" w:space="4" w:color="A07820"/>
        </w:pBdr>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27 — INDUSTRIALISATION ET ÉDUCATION: L'ÉCONOMIE DE GUERRE ET L'ARME DES CERVEAUX</w:t>
      </w:r>
    </w:p>
    <w:p>
      <w:pPr>
        <w:spacing w:before="40" w:after="120"/>
        <w:ind w:left="567"/>
        <w:pBdr>
          <w:left w:val="single" w:sz="4" w:space="8" w:color="A07820"/>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Bdr>
          <w:bottom w:val="single" w:sz="8" w:space="4" w:color="A07820"/>
        </w:pBdr>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DÉNONCIATION DES CONVENTIONS FISCALES AVEC LA FRANCE — SÉQUENCE AES</w:t>
            </w:r>
          </w:p>
        </w:tc>
      </w:tr>
      <w:tr>
        <w:tc>
          <w:tcPr>
            <w:tcW w:type="dxa" w:w="6624"/>
            <w:shd w:val="clear" w:fill="F4EFE4"/>
          </w:tcPr>
          <w:p>
            <w:r>
              <w:rPr>
                <w:rFonts w:ascii="FreeSerif" w:hAnsi="FreeSerif" w:cs="FreeSerif"/>
                <w:color w:val="2E2E2E"/>
                <w:sz w:val="19"/>
              </w:rPr>
              <w:t>7 août 2023: le Burkina Faso dénonce la convention fiscale franco-burkinabè</w:t>
            </w:r>
          </w:p>
        </w:tc>
      </w:tr>
      <w:tr>
        <w:tc>
          <w:tcPr>
            <w:tcW w:type="dxa" w:w="6624"/>
            <w:shd w:val="clear" w:fill="F4EFE4"/>
          </w:tcPr>
          <w:p>
            <w:r>
              <w:rPr>
                <w:rFonts w:ascii="FreeSerif" w:hAnsi="FreeSerif" w:cs="FreeSerif"/>
                <w:color w:val="2E2E2E"/>
                <w:sz w:val="19"/>
              </w:rPr>
              <w:t>8 novembre 2023: prise d'effet côté burkinabè et français</w:t>
            </w:r>
          </w:p>
        </w:tc>
      </w:tr>
      <w:tr>
        <w:tc>
          <w:tcPr>
            <w:tcW w:type="dxa" w:w="6624"/>
            <w:shd w:val="clear" w:fill="F4EFE4"/>
          </w:tcPr>
          <w:p>
            <w:r>
              <w:rPr>
                <w:rFonts w:ascii="FreeSerif" w:hAnsi="FreeSerif" w:cs="FreeSerif"/>
                <w:color w:val="2E2E2E"/>
                <w:sz w:val="19"/>
              </w:rPr>
              <w:t>5 décembre 2023: le Mali et le Niger dénoncent leurs conventions</w:t>
            </w:r>
          </w:p>
        </w:tc>
      </w:tr>
      <w:tr>
        <w:tc>
          <w:tcPr>
            <w:tcW w:type="dxa" w:w="6624"/>
            <w:shd w:val="clear" w:fill="F4EFE4"/>
          </w:tcPr>
          <w:p>
            <w:r>
              <w:rPr>
                <w:rFonts w:ascii="FreeSerif" w:hAnsi="FreeSerif" w:cs="FreeSerif"/>
                <w:color w:val="2E2E2E"/>
                <w:sz w:val="19"/>
              </w:rPr>
              <w:t>Conséquence: fin des exonérations sur dividendes, intérêts et redevances — retour au droit commun</w:t>
            </w:r>
          </w:p>
        </w:tc>
      </w:tr>
      <w:tr>
        <w:tc>
          <w:tcPr>
            <w:tcW w:type="dxa" w:w="6624"/>
            <w:shd w:val="clear" w:fill="F4EFE4"/>
          </w:tcPr>
          <w:p>
            <w:r>
              <w:rPr>
                <w:rFonts w:ascii="FreeSerif" w:hAnsi="FreeSerif" w:cs="FreeSerif"/>
                <w:color w:val="2E2E2E"/>
                <w:sz w:val="19"/>
              </w:rPr>
              <w:t>(Source: BOFiP, administration fiscale française, 17 juillet 2024)</w:t>
            </w:r>
          </w:p>
        </w:tc>
      </w:tr>
    </w:tbl>
    <w:p/>
    <w:p>
      <w:pPr>
        <w:pStyle w:val="Heading2"/>
        <w:pBdr>
          <w:bottom w:val="single" w:sz="8" w:space="4" w:color="A07820"/>
        </w:pBdr>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Bdr>
          <w:bottom w:val="single" w:sz="8" w:space="4" w:color="A07820"/>
        </w:pBdr>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28 — LA MONNAIE: BRISER LA CHAÎNE DU CFA</w:t>
      </w:r>
    </w:p>
    <w:p>
      <w:pPr>
        <w:spacing w:before="40" w:after="120"/>
        <w:ind w:left="567"/>
        <w:pBdr>
          <w:left w:val="single" w:sz="4" w:space="8" w:color="A07820"/>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Bdr>
          <w:bottom w:val="single" w:sz="8" w:space="4" w:color="A07820"/>
        </w:pBdr>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Bdr>
          <w:bottom w:val="single" w:sz="8" w:space="4" w:color="A07820"/>
        </w:pBdr>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Bdr>
          <w:bottom w:val="single" w:sz="8" w:space="4" w:color="A07820"/>
        </w:pBdr>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Bdr>
          <w:bottom w:val="single" w:sz="8" w:space="4" w:color="A07820"/>
        </w:pBdr>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Bdr>
          <w:bottom w:val="single" w:sz="8" w:space="4" w:color="A07820"/>
        </w:pBdr>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ENJEUX D'UNE MONNAIE SOUVERAINE AES</w:t>
            </w:r>
          </w:p>
        </w:tc>
      </w:tr>
      <w:tr>
        <w:tc>
          <w:tcPr>
            <w:tcW w:type="dxa" w:w="6624"/>
            <w:shd w:val="clear" w:fill="F4EFE4"/>
          </w:tcPr>
          <w:p>
            <w:r>
              <w:rPr>
                <w:rFonts w:ascii="FreeSerif" w:hAnsi="FreeSerif" w:cs="FreeSerif"/>
                <w:color w:val="2E2E2E"/>
                <w:sz w:val="19"/>
              </w:rPr>
              <w:t>Atouts: uranium (Niger), or (Mali), coton, pétrole (Niger) pour adosser la monnaie à des ressources réelles</w:t>
            </w:r>
          </w:p>
        </w:tc>
      </w:tr>
      <w:tr>
        <w:tc>
          <w:tcPr>
            <w:tcW w:type="dxa" w:w="6624"/>
            <w:shd w:val="clear" w:fill="F4EFE4"/>
          </w:tcPr>
          <w:p>
            <w:r>
              <w:rPr>
                <w:rFonts w:ascii="FreeSerif" w:hAnsi="FreeSerif" w:cs="FreeSerif"/>
                <w:color w:val="2E2E2E"/>
                <w:sz w:val="19"/>
              </w:rPr>
              <w:t>Prérequis: banque centrale AES indépendante, système de compensation inter-AES</w:t>
            </w:r>
          </w:p>
        </w:tc>
      </w:tr>
      <w:tr>
        <w:tc>
          <w:tcPr>
            <w:tcW w:type="dxa" w:w="6624"/>
            <w:shd w:val="clear" w:fill="F4EFE4"/>
          </w:tcPr>
          <w:p>
            <w:r>
              <w:rPr>
                <w:rFonts w:ascii="FreeSerif" w:hAnsi="FreeSerif" w:cs="FreeSerif"/>
                <w:color w:val="2E2E2E"/>
                <w:sz w:val="19"/>
              </w:rPr>
              <w:t>Leçons à méditer: Sango Coin (2022, échec technique) et $CAR (2025, −90 % le jour du lancement) — la précipitation tue</w:t>
            </w:r>
          </w:p>
        </w:tc>
      </w:tr>
      <w:tr>
        <w:tc>
          <w:tcPr>
            <w:tcW w:type="dxa" w:w="6624"/>
            <w:shd w:val="clear" w:fill="F4EFE4"/>
          </w:tcPr>
          <w:p>
            <w:r>
              <w:rPr>
                <w:rFonts w:ascii="FreeSerif" w:hAnsi="FreeSerif" w:cs="FreeSerif"/>
                <w:color w:val="2E2E2E"/>
                <w:sz w:val="19"/>
              </w:rPr>
              <w:t>Risques: pression inflationniste de transition, attaques spéculatives contre la nouvelle monnaie</w:t>
            </w:r>
          </w:p>
        </w:tc>
      </w:tr>
      <w:tr>
        <w:tc>
          <w:tcPr>
            <w:tcW w:type="dxa" w:w="6624"/>
            <w:shd w:val="clear" w:fill="F4EFE4"/>
          </w:tcPr>
          <w:p>
            <w:r>
              <w:rPr>
                <w:rFonts w:ascii="FreeSerif" w:hAnsi="FreeSerif" w:cs="FreeSerif"/>
                <w:color w:val="2E2E2E"/>
                <w:sz w:val="19"/>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PARTENARIATS AES — PHASE 2 (2022-2026)</w:t>
            </w:r>
          </w:p>
        </w:tc>
      </w:tr>
      <w:tr>
        <w:tc>
          <w:tcPr>
            <w:tcW w:type="dxa" w:w="6624"/>
            <w:shd w:val="clear" w:fill="F4EFE4"/>
          </w:tcPr>
          <w:p>
            <w:r>
              <w:rPr>
                <w:rFonts w:ascii="FreeSerif" w:hAnsi="FreeSerif" w:cs="FreeSerif"/>
                <w:color w:val="2E2E2E"/>
                <w:sz w:val="19"/>
              </w:rPr>
              <w:t>Russie (Africa Corps, ex-Wagner): instructeurs, hélicoptères Mi-8/Mi-35, présence terrain</w:t>
            </w:r>
          </w:p>
        </w:tc>
      </w:tr>
      <w:tr>
        <w:tc>
          <w:tcPr>
            <w:tcW w:type="dxa" w:w="6624"/>
            <w:shd w:val="clear" w:fill="F4EFE4"/>
          </w:tcPr>
          <w:p>
            <w:r>
              <w:rPr>
                <w:rFonts w:ascii="FreeSerif" w:hAnsi="FreeSerif" w:cs="FreeSerif"/>
                <w:color w:val="2E2E2E"/>
                <w:sz w:val="19"/>
              </w:rPr>
              <w:t>Chine: infrastructures, surveillance numérique, accords commerciaux — présence moins interventionniste</w:t>
            </w:r>
          </w:p>
        </w:tc>
      </w:tr>
      <w:tr>
        <w:tc>
          <w:tcPr>
            <w:tcW w:type="dxa" w:w="6624"/>
            <w:shd w:val="clear" w:fill="F4EFE4"/>
          </w:tcPr>
          <w:p>
            <w:r>
              <w:rPr>
                <w:rFonts w:ascii="FreeSerif" w:hAnsi="FreeSerif" w:cs="FreeSerif"/>
                <w:color w:val="2E2E2E"/>
                <w:sz w:val="19"/>
              </w:rPr>
              <w:t>Turquie: drones Bayraktar TB2, accords avec le Mali et le Niger — position plus discrète</w:t>
            </w:r>
          </w:p>
        </w:tc>
      </w:tr>
      <w:tr>
        <w:tc>
          <w:tcPr>
            <w:tcW w:type="dxa" w:w="6624"/>
            <w:shd w:val="clear" w:fill="F4EFE4"/>
          </w:tcPr>
          <w:p>
            <w:r>
              <w:rPr>
                <w:rFonts w:ascii="FreeSerif" w:hAnsi="FreeSerif" w:cs="FreeSerif"/>
                <w:color w:val="2E2E2E"/>
                <w:sz w:val="19"/>
              </w:rPr>
              <w:t>BRICS: délégation à Ouagadougou (juin 2023), six semaines avant la transition nigérienne</w:t>
            </w:r>
          </w:p>
        </w:tc>
      </w:tr>
    </w:tbl>
    <w:p/>
    <w:p>
      <w:pPr>
        <w:pStyle w:val="Heading2"/>
        <w:pBdr>
          <w:bottom w:val="single" w:sz="8" w:space="4" w:color="A07820"/>
        </w:pBdr>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pStyle w:val="Heading2"/>
        <w:pBdr>
          <w:bottom w:val="single" w:sz="8" w:space="4" w:color="A07820"/>
        </w:pBdr>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Bdr>
          <w:bottom w:val="single" w:sz="8" w:space="4" w:color="A07820"/>
        </w:pBdr>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pStyle w:val="Heading2"/>
        <w:pBdr>
          <w:bottom w:val="single" w:sz="8" w:space="4" w:color="A07820"/>
        </w:pBdr>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Bdr>
          <w:bottom w:val="single" w:sz="8" w:space="4" w:color="A07820"/>
        </w:pBdr>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30 — FRANCE-AFRIQUE 2.0: LA RECOMPOSITION DE LA DOMINATION</w:t>
      </w:r>
    </w:p>
    <w:p>
      <w:pPr>
        <w:spacing w:before="40" w:after="120"/>
        <w:ind w:left="567"/>
        <w:pBdr>
          <w:left w:val="single" w:sz="4" w:space="8" w:color="A07820"/>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Bdr>
          <w:bottom w:val="single" w:sz="8" w:space="4" w:color="A07820"/>
        </w:pBdr>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Bdr>
          <w:bottom w:val="single" w:sz="8" w:space="4" w:color="A07820"/>
        </w:pBdr>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Bdr>
          <w:bottom w:val="single" w:sz="8" w:space="4" w:color="A07820"/>
        </w:pBdr>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Bdr>
          <w:bottom w:val="single" w:sz="8" w:space="4" w:color="A07820"/>
        </w:pBdr>
      </w:pPr>
      <w:r>
        <w:t>Montpellier 2021: la société civile comme instrument</w:t>
      </w:r>
    </w:p>
    <w:p>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pStyle w:val="Heading2"/>
        <w:pBdr>
          <w:bottom w:val="single" w:sz="8" w:space="4" w:color="A07820"/>
        </w:pBdr>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Bdr>
          <w:bottom w:val="single" w:sz="8" w:space="4" w:color="A07820"/>
        </w:pBdr>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pStyle w:val="Heading2"/>
        <w:pBdr>
          <w:bottom w:val="single" w:sz="8" w:space="4" w:color="A07820"/>
        </w:pBdr>
      </w:pPr>
      <w:r>
        <w:t>La séquence de Nairobi, mai 2026, au crible des faits</w:t>
      </w:r>
    </w:p>
    <w:p>
      <w: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L'INTERVIEW DU 12 MAI, AU CRIBLE DES FAITS</w:t>
            </w:r>
          </w:p>
        </w:tc>
      </w:tr>
      <w:tr>
        <w:tc>
          <w:tcPr>
            <w:tcW w:type="dxa" w:w="6624"/>
            <w:shd w:val="clear" w:fill="F4EFE4"/>
          </w:tcPr>
          <w:p>
            <w:r>
              <w:rPr>
                <w:rFonts w:ascii="FreeSerif" w:hAnsi="FreeSerif" w:cs="FreeSerif"/>
                <w:color w:val="2E2E2E"/>
                <w:sz w:val="19"/>
              </w:rPr>
              <w:t>« Venue à la demande de Keïta» en 2013: Serval démarre avant l'élection de Keïta; plan Sahel décidé dès 2008-2009 (ch. 15)</w:t>
            </w:r>
          </w:p>
        </w:tc>
      </w:tr>
      <w:tr>
        <w:tc>
          <w:tcPr>
            <w:tcW w:type="dxa" w:w="6624"/>
            <w:shd w:val="clear" w:fill="F4EFE4"/>
          </w:tcPr>
          <w:p>
            <w:r>
              <w:rPr>
                <w:rFonts w:ascii="FreeSerif" w:hAnsi="FreeSerif" w:cs="FreeSerif"/>
                <w:color w:val="2E2E2E"/>
                <w:sz w:val="19"/>
              </w:rPr>
              <w:t>« Terroristes venus du nord»: armes issues des arsenaux libyens de 2011, ouverts par l'intervention franco-otanienne (ch. 11)</w:t>
            </w:r>
          </w:p>
        </w:tc>
      </w:tr>
      <w:tr>
        <w:tc>
          <w:tcPr>
            <w:tcW w:type="dxa" w:w="6624"/>
            <w:shd w:val="clear" w:fill="F4EFE4"/>
          </w:tcPr>
          <w:p>
            <w:r>
              <w:rPr>
                <w:rFonts w:ascii="FreeSerif" w:hAnsi="FreeSerif" w:cs="FreeSerif"/>
                <w:color w:val="2E2E2E"/>
                <w:sz w:val="19"/>
              </w:rPr>
              <w:t>Kidal reprochée à la transition: interdite aux FAMa par l'armée française en 2013, reprise par les FAMa en 2023 (ch. 16)</w:t>
            </w:r>
          </w:p>
        </w:tc>
      </w:tr>
      <w:tr>
        <w:tc>
          <w:tcPr>
            <w:tcW w:type="dxa" w:w="6624"/>
            <w:shd w:val="clear" w:fill="F4EFE4"/>
          </w:tcPr>
          <w:p>
            <w:r>
              <w:rPr>
                <w:rFonts w:ascii="FreeSerif" w:hAnsi="FreeSerif" w:cs="FreeSerif"/>
                <w:color w:val="2E2E2E"/>
                <w:sz w:val="19"/>
              </w:rPr>
              <w:t>« Milices russes préférées à l'antiterrorisme»: c'est le général Burkhard qui range FAMa et Wagner dos à dos (ch. 15)</w:t>
            </w:r>
          </w:p>
        </w:tc>
      </w:tr>
      <w:tr>
        <w:tc>
          <w:tcPr>
            <w:tcW w:type="dxa" w:w="6624"/>
            <w:shd w:val="clear" w:fill="F4EFE4"/>
          </w:tcPr>
          <w:p>
            <w:r>
              <w:rPr>
                <w:rFonts w:ascii="FreeSerif" w:hAnsi="FreeSerif" w:cs="FreeSerif"/>
                <w:color w:val="2E2E2E"/>
                <w:sz w:val="19"/>
              </w:rPr>
              <w:t>« Ingratitude»: aveu d'un rapport de force perdu; zones jihadistes triplées en sept ans de Barkhane (ch. 13)</w:t>
            </w:r>
          </w:p>
        </w:tc>
      </w:tr>
      <w:tr>
        <w:tc>
          <w:tcPr>
            <w:tcW w:type="dxa" w:w="6624"/>
            <w:shd w:val="clear" w:fill="F4EFE4"/>
          </w:tcPr>
          <w:p>
            <w:r>
              <w:rPr>
                <w:rFonts w:ascii="FreeSerif" w:hAnsi="FreeSerif" w:cs="FreeSerif"/>
                <w:color w:val="2E2E2E"/>
                <w:sz w:val="19"/>
              </w:rPr>
              <w:t>« Fausses informations»: l'appui ex-légionnaires/GUR confirmé par une source sécuritaire française sur RTL, non démenti (ch. 20)</w:t>
            </w:r>
          </w:p>
        </w:tc>
      </w:tr>
      <w:tr>
        <w:tc>
          <w:tcPr>
            <w:tcW w:type="dxa" w:w="6624"/>
            <w:shd w:val="clear" w:fill="F4EFE4"/>
          </w:tcPr>
          <w:p>
            <w:r>
              <w:rPr>
                <w:rFonts w:ascii="FreeSerif" w:hAnsi="FreeSerif" w:cs="FreeSerif"/>
                <w:color w:val="2E2E2E"/>
                <w:sz w:val="19"/>
              </w:rPr>
              <w:t>« Partenariat à parité, bases renommées»: définition même de la recomposition; présence française expulsée, non renégociée (ch. 29)</w:t>
            </w:r>
          </w:p>
        </w:tc>
      </w:tr>
    </w:tbl>
    <w:p/>
    <w:p>
      <w: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LE SOMMET D'AFRICA FORWARD, AU CRIBLE DES FAITS</w:t>
            </w:r>
          </w:p>
        </w:tc>
      </w:tr>
      <w:tr>
        <w:tc>
          <w:tcPr>
            <w:tcW w:type="dxa" w:w="6624"/>
            <w:shd w:val="clear" w:fill="F4EFE4"/>
          </w:tcPr>
          <w:p>
            <w:r>
              <w:rPr>
                <w:rFonts w:ascii="FreeSerif" w:hAnsi="FreeSerif" w:cs="FreeSerif"/>
                <w:color w:val="2E2E2E"/>
                <w:sz w:val="19"/>
              </w:rPr>
              <w:t>Afrique du Sud absente: Ramaphosa désinvité au profit du Kenya, sous pression américaine selon des sources que Paris dément — une puissance qui n'arbitre plus seule</w:t>
            </w:r>
          </w:p>
        </w:tc>
      </w:tr>
      <w:tr>
        <w:tc>
          <w:tcPr>
            <w:tcW w:type="dxa" w:w="6624"/>
            <w:shd w:val="clear" w:fill="F4EFE4"/>
          </w:tcPr>
          <w:p>
            <w:r>
              <w:rPr>
                <w:rFonts w:ascii="FreeSerif" w:hAnsi="FreeSerif" w:cs="FreeSerif"/>
                <w:color w:val="2E2E2E"/>
                <w:sz w:val="19"/>
              </w:rPr>
              <w:t>« Jamais un pré carré»: la quête d'« États pivots» anglophones avoue le pré carré perdu qu'elle cherche à remplacer</w:t>
            </w:r>
          </w:p>
        </w:tc>
      </w:tr>
      <w:tr>
        <w:tc>
          <w:tcPr>
            <w:tcW w:type="dxa" w:w="6624"/>
            <w:shd w:val="clear" w:fill="F4EFE4"/>
          </w:tcPr>
          <w:p>
            <w:r>
              <w:rPr>
                <w:rFonts w:ascii="FreeSerif" w:hAnsi="FreeSerif" w:cs="FreeSerif"/>
                <w:color w:val="2E2E2E"/>
                <w:sz w:val="19"/>
              </w:rPr>
              <w:t>« Nous sommes les vrais panafricanistes»: on revendique le mot quand on l'a perdu (Banda Kani; Djerba, 2022)</w:t>
            </w:r>
          </w:p>
        </w:tc>
      </w:tr>
      <w:tr>
        <w:tc>
          <w:tcPr>
            <w:tcW w:type="dxa" w:w="6624"/>
            <w:shd w:val="clear" w:fill="F4EFE4"/>
          </w:tcPr>
          <w:p>
            <w:r>
              <w:rPr>
                <w:rFonts w:ascii="FreeSerif" w:hAnsi="FreeSerif" w:cs="FreeSerif"/>
                <w:color w:val="2E2E2E"/>
                <w:sz w:val="19"/>
              </w:rPr>
              <w:t>« Ni faire ni défaire les gouvernements depuis 2017»: démenti par Quignolot, Vésilier, les 5 milliards burkinabè, l'armée fantôme (ch. 20)</w:t>
            </w:r>
          </w:p>
        </w:tc>
      </w:tr>
      <w:tr>
        <w:tc>
          <w:tcPr>
            <w:tcW w:type="dxa" w:w="6624"/>
            <w:shd w:val="clear" w:fill="F4EFE4"/>
          </w:tcPr>
          <w:p>
            <w:r>
              <w:rPr>
                <w:rFonts w:ascii="FreeSerif" w:hAnsi="FreeSerif" w:cs="FreeSerif"/>
                <w:color w:val="2E2E2E"/>
                <w:sz w:val="19"/>
              </w:rPr>
              <w:t>« On aime les peuples, pas les régimes»: le procédé « société civile» de Montpellier 2021, reconduit à l'échelle continentale</w:t>
            </w:r>
          </w:p>
        </w:tc>
      </w:tr>
      <w:tr>
        <w:tc>
          <w:tcPr>
            <w:tcW w:type="dxa" w:w="6624"/>
            <w:shd w:val="clear" w:fill="F4EFE4"/>
          </w:tcPr>
          <w:p>
            <w:r>
              <w:rPr>
                <w:rFonts w:ascii="FreeSerif" w:hAnsi="FreeSerif" w:cs="FreeSerif"/>
                <w:color w:val="2E2E2E"/>
                <w:sz w:val="19"/>
              </w:rPr>
              <w:t>Loi de restitution des biens culturels: acte réel, mais levier le moins coûteux — n'engage ni le CFA, ni les contrats, ni la guerre proxy</w:t>
            </w:r>
          </w:p>
        </w:tc>
      </w:tr>
    </w:tbl>
    <w:p/>
    <w:p>
      <w: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Bdr>
          <w:bottom w:val="single" w:sz="8" w:space="4" w:color="A07820"/>
        </w:pBdr>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Bdr>
          <w:bottom w:val="single" w:sz="8" w:space="4" w:color="A07820"/>
        </w:pBdr>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CONDITIONS POSSIBLES DE L'ÉCHEC</w:t>
            </w:r>
          </w:p>
        </w:tc>
      </w:tr>
      <w:tr>
        <w:tc>
          <w:tcPr>
            <w:tcW w:type="dxa" w:w="6624"/>
            <w:shd w:val="clear" w:fill="F4EFE4"/>
          </w:tcPr>
          <w:p>
            <w:r>
              <w:rPr>
                <w:rFonts w:ascii="FreeSerif" w:hAnsi="FreeSerif" w:cs="FreeSerif"/>
                <w:color w:val="2E2E2E"/>
                <w:sz w:val="19"/>
              </w:rPr>
              <w:t>Personnalisation du pouvoir: des transitions devenant des règnes personnels permanents, sans calendrier de sortie</w:t>
            </w:r>
          </w:p>
        </w:tc>
      </w:tr>
      <w:tr>
        <w:tc>
          <w:tcPr>
            <w:tcW w:type="dxa" w:w="6624"/>
            <w:shd w:val="clear" w:fill="F4EFE4"/>
          </w:tcPr>
          <w:p>
            <w:r>
              <w:rPr>
                <w:rFonts w:ascii="FreeSerif" w:hAnsi="FreeSerif" w:cs="FreeSerif"/>
                <w:color w:val="2E2E2E"/>
                <w:sz w:val="19"/>
              </w:rPr>
              <w:t>Compradorisme militaire: des élites en uniforme reproduisant les logiques des élites civiles qu'elles ont remplacées</w:t>
            </w:r>
          </w:p>
        </w:tc>
      </w:tr>
      <w:tr>
        <w:tc>
          <w:tcPr>
            <w:tcW w:type="dxa" w:w="6624"/>
            <w:shd w:val="clear" w:fill="F4EFE4"/>
          </w:tcPr>
          <w:p>
            <w:r>
              <w:rPr>
                <w:rFonts w:ascii="FreeSerif" w:hAnsi="FreeSerif" w:cs="FreeSerif"/>
                <w:color w:val="2E2E2E"/>
                <w:sz w:val="19"/>
              </w:rPr>
              <w:t>Dépendance russe: le remplacement d'une tutelle par une autre, même à des conditions différentes</w:t>
            </w:r>
          </w:p>
        </w:tc>
      </w:tr>
      <w:tr>
        <w:tc>
          <w:tcPr>
            <w:tcW w:type="dxa" w:w="6624"/>
            <w:shd w:val="clear" w:fill="F4EFE4"/>
          </w:tcPr>
          <w:p>
            <w:r>
              <w:rPr>
                <w:rFonts w:ascii="FreeSerif" w:hAnsi="FreeSerif" w:cs="FreeSerif"/>
                <w:color w:val="2E2E2E"/>
                <w:sz w:val="19"/>
              </w:rPr>
              <w:t>Fractures internes: la violence contre les minorités, créant guerres civiles et terreau de recrutement jihadiste</w:t>
            </w:r>
          </w:p>
        </w:tc>
      </w:tr>
      <w:tr>
        <w:tc>
          <w:tcPr>
            <w:tcW w:type="dxa" w:w="6624"/>
            <w:shd w:val="clear" w:fill="F4EFE4"/>
          </w:tcPr>
          <w:p>
            <w:r>
              <w:rPr>
                <w:rFonts w:ascii="FreeSerif" w:hAnsi="FreeSerif" w:cs="FreeSerif"/>
                <w:color w:val="2E2E2E"/>
                <w:sz w:val="19"/>
              </w:rPr>
              <w:t>Échec sécuritaire: l'incapacité à protéger les populations au-delà des grandes villes</w:t>
            </w:r>
          </w:p>
        </w:tc>
      </w:tr>
      <w:tr>
        <w:tc>
          <w:tcPr>
            <w:tcW w:type="dxa" w:w="6624"/>
            <w:shd w:val="clear" w:fill="F4EFE4"/>
          </w:tcPr>
          <w:p>
            <w:r>
              <w:rPr>
                <w:rFonts w:ascii="FreeSerif" w:hAnsi="FreeSerif" w:cs="FreeSerif"/>
                <w:color w:val="2E2E2E"/>
                <w:sz w:val="19"/>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Pr>
      <w:tblGrid>
        <w:gridCol w:w="6624"/>
      </w:tblGrid>
      <w:tr>
        <w:tc>
          <w:tcPr>
            <w:tcW w:type="dxa" w:w="6624"/>
            <w:shd w:val="clear" w:fill="2C3A4A"/>
          </w:tcPr>
          <w:p>
            <w:r>
              <w:rPr>
                <w:rFonts w:ascii="FreeSerif" w:hAnsi="FreeSerif" w:cs="FreeSerif"/>
                <w:b/>
                <w:color w:val="FFFFFF"/>
                <w:sz w:val="19"/>
              </w:rPr>
              <w:t>CONDITIONS NÉCESSAIRES AU SUCCÈS</w:t>
            </w:r>
          </w:p>
        </w:tc>
      </w:tr>
      <w:tr>
        <w:tc>
          <w:tcPr>
            <w:tcW w:type="dxa" w:w="6624"/>
            <w:shd w:val="clear" w:fill="F4EFE4"/>
          </w:tcPr>
          <w:p>
            <w:r>
              <w:rPr>
                <w:rFonts w:ascii="FreeSerif" w:hAnsi="FreeSerif" w:cs="FreeSerif"/>
                <w:color w:val="2E2E2E"/>
                <w:sz w:val="19"/>
              </w:rPr>
              <w:t>Transition démocratique programmée: calendrier clair, institutions civiles, élections dotées d'une représentativité réelle</w:t>
            </w:r>
          </w:p>
        </w:tc>
      </w:tr>
      <w:tr>
        <w:tc>
          <w:tcPr>
            <w:tcW w:type="dxa" w:w="6624"/>
            <w:shd w:val="clear" w:fill="F4EFE4"/>
          </w:tcPr>
          <w:p>
            <w:r>
              <w:rPr>
                <w:rFonts w:ascii="FreeSerif" w:hAnsi="FreeSerif" w:cs="FreeSerif"/>
                <w:color w:val="2E2E2E"/>
                <w:sz w:val="19"/>
              </w:rPr>
              <w:t>Transparence budgétaire: publication des comptes, lutte contre la corruption interne</w:t>
            </w:r>
          </w:p>
        </w:tc>
      </w:tr>
      <w:tr>
        <w:tc>
          <w:tcPr>
            <w:tcW w:type="dxa" w:w="6624"/>
            <w:shd w:val="clear" w:fill="F4EFE4"/>
          </w:tcPr>
          <w:p>
            <w:r>
              <w:rPr>
                <w:rFonts w:ascii="FreeSerif" w:hAnsi="FreeSerif" w:cs="FreeSerif"/>
                <w:color w:val="2E2E2E"/>
                <w:sz w:val="19"/>
              </w:rPr>
              <w:t>Souveraineté monétaire: une stratégie de transition crédible, avec gestion des risques inflationnistes</w:t>
            </w:r>
          </w:p>
        </w:tc>
      </w:tr>
      <w:tr>
        <w:tc>
          <w:tcPr>
            <w:tcW w:type="dxa" w:w="6624"/>
            <w:shd w:val="clear" w:fill="F4EFE4"/>
          </w:tcPr>
          <w:p>
            <w:r>
              <w:rPr>
                <w:rFonts w:ascii="FreeSerif" w:hAnsi="FreeSerif" w:cs="FreeSerif"/>
                <w:color w:val="2E2E2E"/>
                <w:sz w:val="19"/>
              </w:rPr>
              <w:t>Diversification stratégique: ne pas répéter avec Moscou ou Pékin ce qui a été fait avec Paris</w:t>
            </w:r>
          </w:p>
        </w:tc>
      </w:tr>
      <w:tr>
        <w:tc>
          <w:tcPr>
            <w:tcW w:type="dxa" w:w="6624"/>
            <w:shd w:val="clear" w:fill="F4EFE4"/>
          </w:tcPr>
          <w:p>
            <w:r>
              <w:rPr>
                <w:rFonts w:ascii="FreeSerif" w:hAnsi="FreeSerif" w:cs="FreeSerif"/>
                <w:color w:val="2E2E2E"/>
                <w:sz w:val="19"/>
              </w:rPr>
              <w:t>Justice interne: protection des minorités, redevabilité des forces de sécurité</w:t>
            </w:r>
          </w:p>
        </w:tc>
      </w:tr>
      <w:tr>
        <w:tc>
          <w:tcPr>
            <w:tcW w:type="dxa" w:w="6624"/>
            <w:shd w:val="clear" w:fill="F4EFE4"/>
          </w:tcPr>
          <w:p>
            <w:r>
              <w:rPr>
                <w:rFonts w:ascii="FreeSerif" w:hAnsi="FreeSerif" w:cs="FreeSerif"/>
                <w:color w:val="2E2E2E"/>
                <w:sz w:val="19"/>
              </w:rPr>
              <w:t>Mobilisation de la diaspora: politiques actives d'investissement et de retour des compétences</w:t>
            </w:r>
          </w:p>
        </w:tc>
      </w:tr>
      <w:tr>
        <w:tc>
          <w:tcPr>
            <w:tcW w:type="dxa" w:w="6624"/>
            <w:shd w:val="clear" w:fill="F4EFE4"/>
          </w:tcPr>
          <w:p>
            <w:r>
              <w:rPr>
                <w:rFonts w:ascii="FreeSerif" w:hAnsi="FreeSerif" w:cs="FreeSerif"/>
                <w:color w:val="2E2E2E"/>
                <w:sz w:val="19"/>
              </w:rPr>
              <w:t>Service militaire élargi: selon Nathalie Yamb, un outil de conscientisation citoyenne, pas seulement de défense</w:t>
            </w:r>
          </w:p>
        </w:tc>
      </w:tr>
      <w:tr>
        <w:tc>
          <w:tcPr>
            <w:tcW w:type="dxa" w:w="6624"/>
            <w:shd w:val="clear" w:fill="F4EFE4"/>
          </w:tcPr>
          <w:p>
            <w:r>
              <w:rPr>
                <w:rFonts w:ascii="FreeSerif" w:hAnsi="FreeSerif" w:cs="FreeSerif"/>
                <w:color w:val="2E2E2E"/>
                <w:sz w:val="19"/>
              </w:rPr>
              <w:t>Dialogue permanent: maintenir les canaux de négociation même en temps de guerre;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Bdr>
          <w:bottom w:val="single" w:sz="8" w:space="4" w:color="A07820"/>
        </w:pBdr>
      </w:pPr>
      <w:r>
        <w:t>Les quatre leviers de la transformation</w:t>
      </w:r>
    </w:p>
    <w:p>
      <w:r>
        <w:t>L'Hiver Noir dont parle Ibrahim Traoré n'est pas une métaphore — c'est un programme. Pour le traverser, l'AES doit actionner simultanément quatre leviers que la logique de dépendance avait, depuis soixante ans, verrouillés l'un après l'autre.</w:t>
      </w:r>
    </w:p>
    <w:p>
      <w:r>
        <w:rPr>
          <w:b/>
        </w:rPr>
        <w:t>Économie :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r>
        <w:rPr>
          <w:b/>
        </w:rPr>
        <w:t>Militaire :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r>
        <w:rPr>
          <w:b/>
        </w:rPr>
        <w:t>Culturel et cognitif :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r>
        <w:rPr>
          <w:b/>
        </w:rPr>
        <w:t>Politique et diplomatique : la cohésion comme arme.</w:t>
      </w:r>
      <w:r>
        <w:t xml:space="preserv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pStyle w:val="Heading2"/>
        <w:pBdr>
          <w:bottom w:val="single" w:sz="8" w:space="4" w:color="A07820"/>
        </w:pBdr>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A07820"/>
          <w:sz w:val="22"/>
          <w:rFonts w:ascii="FreeSerif" w:hAnsi="FreeSerif" w:cs="FreeSerif"/>
        </w:rPr>
        <w:t>★★★</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A07820"/>
          <w:sz w:val="22"/>
          <w:rFonts w:ascii="FreeSerif" w:hAnsi="FreeSerif" w:cs="FreeSerif"/>
        </w:rPr>
        <w:t>★★★</w:t>
      </w:r>
    </w:p>
    <w:p>
      <w:pPr>
        <w:spacing w:before="40" w:after="120"/>
        <w:ind w:left="567"/>
        <w:pBdr>
          <w:left w:val="single" w:sz="4" w:space="8" w:color="A07820"/>
        </w:pBdr>
      </w:pPr>
      <w:r>
        <w:rPr>
          <w:i/>
          <w:color w:val="8B1A1A"/>
          <w:sz w:val="20"/>
        </w:rPr>
        <w:t>« Restons vigilants.»</w:t>
      </w:r>
    </w:p>
    <w:p>
      <w:pPr>
        <w:spacing w:before="40" w:after="120"/>
        <w:ind w:left="567"/>
        <w:pBdr>
          <w:left w:val="single" w:sz="4" w:space="8" w:color="A07820"/>
        </w:pBdr>
      </w:pPr>
      <w:r>
        <w:rPr>
          <w:i/>
          <w:color w:val="0A0A0A"/>
          <w:sz w:val="18"/>
        </w:rPr>
        <w:t>— Général Tiani, 13 novembre 2025</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OCRS — Organisation commune des régions sahariennes (loi française du 10 janvier 1957)</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Belhadj, Abdelhakim — chef jihadiste libyen, gouverneur militaire de Tripoli après 2011. ch. 11.</w:t>
      </w:r>
    </w:p>
    <w:p>
      <w:pPr>
        <w:pStyle w:val="ListBullet"/>
      </w:pPr>
      <w:r>
        <w:t>Benoist-Méchin, Jacques — écrivain français, auteur d'</w:t>
      </w:r>
      <w:r>
        <w:rPr>
          <w:i/>
        </w:rPr>
        <w:t>Un printemps arabe</w:t>
      </w:r>
      <w:r>
        <w:t xml:space="preserve"> (1959). ch. 11.</w:t>
      </w:r>
    </w:p>
    <w:p>
      <w:pPr>
        <w:pStyle w:val="ListBullet"/>
      </w:pPr>
      <w:r>
        <w:t>Boganda, Barthélemy — fondateur de la Centrafrique, théoricien des « États-Unis d'Afrique latine», mort en 1959. ch. 22.</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Haftar, Khalifa — officier libyen passé à l'opposition, homme fort de la Cyrénaïque après 2014. ch. 11.</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Lecointre, François — chef d'état-major des armées françaises (2017-2021), grand chancelier de la Légion d'honneur. ch. 15.</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11, ch. 29.</w:t>
      </w:r>
    </w:p>
    <w:p>
      <w:pPr>
        <w:pStyle w:val="ListBullet"/>
      </w:pPr>
      <w:r>
        <w:t>Michel, Luc — militant pro-Kadhafi, animateur du réseau européen des comités révolutionnaires libyens (source engagée). ch. 11, ch. 15, ch. 29, ch. 30.</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Pérouse de Montclos, Marc-Antoine — chercheur français, spécialiste des conflits sahéliens. ch. 15.</w:t>
      </w:r>
    </w:p>
    <w:p>
      <w:pPr>
        <w:pStyle w:val="ListBullet"/>
      </w:pPr>
      <w:r>
        <w:t xml:space="preserve">Pondi, Jean-Emmanuel — politologue camerounais, auteur de </w:t>
      </w:r>
      <w:r>
        <w:rPr>
          <w:i/>
        </w:rPr>
        <w:t>Vie et mort de Mouammar Kadhafi</w:t>
      </w:r>
      <w:r>
        <w:t>. ch. 11.</w:t>
      </w:r>
    </w:p>
    <w:p>
      <w:pPr>
        <w:pStyle w:val="ListBullet"/>
      </w:pPr>
      <w:r>
        <w:t>Saïf al-Islam Kadhafi — fils de Mouammar Kadhafi, chef de l'aile « libérale» du régime en 2011. ch. 11.</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Younes, Abdel Fattah — ministre de Kadhafi rallié aux insurgés, assassiné en juillet 2011. ch. 11.</w:t>
      </w:r>
    </w:p>
    <w:p>
      <w:pPr>
        <w:pStyle w:val="ListBullet"/>
      </w:pPr>
      <w:r>
        <w:t>Yusov, Andriy — porte-parole du renseignement militaire ukrainien. ch. 20.</w:t>
      </w:r>
    </w:p>
    <w:p>
      <w:pPr>
        <w:spacing w:before="160" w:after="160"/>
        <w:jc w:val="center"/>
      </w:pPr>
      <w:r>
        <w:rPr>
          <w:b w:val="0"/>
          <w:i w:val="0"/>
          <w:color w:val="A07820"/>
          <w:sz w:val="22"/>
          <w:rFonts w:ascii="FreeSerif" w:hAnsi="FreeSerif" w:cs="FreeSerif"/>
        </w:rPr>
        <w:t>★★★</w:t>
      </w:r>
    </w:p>
    <w:p>
      <w:r>
        <w:br w:type="page"/>
      </w:r>
    </w:p>
    <w:p>
      <w:pPr>
        <w:pStyle w:val="Heading1"/>
        <w:spacing w:before="120" w:after="320" w:line="300" w:lineRule="auto"/>
        <w:jc w:val="left"/>
        <w:shd w:val="clear" w:fill="2C3A4A"/>
        <w:pBdr>
          <w:top w:val="single" w:sz="34" w:space="4" w:color="A07820"/>
        </w:pBdr>
      </w:pPr>
      <w:r>
        <w:rPr>
          <w:rFonts w:ascii="FreeSerif" w:hAnsi="FreeSerif" w:cs="FreeSerif"/>
          <w:b/>
          <w:color w:val="FFFFFF"/>
          <w:sz w:val="28"/>
        </w:rP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pPr>
        <w:pStyle w:val="Heading2"/>
        <w:pBdr>
          <w:bottom w:val="single" w:sz="8" w:space="4" w:color="A07820"/>
        </w:pBdr>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L'Express (2024) — « scénario noir» d'effondrement du Mali élaboré avec une quarantaine d'experts; filiation Libye-Sahel, doctrine des « efforts souterrains» vers les sociétés civiles.</w:t>
      </w:r>
    </w:p>
    <w:p>
      <w:pPr>
        <w:pStyle w:val="ListBullet"/>
      </w:pPr>
      <w:r>
        <w:t>André Bourgeot (CNRS) — « Azawad est une fabrication politique».</w:t>
      </w:r>
    </w:p>
    <w:p>
      <w:pPr>
        <w:pStyle w:val="ListBullet"/>
      </w:pPr>
      <w:r>
        <w:t>Thomas Porcher (PSB Paris) — partage des revenus pétroliers au Congo.</w:t>
      </w:r>
    </w:p>
    <w:p>
      <w:pPr>
        <w:pStyle w:val="Heading2"/>
        <w:pBdr>
          <w:bottom w:val="single" w:sz="8" w:space="4" w:color="A07820"/>
        </w:pBdr>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Général François Lecointre, ancien chef d'état-major des armées (2017-2021) — « l'échec</w:t>
      </w:r>
    </w:p>
    <w:p>
      <w:r>
        <w:t>de nos engagements au Sahel»; « on ne fait pas la guerre pour la démocratie mais pour les</w:t>
      </w:r>
    </w:p>
    <w:p>
      <w:r>
        <w:t>intérêts de la France» (propos rapportés via une source unique, à confirmer).</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Bdr>
          <w:bottom w:val="single" w:sz="8" w:space="4" w:color="A07820"/>
        </w:pBdr>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Bdr>
          <w:bottom w:val="single" w:sz="8" w:space="4" w:color="A07820"/>
        </w:pBdr>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Bdr>
          <w:bottom w:val="single" w:sz="8" w:space="4" w:color="A07820"/>
        </w:pBdr>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pPr>
        <w:spacing w:before="40" w:after="120"/>
        <w:ind w:left="567"/>
        <w:pBdr>
          <w:left w:val="single" w:sz="4" w:space="8" w:color="A07820"/>
        </w:pBdr>
      </w:pPr>
      <w:r>
        <w:rPr>
          <w:i/>
          <w:color w:val="8B1A1A"/>
          <w:sz w:val="20"/>
        </w:rPr>
        <w:t>« La rigueur n'est pas l'apanage de ceux qui dominent. Elle est l'arme de ceux qui résistent.»</w:t>
      </w:r>
    </w:p>
    <w:sectPr w:rsidR="00FC693F" w:rsidRPr="0006063C" w:rsidSect="00034616">
      <w:footerReference w:type="default" r:id="rId9"/>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s="FreeSerif"/>
        <w:color w:val="A8A8A0"/>
        <w:sz w:val="18"/>
      </w:rPr>
      <w:t xml:space="preserve">— </w:t>
    </w:r>
    <w:r>
      <w:rPr>
        <w:rFonts w:ascii="FreeSerif" w:hAnsi="FreeSerif" w:cs="FreeSerif"/>
        <w:color w:val="A8A8A0"/>
        <w:sz w:val="18"/>
      </w:rPr>
      <w:fldChar w:fldCharType="begin"/>
      <w:instrText xml:space="preserve">PAGE</w:instrText>
      <w:fldChar w:fldCharType="end"/>
    </w:r>
    <w:r>
      <w:rPr>
        <w:rFonts w:ascii="FreeSerif" w:hAnsi="FreeSerif" w:cs="FreeSerif"/>
        <w:color w:val="A8A8A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erif" w:hAnsi="FreeSerif" w:cs="FreeSerif"/>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FreeSerif" w:hAnsi="FreeSerif" w:cs="FreeSerif"/>
      <w:b/>
      <w:bCs/>
      <w:caps w:val="0"/>
      <w:color w:val="2C3A4A"/>
      <w:sz w:val="30"/>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erif" w:hAnsi="FreeSerif" w:cs="FreeSerif"/>
      <w:b/>
      <w:bCs/>
      <w:caps w:val="0"/>
      <w:color w:val="2C3A4A"/>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erif" w:hAnsi="FreeSerif" w:cs="FreeSerif"/>
      <w:b/>
      <w:bCs/>
      <w:caps w:val="0"/>
      <w:color w:val="A07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