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line="312" w:lineRule="auto"/>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line="312" w:lineRule="auto"/>
      </w:pPr>
      <w:r>
        <w:rPr>
          <w:rFonts w:ascii="FreeSerif" w:hAnsi="FreeSerif"/>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sz w:val="22"/>
        </w:rPr>
        <w:t>Le Monde</w:t>
      </w:r>
      <w:r>
        <w:rPr>
          <w:rFonts w:ascii="FreeSerif" w:hAnsi="FreeSerif"/>
          <w:sz w:val="22"/>
        </w:rPr>
        <w:t xml:space="preserve"> ou RTL France. Ce qui compte, c'est la possibilité de vérifier,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line="312" w:lineRule="auto"/>
      </w:pPr>
      <w:r>
        <w:rPr>
          <w:rFonts w:ascii="FreeSerif" w:hAnsi="FreeSerif"/>
          <w:sz w:val="22"/>
        </w:rPr>
        <w:t>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Ce n'est plus une thèse. C'est une évidence que même ses auteurs ne peuvent plus taire.</w:t>
      </w:r>
    </w:p>
    <w:p>
      <w:pPr>
        <w:spacing w:line="312" w:lineRule="auto"/>
      </w:pPr>
      <w:r>
        <w:rPr>
          <w:rFonts w:ascii="FreeSerif" w:hAnsi="FreeSerif"/>
          <w:sz w:val="22"/>
        </w:rPr>
        <w:t>Sur les points les plus importants de ce livre, c'est très souvent l'adversaire qui confirme. Quelques exemples : 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line="312" w:lineRule="auto"/>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280" w:after="120"/>
        <w:pBdr>
          <w:bottom w:val="single" w:sz="7" w:space="3" w:color="A07820"/>
        </w:pBdr>
      </w:pPr>
      <w:r>
        <w:rPr>
          <w:rFonts w:ascii="FreeSerif" w:hAnsi="FreeSerif"/>
          <w:b/>
          <w:color w:val="2C3A4A"/>
          <w:sz w:val="22"/>
        </w:rPr>
        <w:t>Le cadre des sources</w:t>
      </w:r>
    </w:p>
    <w:p>
      <w:pPr>
        <w:spacing w:line="312" w:lineRule="auto"/>
      </w:pPr>
      <w:r>
        <w:rPr>
          <w:rFonts w:ascii="FreeSerif" w:hAnsi="FreeSerif"/>
          <w:sz w:val="22"/>
        </w:rPr>
        <w:t>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line="312" w:lineRule="auto"/>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line="312" w:lineRule="auto"/>
      </w:pPr>
      <w:r>
        <w:rPr>
          <w:rFonts w:ascii="FreeSerif" w:hAnsi="FreeSerif"/>
          <w:sz w:val="22"/>
        </w:rPr>
        <w:t xml:space="preserve">Sur les institutions internationales :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sz w:val="22"/>
        </w:rPr>
        <w:t>Monde</w:t>
      </w:r>
      <w:r>
        <w:rPr>
          <w:rFonts w:ascii="FreeSerif" w:hAnsi="FreeSerif"/>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line="312" w:lineRule="auto"/>
      </w:pPr>
      <w:r>
        <w:rPr>
          <w:rFonts w:ascii="FreeSerif" w:hAnsi="FreeSerif"/>
          <w:sz w:val="22"/>
        </w:rPr>
        <w:t>Le terme « putsch » n'apparaît pas dans ce livre.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line="312" w:lineRule="auto"/>
      </w:pPr>
      <w:r>
        <w:rPr>
          <w:rFonts w:ascii="FreeSerif" w:hAnsi="FreeSerif"/>
          <w:sz w:val="22"/>
        </w:rPr>
        <w:t>Les termes « terroriste », « jihadiste », « djihadiste » sont utilisés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line="312" w:lineRule="auto"/>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line="312" w:lineRule="auto"/>
      </w:pPr>
      <w:r>
        <w:rPr>
          <w:rFonts w:ascii="FreeSerif" w:hAnsi="FreeSerif"/>
          <w:sz w:val="22"/>
        </w:rPr>
        <w:t>Certaines affirmations fortes reposent sur une source unique : le texte les présente alors au conditionnel et en nommant leur origine, plutôt que de les faire passer pour des certitudes.</w:t>
      </w:r>
    </w:p>
    <w:p>
      <w:pPr>
        <w:spacing w:line="312" w:lineRule="auto"/>
      </w:pPr>
      <w:r>
        <w:rPr>
          <w:rFonts w:ascii="FreeSerif" w:hAnsi="FreeSerif"/>
          <w:sz w:val="22"/>
        </w:rPr>
        <w:t>La rigueur n'est pas l'apanage de ceux qui dominent. Elle est l'arme de ceux qui résistent.</w:t>
      </w:r>
    </w:p>
    <w:p>
      <w:pPr>
        <w:spacing w:line="312" w:lineRule="auto"/>
      </w:pPr>
      <w:r>
        <w:rPr>
          <w:rFonts w:ascii="FreeSerif" w:hAnsi="FreeSerif"/>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line="312" w:lineRule="auto"/>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line="312" w:lineRule="auto"/>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line="312" w:lineRule="auto"/>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line="312" w:lineRule="auto"/>
      </w:pPr>
      <w:r>
        <w:rPr>
          <w:rFonts w:ascii="FreeSerif" w:hAnsi="FreeSerif"/>
          <w:sz w:val="22"/>
        </w:rPr>
        <w:t xml:space="preserve">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line="312" w:lineRule="auto"/>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line="312" w:lineRule="auto"/>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line="312" w:lineRule="auto"/>
      </w:pPr>
      <w:r>
        <w:rPr>
          <w:rFonts w:ascii="FreeSerif" w:hAnsi="FreeSerif"/>
          <w:sz w:val="22"/>
        </w:rPr>
        <w:t>La paix des cimetières a été imposée trop longtemps. La paix juste reste à construire. La justice ne peut pas être évitée. La dignité, non. La liberté, jamais.</w:t>
      </w:r>
    </w:p>
    <w:p>
      <w:pPr>
        <w:spacing w:line="312" w:lineRule="auto"/>
      </w:pPr>
      <w:r>
        <w:rPr>
          <w:rFonts w:ascii="FreeSerif" w:hAnsi="FreeSerif"/>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line="312" w:lineRule="auto"/>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line="312" w:lineRule="auto"/>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line="312" w:lineRule="auto"/>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80" w:after="120"/>
        <w:pBdr>
          <w:bottom w:val="single" w:sz="7" w:space="3" w:color="A07820"/>
        </w:pBdr>
      </w:pPr>
      <w:r>
        <w:rPr>
          <w:rFonts w:ascii="FreeSerif" w:hAnsi="FreeSerif"/>
          <w:b/>
          <w:color w:val="2C3A4A"/>
          <w:sz w:val="22"/>
        </w:rPr>
        <w:t>Ce que l'AES n'est pas</w:t>
      </w:r>
    </w:p>
    <w:p>
      <w:pPr>
        <w:spacing w:line="312" w:lineRule="auto"/>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line="312" w:lineRule="auto"/>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80" w:after="120"/>
        <w:pBdr>
          <w:bottom w:val="single" w:sz="7" w:space="3" w:color="A07820"/>
        </w:pBdr>
      </w:pPr>
      <w:r>
        <w:rPr>
          <w:rFonts w:ascii="FreeSerif" w:hAnsi="FreeSerif"/>
          <w:b/>
          <w:color w:val="2C3A4A"/>
          <w:sz w:val="22"/>
        </w:rPr>
        <w:t>Ce que l'AES est</w:t>
      </w:r>
    </w:p>
    <w:p>
      <w:pPr>
        <w:spacing w:line="312" w:lineRule="auto"/>
      </w:pPr>
      <w:r>
        <w:rPr>
          <w:rFonts w:ascii="FreeSerif" w:hAnsi="FreeSerif"/>
          <w:sz w:val="22"/>
        </w:rPr>
        <w:t>Un universitaire genevois l'avait écrit dès 2013, dans un livre publié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line="312" w:lineRule="auto"/>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80" w:after="120"/>
        <w:pBdr>
          <w:bottom w:val="single" w:sz="7" w:space="3" w:color="A07820"/>
        </w:pBdr>
      </w:pPr>
      <w:r>
        <w:rPr>
          <w:rFonts w:ascii="FreeSerif" w:hAnsi="FreeSerif"/>
          <w:b/>
          <w:color w:val="2C3A4A"/>
          <w:sz w:val="22"/>
        </w:rPr>
        <w:t>La méthode de ce livre</w:t>
      </w:r>
    </w:p>
    <w:p>
      <w:pPr>
        <w:spacing w:line="312" w:lineRule="auto"/>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line="312" w:lineRule="auto"/>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 sans oraison, sans raccourcis.</w:t>
      </w:r>
    </w:p>
    <w:p>
      <w:pPr>
        <w:spacing w:line="312" w:lineRule="auto"/>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line="312" w:lineRule="auto"/>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line="312" w:lineRule="auto"/>
      </w:pPr>
      <w:r>
        <w:rPr>
          <w:rFonts w:ascii="FreeSerif" w:hAnsi="FreeSerif"/>
          <w:sz w:val="22"/>
        </w:rPr>
        <w:t>Un Sahel qui fut, des siècles durant, un centre du monde. Ce n'est pas de la nostalgie.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line="312" w:lineRule="auto"/>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line="312" w:lineRule="auto"/>
      </w:pPr>
      <w:r>
        <w:rPr>
          <w:rFonts w:ascii="FreeSerif" w:hAnsi="FreeSerif"/>
          <w:sz w:val="22"/>
        </w:rPr>
        <w:t>Cette scène, l'école coloniale ne l'a jamais racontée. Ce silence n'est pas un oubli. C'est une décision.</w:t>
      </w:r>
    </w:p>
    <w:p>
      <w:pPr>
        <w:spacing w:before="280" w:after="120"/>
        <w:pBdr>
          <w:bottom w:val="single" w:sz="7" w:space="3" w:color="A07820"/>
        </w:pBdr>
      </w:pPr>
      <w:r>
        <w:rPr>
          <w:rFonts w:ascii="FreeSerif" w:hAnsi="FreeSerif"/>
          <w:b/>
          <w:color w:val="2C3A4A"/>
          <w:sz w:val="22"/>
        </w:rPr>
        <w:t>Le mensonge fondateur</w:t>
      </w:r>
    </w:p>
    <w:p>
      <w:pPr>
        <w:spacing w:line="312" w:lineRule="auto"/>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line="312" w:lineRule="auto"/>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line="312" w:lineRule="auto"/>
      </w:pPr>
      <w:r>
        <w:rPr>
          <w:rFonts w:ascii="FreeSerif" w:hAnsi="FreeSerif"/>
          <w:sz w:val="22"/>
        </w:rPr>
        <w:t>Or l'histoire du Sahel est tout sauf vide. Elle est, au contraire,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line="312" w:lineRule="auto"/>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line="312" w:lineRule="auto"/>
      </w:pPr>
      <w:r>
        <w:rPr>
          <w:rFonts w:ascii="FreeSerif" w:hAnsi="FreeSerif"/>
          <w:sz w:val="22"/>
        </w:rPr>
        <w:t>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line="312" w:lineRule="auto"/>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line="312" w:lineRule="auto"/>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line="312" w:lineRule="auto"/>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line="312" w:lineRule="auto"/>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line="312" w:lineRule="auto"/>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line="312" w:lineRule="auto"/>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line="312" w:lineRule="auto"/>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Empire</w:t>
            </w:r>
          </w:p>
        </w:tc>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Faits marquants</w:t>
            </w:r>
          </w:p>
        </w:tc>
      </w:tr>
      <w:tr>
        <w:tc>
          <w:tcPr>
            <w:tcW w:type="dxa" w:w="3135"/>
            <w:shd w:val="clear" w:color="auto" w:fill="F4EFE4"/>
          </w:tcPr>
          <w:p>
            <w:pPr>
              <w:ind w:left="85"/>
            </w:pPr>
            <w:r>
              <w:rPr>
                <w:rFonts w:ascii="FreeSerif" w:hAnsi="FreeSerif"/>
                <w:color w:val="3C3C3C"/>
                <w:sz w:val="18"/>
              </w:rPr>
              <w:t>Empire du Ghana / Wagadou</w:t>
            </w:r>
          </w:p>
        </w:tc>
        <w:tc>
          <w:tcPr>
            <w:tcW w:type="dxa" w:w="3135"/>
            <w:shd w:val="clear" w:color="auto" w:fill="F4EFE4"/>
          </w:tcPr>
          <w:p>
            <w:pPr>
              <w:ind w:left="85"/>
            </w:pPr>
            <w:r>
              <w:rPr>
                <w:rFonts w:ascii="FreeSerif" w:hAnsi="FreeSerif"/>
                <w:color w:val="3C3C3C"/>
                <w:sz w:val="18"/>
              </w:rPr>
              <w:t>IVe–XIe siècle</w:t>
            </w:r>
          </w:p>
        </w:tc>
        <w:tc>
          <w:tcPr>
            <w:tcW w:type="dxa" w:w="3135"/>
            <w:shd w:val="clear" w:color="auto" w:fill="F4EFE4"/>
          </w:tcPr>
          <w:p>
            <w:pPr>
              <w:ind w:left="85"/>
            </w:pPr>
            <w:r>
              <w:rPr>
                <w:rFonts w:ascii="FreeSerif" w:hAnsi="FreeSerif"/>
                <w:color w:val="3C3C3C"/>
                <w:sz w:val="18"/>
              </w:rPr>
              <w:t>Routes de l'or et du sel, système douanier sophistiqué</w:t>
            </w:r>
          </w:p>
        </w:tc>
      </w:tr>
      <w:tr>
        <w:tc>
          <w:tcPr>
            <w:tcW w:type="dxa" w:w="3135"/>
            <w:shd w:val="clear" w:color="auto" w:fill="F4EFE4"/>
          </w:tcPr>
          <w:p>
            <w:pPr>
              <w:ind w:left="85"/>
            </w:pPr>
            <w:r>
              <w:rPr>
                <w:rFonts w:ascii="FreeSerif" w:hAnsi="FreeSerif"/>
                <w:color w:val="3C3C3C"/>
                <w:sz w:val="18"/>
              </w:rPr>
              <w:t>Empire du Mali</w:t>
            </w:r>
          </w:p>
        </w:tc>
        <w:tc>
          <w:tcPr>
            <w:tcW w:type="dxa" w:w="3135"/>
            <w:shd w:val="clear" w:color="auto" w:fill="F4EFE4"/>
          </w:tcPr>
          <w:p>
            <w:pPr>
              <w:ind w:left="85"/>
            </w:pPr>
            <w:r>
              <w:rPr>
                <w:rFonts w:ascii="FreeSerif" w:hAnsi="FreeSerif"/>
                <w:color w:val="3C3C3C"/>
                <w:sz w:val="18"/>
              </w:rPr>
              <w:t>XIIIe–XVe siècle</w:t>
            </w:r>
          </w:p>
        </w:tc>
        <w:tc>
          <w:tcPr>
            <w:tcW w:type="dxa" w:w="3135"/>
            <w:shd w:val="clear" w:color="auto" w:fill="F4EFE4"/>
          </w:tcPr>
          <w:p>
            <w:pPr>
              <w:ind w:left="85"/>
            </w:pPr>
            <w:r>
              <w:rPr>
                <w:rFonts w:ascii="FreeSerif" w:hAnsi="FreeSerif"/>
                <w:color w:val="3C3C3C"/>
                <w:sz w:val="18"/>
              </w:rPr>
              <w:t>Charte du Mandé (1236) ; Mansa Moussa effondre le cours de l'or au Caire (1324)</w:t>
            </w:r>
          </w:p>
        </w:tc>
      </w:tr>
      <w:tr>
        <w:tc>
          <w:tcPr>
            <w:tcW w:type="dxa" w:w="3135"/>
            <w:shd w:val="clear" w:color="auto" w:fill="F4EFE4"/>
          </w:tcPr>
          <w:p>
            <w:pPr>
              <w:ind w:left="85"/>
            </w:pPr>
            <w:r>
              <w:rPr>
                <w:rFonts w:ascii="FreeSerif" w:hAnsi="FreeSerif"/>
                <w:color w:val="3C3C3C"/>
                <w:sz w:val="18"/>
              </w:rPr>
              <w:t>Empire Songhaï</w:t>
            </w:r>
          </w:p>
        </w:tc>
        <w:tc>
          <w:tcPr>
            <w:tcW w:type="dxa" w:w="3135"/>
            <w:shd w:val="clear" w:color="auto" w:fill="F4EFE4"/>
          </w:tcPr>
          <w:p>
            <w:pPr>
              <w:ind w:left="85"/>
            </w:pPr>
            <w:r>
              <w:rPr>
                <w:rFonts w:ascii="FreeSerif" w:hAnsi="FreeSerif"/>
                <w:color w:val="3C3C3C"/>
                <w:sz w:val="18"/>
              </w:rPr>
              <w:t>XVe–XVIe siècle</w:t>
            </w:r>
          </w:p>
        </w:tc>
        <w:tc>
          <w:tcPr>
            <w:tcW w:type="dxa" w:w="3135"/>
            <w:shd w:val="clear" w:color="auto" w:fill="F4EFE4"/>
          </w:tcPr>
          <w:p>
            <w:pPr>
              <w:ind w:left="85"/>
            </w:pPr>
            <w:r>
              <w:rPr>
                <w:rFonts w:ascii="FreeSerif" w:hAnsi="FreeSerif"/>
                <w:color w:val="3C3C3C"/>
                <w:sz w:val="18"/>
              </w:rPr>
              <w:t>Université de Sankoré (~25 000 étudiants) ; Tombouctou, env. 100 000 habitants</w:t>
            </w:r>
          </w:p>
        </w:tc>
      </w:tr>
      <w:tr>
        <w:tc>
          <w:tcPr>
            <w:tcW w:type="dxa" w:w="3135"/>
            <w:shd w:val="clear" w:color="auto" w:fill="F4EFE4"/>
          </w:tcPr>
          <w:p>
            <w:pPr>
              <w:ind w:left="85"/>
            </w:pPr>
            <w:r>
              <w:rPr>
                <w:rFonts w:ascii="FreeSerif" w:hAnsi="FreeSerif"/>
                <w:color w:val="3C3C3C"/>
                <w:sz w:val="18"/>
              </w:rPr>
              <w:t>Sultanat du Bornou / Kanem</w:t>
            </w:r>
          </w:p>
        </w:tc>
        <w:tc>
          <w:tcPr>
            <w:tcW w:type="dxa" w:w="3135"/>
            <w:shd w:val="clear" w:color="auto" w:fill="F4EFE4"/>
          </w:tcPr>
          <w:p>
            <w:pPr>
              <w:ind w:left="85"/>
            </w:pPr>
            <w:r>
              <w:rPr>
                <w:rFonts w:ascii="FreeSerif" w:hAnsi="FreeSerif"/>
                <w:color w:val="3C3C3C"/>
                <w:sz w:val="18"/>
              </w:rPr>
              <w:t>IXe–XIXe siècle</w:t>
            </w:r>
          </w:p>
        </w:tc>
        <w:tc>
          <w:tcPr>
            <w:tcW w:type="dxa" w:w="3135"/>
            <w:shd w:val="clear" w:color="auto" w:fill="F4EFE4"/>
          </w:tcPr>
          <w:p>
            <w:pPr>
              <w:ind w:left="85"/>
            </w:pPr>
            <w:r>
              <w:rPr>
                <w:rFonts w:ascii="FreeSerif" w:hAnsi="FreeSerif"/>
                <w:color w:val="3C3C3C"/>
                <w:sz w:val="18"/>
              </w:rPr>
              <w:t>Correspondances diplomatiques avec l'Égypte et l'Empire ottoman</w:t>
            </w:r>
          </w:p>
        </w:tc>
      </w:tr>
      <w:tr>
        <w:tc>
          <w:tcPr>
            <w:tcW w:type="dxa" w:w="3135"/>
            <w:shd w:val="clear" w:color="auto" w:fill="F4EFE4"/>
          </w:tcPr>
          <w:p>
            <w:pPr>
              <w:ind w:left="85"/>
            </w:pPr>
            <w:r>
              <w:rPr>
                <w:rFonts w:ascii="FreeSerif" w:hAnsi="FreeSerif"/>
                <w:color w:val="3C3C3C"/>
                <w:sz w:val="18"/>
              </w:rPr>
              <w:t>Califat de Sokoto</w:t>
            </w:r>
          </w:p>
        </w:tc>
        <w:tc>
          <w:tcPr>
            <w:tcW w:type="dxa" w:w="3135"/>
            <w:shd w:val="clear" w:color="auto" w:fill="F4EFE4"/>
          </w:tcPr>
          <w:p>
            <w:pPr>
              <w:ind w:left="85"/>
            </w:pPr>
            <w:r>
              <w:rPr>
                <w:rFonts w:ascii="FreeSerif" w:hAnsi="FreeSerif"/>
                <w:color w:val="3C3C3C"/>
                <w:sz w:val="18"/>
              </w:rPr>
              <w:t>1804–1903</w:t>
            </w:r>
          </w:p>
        </w:tc>
        <w:tc>
          <w:tcPr>
            <w:tcW w:type="dxa" w:w="3135"/>
            <w:shd w:val="clear" w:color="auto" w:fill="F4EFE4"/>
          </w:tcPr>
          <w:p>
            <w:pPr>
              <w:ind w:left="85"/>
            </w:pPr>
            <w:r>
              <w:rPr>
                <w:rFonts w:ascii="FreeSerif" w:hAnsi="FreeSerif"/>
                <w:color w:val="3C3C3C"/>
                <w:sz w:val="18"/>
              </w:rPr>
              <w:t>Une des plus grandes entités politiques africaines ; référent actuel des populations haoussa-peules</w:t>
            </w:r>
          </w:p>
        </w:tc>
      </w:tr>
    </w:tbl>
    <w:p/>
    <w:p>
      <w:pPr>
        <w:spacing w:line="312" w:lineRule="auto"/>
      </w:pPr>
      <w:r>
        <w:rPr>
          <w:rFonts w:ascii="FreeSerif" w:hAnsi="FreeSerif"/>
          <w:sz w:val="22"/>
        </w:rPr>
        <w:t>Ces empires sont absents des manuels scolaires africains postcoloniaux, rédigés sur le modèle français.</w:t>
      </w:r>
    </w:p>
    <w:p>
      <w:pPr>
        <w:spacing w:before="280" w:after="120"/>
        <w:pBdr>
          <w:bottom w:val="single" w:sz="7" w:space="3" w:color="A07820"/>
        </w:pBdr>
      </w:pPr>
      <w:r>
        <w:rPr>
          <w:rFonts w:ascii="FreeSerif" w:hAnsi="FreeSerif"/>
          <w:b/>
          <w:color w:val="2C3A4A"/>
          <w:sz w:val="22"/>
        </w:rPr>
        <w:t>Ni paradis perdu, ni page blanche</w:t>
      </w:r>
    </w:p>
    <w:p>
      <w:pPr>
        <w:spacing w:line="312" w:lineRule="auto"/>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line="312" w:lineRule="auto"/>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line="312" w:lineRule="auto"/>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line="312" w:lineRule="auto"/>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line="312" w:lineRule="auto"/>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line="312" w:lineRule="auto"/>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line="312" w:lineRule="auto"/>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line="312" w:lineRule="auto"/>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line="312" w:lineRule="auto"/>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line="312" w:lineRule="auto"/>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line="312" w:lineRule="auto"/>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line="312" w:lineRule="auto"/>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line="312" w:lineRule="auto"/>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Fait</w:t>
            </w:r>
          </w:p>
        </w:tc>
        <w:tc>
          <w:tcPr>
            <w:tcW w:type="dxa" w:w="3135"/>
            <w:shd w:val="clear" w:color="auto" w:fill="2C3A4A"/>
          </w:tcPr>
          <w:p>
            <w:pPr>
              <w:ind w:left="85"/>
            </w:pPr>
            <w:r>
              <w:rPr>
                <w:rFonts w:ascii="FreeSerif" w:hAnsi="FreeSerif"/>
                <w:b/>
                <w:color w:val="FFFFFF"/>
                <w:sz w:val="19"/>
              </w:rPr>
              <w:t>Date</w:t>
            </w:r>
          </w:p>
        </w:tc>
        <w:tc>
          <w:tcPr>
            <w:tcW w:type="dxa" w:w="3135"/>
            <w:shd w:val="clear" w:color="auto" w:fill="2C3A4A"/>
          </w:tcPr>
          <w:p>
            <w:pPr>
              <w:ind w:left="85"/>
            </w:pPr>
            <w:r>
              <w:rPr>
                <w:rFonts w:ascii="FreeSerif" w:hAnsi="FreeSerif"/>
                <w:b/>
                <w:color w:val="FFFFFF"/>
                <w:sz w:val="19"/>
              </w:rPr>
              <w:t>Signification</w:t>
            </w:r>
          </w:p>
        </w:tc>
      </w:tr>
      <w:tr>
        <w:tc>
          <w:tcPr>
            <w:tcW w:type="dxa" w:w="3135"/>
            <w:shd w:val="clear" w:color="auto" w:fill="F4EFE4"/>
          </w:tcPr>
          <w:p>
            <w:pPr>
              <w:ind w:left="85"/>
            </w:pPr>
            <w:r>
              <w:rPr>
                <w:rFonts w:ascii="FreeSerif" w:hAnsi="FreeSerif"/>
                <w:color w:val="3C3C3C"/>
                <w:sz w:val="18"/>
              </w:rPr>
              <w:t>Charte du Mandé / Kouroukan Fouga</w:t>
            </w:r>
          </w:p>
        </w:tc>
        <w:tc>
          <w:tcPr>
            <w:tcW w:type="dxa" w:w="3135"/>
            <w:shd w:val="clear" w:color="auto" w:fill="F4EFE4"/>
          </w:tcPr>
          <w:p>
            <w:pPr>
              <w:ind w:left="85"/>
            </w:pPr>
            <w:r>
              <w:rPr>
                <w:rFonts w:ascii="FreeSerif" w:hAnsi="FreeSerif"/>
                <w:color w:val="3C3C3C"/>
                <w:sz w:val="18"/>
              </w:rPr>
              <w:t>1236</w:t>
            </w:r>
          </w:p>
        </w:tc>
        <w:tc>
          <w:tcPr>
            <w:tcW w:type="dxa" w:w="3135"/>
            <w:shd w:val="clear" w:color="auto" w:fill="F4EFE4"/>
          </w:tcPr>
          <w:p>
            <w:pPr>
              <w:ind w:left="85"/>
            </w:pPr>
            <w:r>
              <w:rPr>
                <w:rFonts w:ascii="FreeSerif" w:hAnsi="FreeSerif"/>
                <w:color w:val="3C3C3C"/>
                <w:sz w:val="18"/>
              </w:rPr>
              <w:t>Sacralité de la vie, égalité, interdiction de réduire en esclavage — l'une des premières déclarations de droits de l'histoire</w:t>
            </w:r>
          </w:p>
        </w:tc>
      </w:tr>
      <w:tr>
        <w:tc>
          <w:tcPr>
            <w:tcW w:type="dxa" w:w="3135"/>
            <w:shd w:val="clear" w:color="auto" w:fill="F4EFE4"/>
          </w:tcPr>
          <w:p>
            <w:pPr>
              <w:ind w:left="85"/>
            </w:pPr>
            <w:r>
              <w:rPr>
                <w:rFonts w:ascii="FreeSerif" w:hAnsi="FreeSerif"/>
                <w:color w:val="3C3C3C"/>
                <w:sz w:val="18"/>
              </w:rPr>
              <w:t>Université de Sankoré, Tombouctou</w:t>
            </w:r>
          </w:p>
        </w:tc>
        <w:tc>
          <w:tcPr>
            <w:tcW w:type="dxa" w:w="3135"/>
            <w:shd w:val="clear" w:color="auto" w:fill="F4EFE4"/>
          </w:tcPr>
          <w:p>
            <w:pPr>
              <w:ind w:left="85"/>
            </w:pPr>
            <w:r>
              <w:rPr>
                <w:rFonts w:ascii="FreeSerif" w:hAnsi="FreeSerif"/>
                <w:color w:val="3C3C3C"/>
                <w:sz w:val="18"/>
              </w:rPr>
              <w:t>XVe siècle</w:t>
            </w:r>
          </w:p>
        </w:tc>
        <w:tc>
          <w:tcPr>
            <w:tcW w:type="dxa" w:w="3135"/>
            <w:shd w:val="clear" w:color="auto" w:fill="F4EFE4"/>
          </w:tcPr>
          <w:p>
            <w:pPr>
              <w:ind w:left="85"/>
            </w:pPr>
            <w:r>
              <w:rPr>
                <w:rFonts w:ascii="FreeSerif" w:hAnsi="FreeSerif"/>
                <w:color w:val="3C3C3C"/>
                <w:sz w:val="18"/>
              </w:rPr>
              <w:t>Jusqu'à 25 000 étudiants ; ville de ~100 000 habitants</w:t>
            </w:r>
          </w:p>
        </w:tc>
      </w:tr>
      <w:tr>
        <w:tc>
          <w:tcPr>
            <w:tcW w:type="dxa" w:w="3135"/>
            <w:shd w:val="clear" w:color="auto" w:fill="F4EFE4"/>
          </w:tcPr>
          <w:p>
            <w:pPr>
              <w:ind w:left="85"/>
            </w:pPr>
            <w:r>
              <w:rPr>
                <w:rFonts w:ascii="FreeSerif" w:hAnsi="FreeSerif"/>
                <w:color w:val="3C3C3C"/>
                <w:sz w:val="18"/>
              </w:rPr>
              <w:t>Manuscrits de Tombouctou</w:t>
            </w:r>
          </w:p>
        </w:tc>
        <w:tc>
          <w:tcPr>
            <w:tcW w:type="dxa" w:w="3135"/>
            <w:shd w:val="clear" w:color="auto" w:fill="F4EFE4"/>
          </w:tcPr>
          <w:p>
            <w:pPr>
              <w:ind w:left="85"/>
            </w:pPr>
            <w:r>
              <w:rPr>
                <w:rFonts w:ascii="FreeSerif" w:hAnsi="FreeSerif"/>
                <w:color w:val="3C3C3C"/>
                <w:sz w:val="18"/>
              </w:rPr>
              <w:t>XVe–XIXe siècle</w:t>
            </w:r>
          </w:p>
        </w:tc>
        <w:tc>
          <w:tcPr>
            <w:tcW w:type="dxa" w:w="3135"/>
            <w:shd w:val="clear" w:color="auto" w:fill="F4EFE4"/>
          </w:tcPr>
          <w:p>
            <w:pPr>
              <w:ind w:left="85"/>
            </w:pPr>
            <w:r>
              <w:rPr>
                <w:rFonts w:ascii="FreeSerif" w:hAnsi="FreeSerif"/>
                <w:color w:val="3C3C3C"/>
                <w:sz w:val="18"/>
              </w:rPr>
              <w:t>Plusieurs centaines de milliers de textes — médecine, mathématiques, philosophie, droit</w:t>
            </w:r>
          </w:p>
        </w:tc>
      </w:tr>
      <w:tr>
        <w:tc>
          <w:tcPr>
            <w:tcW w:type="dxa" w:w="3135"/>
            <w:shd w:val="clear" w:color="auto" w:fill="F4EFE4"/>
          </w:tcPr>
          <w:p>
            <w:pPr>
              <w:ind w:left="85"/>
            </w:pPr>
            <w:r>
              <w:rPr>
                <w:rFonts w:ascii="FreeSerif" w:hAnsi="FreeSerif"/>
                <w:color w:val="3C3C3C"/>
                <w:sz w:val="18"/>
              </w:rPr>
              <w:t xml:space="preserve">Cheikh Anta Diop, </w:t>
            </w:r>
            <w:r>
              <w:rPr>
                <w:rFonts w:ascii="FreeSerif" w:hAnsi="FreeSerif"/>
                <w:i/>
                <w:color w:val="3C3C3C"/>
                <w:sz w:val="18"/>
              </w:rPr>
              <w:t>Nations nègres et culture</w:t>
            </w:r>
          </w:p>
        </w:tc>
        <w:tc>
          <w:tcPr>
            <w:tcW w:type="dxa" w:w="3135"/>
            <w:shd w:val="clear" w:color="auto" w:fill="F4EFE4"/>
          </w:tcPr>
          <w:p>
            <w:pPr>
              <w:ind w:left="85"/>
            </w:pPr>
            <w:r>
              <w:rPr>
                <w:rFonts w:ascii="FreeSerif" w:hAnsi="FreeSerif"/>
                <w:color w:val="3C3C3C"/>
                <w:sz w:val="18"/>
              </w:rPr>
              <w:t>1954</w:t>
            </w:r>
          </w:p>
        </w:tc>
        <w:tc>
          <w:tcPr>
            <w:tcW w:type="dxa" w:w="3135"/>
            <w:shd w:val="clear" w:color="auto" w:fill="F4EFE4"/>
          </w:tcPr>
          <w:p>
            <w:pPr>
              <w:ind w:left="85"/>
            </w:pPr>
            <w:r>
              <w:rPr>
                <w:rFonts w:ascii="FreeSerif" w:hAnsi="FreeSerif"/>
                <w:color w:val="3C3C3C"/>
                <w:sz w:val="18"/>
              </w:rPr>
              <w:t>Première réfutation systématique de l'idéologie de la table rase africaine</w:t>
            </w:r>
          </w:p>
        </w:tc>
      </w:tr>
      <w:tr>
        <w:tc>
          <w:tcPr>
            <w:tcW w:type="dxa" w:w="3135"/>
            <w:shd w:val="clear" w:color="auto" w:fill="F4EFE4"/>
          </w:tcPr>
          <w:p>
            <w:pPr>
              <w:ind w:left="85"/>
            </w:pPr>
            <w:r>
              <w:rPr>
                <w:rFonts w:ascii="FreeSerif" w:hAnsi="FreeSerif"/>
                <w:color w:val="3C3C3C"/>
                <w:sz w:val="18"/>
              </w:rPr>
              <w:t>Colloque UNESCO du Caire</w:t>
            </w:r>
          </w:p>
        </w:tc>
        <w:tc>
          <w:tcPr>
            <w:tcW w:type="dxa" w:w="3135"/>
            <w:shd w:val="clear" w:color="auto" w:fill="F4EFE4"/>
          </w:tcPr>
          <w:p>
            <w:pPr>
              <w:ind w:left="85"/>
            </w:pPr>
            <w:r>
              <w:rPr>
                <w:rFonts w:ascii="FreeSerif" w:hAnsi="FreeSerif"/>
                <w:color w:val="3C3C3C"/>
                <w:sz w:val="18"/>
              </w:rPr>
              <w:t>1974</w:t>
            </w:r>
          </w:p>
        </w:tc>
        <w:tc>
          <w:tcPr>
            <w:tcW w:type="dxa" w:w="3135"/>
            <w:shd w:val="clear" w:color="auto" w:fill="F4EFE4"/>
          </w:tcPr>
          <w:p>
            <w:pPr>
              <w:ind w:left="85"/>
            </w:pPr>
            <w:r>
              <w:rPr>
                <w:rFonts w:ascii="FreeSerif" w:hAnsi="FreeSerif"/>
                <w:color w:val="3C3C3C"/>
                <w:sz w:val="18"/>
              </w:rPr>
              <w:t>Diop y défend ses thèses face aux plus grands égyptologues du monde</w:t>
            </w:r>
          </w:p>
        </w:tc>
      </w:tr>
    </w:tbl>
    <w:p/>
    <w:p>
      <w:pPr>
        <w:spacing w:before="280" w:after="120"/>
        <w:pBdr>
          <w:bottom w:val="single" w:sz="7" w:space="3" w:color="A07820"/>
        </w:pBdr>
      </w:pPr>
      <w:r>
        <w:rPr>
          <w:rFonts w:ascii="FreeSerif" w:hAnsi="FreeSerif"/>
          <w:b/>
          <w:color w:val="2C3A4A"/>
          <w:sz w:val="22"/>
        </w:rPr>
        <w:t>Hérodote, Diop et la preuve par convergence</w:t>
      </w:r>
    </w:p>
    <w:p>
      <w:pPr>
        <w:spacing w:line="312" w:lineRule="auto"/>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line="312" w:lineRule="auto"/>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line="312" w:lineRule="auto"/>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line="312" w:lineRule="auto"/>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line="312" w:lineRule="auto"/>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line="312" w:lineRule="auto"/>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line="312" w:lineRule="auto"/>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line="312" w:lineRule="auto"/>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line="312" w:lineRule="auto"/>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line="312" w:lineRule="auto"/>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line="312" w:lineRule="auto"/>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line="312" w:lineRule="auto"/>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line="312" w:lineRule="auto"/>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line="312" w:lineRule="auto"/>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line="312" w:lineRule="auto"/>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Date</w:t>
            </w:r>
          </w:p>
        </w:tc>
        <w:tc>
          <w:tcPr>
            <w:tcW w:type="dxa" w:w="4703"/>
            <w:shd w:val="clear" w:color="auto" w:fill="2C3A4A"/>
          </w:tcPr>
          <w:p>
            <w:pPr>
              <w:ind w:left="85"/>
            </w:pPr>
            <w:r>
              <w:rPr>
                <w:rFonts w:ascii="FreeSerif" w:hAnsi="FreeSerif"/>
                <w:b/>
                <w:color w:val="FFFFFF"/>
                <w:sz w:val="19"/>
              </w:rPr>
              <w:t>Événement</w:t>
            </w:r>
          </w:p>
        </w:tc>
      </w:tr>
      <w:tr>
        <w:tc>
          <w:tcPr>
            <w:tcW w:type="dxa" w:w="4703"/>
            <w:shd w:val="clear" w:color="auto" w:fill="F4EFE4"/>
          </w:tcPr>
          <w:p>
            <w:pPr>
              <w:ind w:left="85"/>
            </w:pPr>
            <w:r>
              <w:rPr>
                <w:rFonts w:ascii="FreeSerif" w:hAnsi="FreeSerif"/>
                <w:color w:val="3C3C3C"/>
                <w:sz w:val="18"/>
              </w:rPr>
              <w:t>15 novembre 1884</w:t>
            </w:r>
          </w:p>
        </w:tc>
        <w:tc>
          <w:tcPr>
            <w:tcW w:type="dxa" w:w="4703"/>
            <w:shd w:val="clear" w:color="auto" w:fill="F4EFE4"/>
          </w:tcPr>
          <w:p>
            <w:pPr>
              <w:ind w:left="85"/>
            </w:pPr>
            <w:r>
              <w:rPr>
                <w:rFonts w:ascii="FreeSerif" w:hAnsi="FreeSerif"/>
                <w:color w:val="3C3C3C"/>
                <w:sz w:val="18"/>
              </w:rPr>
              <w:t>Ouverture de la conférence dans la résidence du chancelier Bismarck, à Berlin</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Quatorze puissances européennes et les États-Unis autour de la table ; aucun représentant africain</w:t>
            </w:r>
          </w:p>
        </w:tc>
      </w:tr>
      <w:tr>
        <w:tc>
          <w:tcPr>
            <w:tcW w:type="dxa" w:w="4703"/>
            <w:shd w:val="clear" w:color="auto" w:fill="F4EFE4"/>
          </w:tcPr>
          <w:p>
            <w:pPr>
              <w:ind w:left="85"/>
            </w:pPr>
            <w:r>
              <w:rPr>
                <w:rFonts w:ascii="FreeSerif" w:hAnsi="FreeSerif"/>
                <w:color w:val="3C3C3C"/>
                <w:sz w:val="18"/>
              </w:rPr>
              <w:t>26 février 1885</w:t>
            </w:r>
          </w:p>
        </w:tc>
        <w:tc>
          <w:tcPr>
            <w:tcW w:type="dxa" w:w="4703"/>
            <w:shd w:val="clear" w:color="auto" w:fill="F4EFE4"/>
          </w:tcPr>
          <w:p>
            <w:pPr>
              <w:ind w:left="85"/>
            </w:pPr>
            <w:r>
              <w:rPr>
                <w:rFonts w:ascii="FreeSerif" w:hAnsi="FreeSerif"/>
                <w:color w:val="3C3C3C"/>
                <w:sz w:val="18"/>
              </w:rPr>
              <w:t>Clôture — l'Afrique est découpée en zones d'influence, ses fleuves ouverts à la navigation européenne</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Première conférence internationale de l'histoire consacrée exclusivement à un continent absent des débats</w:t>
            </w:r>
          </w:p>
        </w:tc>
      </w:tr>
    </w:tbl>
    <w:p/>
    <w:p>
      <w:pPr>
        <w:spacing w:before="280" w:after="120"/>
        <w:pBdr>
          <w:bottom w:val="single" w:sz="7" w:space="3" w:color="A07820"/>
        </w:pBdr>
      </w:pPr>
      <w:r>
        <w:rPr>
          <w:rFonts w:ascii="FreeSerif" w:hAnsi="FreeSerif"/>
          <w:b/>
          <w:color w:val="2C3A4A"/>
          <w:sz w:val="22"/>
        </w:rPr>
        <w:t>Le piège des micro-États</w:t>
      </w:r>
    </w:p>
    <w:p>
      <w:pPr>
        <w:spacing w:line="312" w:lineRule="auto"/>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line="312" w:lineRule="auto"/>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line="312" w:lineRule="auto"/>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line="312" w:lineRule="auto"/>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line="312" w:lineRule="auto"/>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line="312" w:lineRule="auto"/>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line="312" w:lineRule="auto"/>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line="312" w:lineRule="auto"/>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line="312" w:lineRule="auto"/>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line="312" w:lineRule="auto"/>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line="312" w:lineRule="auto"/>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line="312" w:lineRule="auto"/>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line="312" w:lineRule="auto"/>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line="312" w:lineRule="auto"/>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line="312" w:lineRule="auto"/>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line="312" w:lineRule="auto"/>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line="312" w:lineRule="auto"/>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line="312" w:lineRule="auto"/>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line="312" w:lineRule="auto"/>
      </w:pPr>
      <w:r>
        <w:rPr>
          <w:rFonts w:ascii="FreeSerif" w:hAnsi="FreeSerif"/>
          <w:sz w:val="22"/>
        </w:rPr>
        <w:t>Samory n'était pas seul. La conquête a rencontré, partout au Sahel, des hommes qui ont préféré la guerre, et parfois la mort, à la reddition.</w:t>
      </w:r>
    </w:p>
    <w:p>
      <w:pPr>
        <w:spacing w:line="312" w:lineRule="auto"/>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line="312" w:lineRule="auto"/>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line="312" w:lineRule="auto"/>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Figure</w:t>
            </w:r>
          </w:p>
        </w:tc>
        <w:tc>
          <w:tcPr>
            <w:tcW w:type="dxa" w:w="3135"/>
            <w:shd w:val="clear" w:color="auto" w:fill="2C3A4A"/>
          </w:tcPr>
          <w:p>
            <w:pPr>
              <w:ind w:left="85"/>
            </w:pPr>
            <w:r>
              <w:rPr>
                <w:rFonts w:ascii="FreeSerif" w:hAnsi="FreeSerif"/>
                <w:b/>
                <w:color w:val="FFFFFF"/>
                <w:sz w:val="19"/>
              </w:rPr>
              <w:t>Résistance</w:t>
            </w:r>
          </w:p>
        </w:tc>
        <w:tc>
          <w:tcPr>
            <w:tcW w:type="dxa" w:w="3135"/>
            <w:shd w:val="clear" w:color="auto" w:fill="2C3A4A"/>
          </w:tcPr>
          <w:p>
            <w:pPr>
              <w:ind w:left="85"/>
            </w:pPr>
            <w:r>
              <w:rPr>
                <w:rFonts w:ascii="FreeSerif" w:hAnsi="FreeSerif"/>
                <w:b/>
                <w:color w:val="FFFFFF"/>
                <w:sz w:val="19"/>
              </w:rPr>
              <w:t>Fin</w:t>
            </w:r>
          </w:p>
        </w:tc>
      </w:tr>
      <w:tr>
        <w:tc>
          <w:tcPr>
            <w:tcW w:type="dxa" w:w="3135"/>
            <w:shd w:val="clear" w:color="auto" w:fill="F4EFE4"/>
          </w:tcPr>
          <w:p>
            <w:pPr>
              <w:ind w:left="85"/>
            </w:pPr>
            <w:r>
              <w:rPr>
                <w:rFonts w:ascii="FreeSerif" w:hAnsi="FreeSerif"/>
                <w:color w:val="3C3C3C"/>
                <w:sz w:val="18"/>
              </w:rPr>
              <w:t>El Hadj Omar Tall</w:t>
            </w:r>
          </w:p>
        </w:tc>
        <w:tc>
          <w:tcPr>
            <w:tcW w:type="dxa" w:w="3135"/>
            <w:shd w:val="clear" w:color="auto" w:fill="F4EFE4"/>
          </w:tcPr>
          <w:p>
            <w:pPr>
              <w:ind w:left="85"/>
            </w:pPr>
            <w:r>
              <w:rPr>
                <w:rFonts w:ascii="FreeSerif" w:hAnsi="FreeSerif"/>
                <w:color w:val="3C3C3C"/>
                <w:sz w:val="18"/>
              </w:rPr>
              <w:t>Théocratie toucouleur ; résistance islamique à la colonisation</w:t>
            </w:r>
          </w:p>
        </w:tc>
        <w:tc>
          <w:tcPr>
            <w:tcW w:type="dxa" w:w="3135"/>
            <w:shd w:val="clear" w:color="auto" w:fill="F4EFE4"/>
          </w:tcPr>
          <w:p>
            <w:pPr>
              <w:ind w:left="85"/>
            </w:pPr>
            <w:r>
              <w:rPr>
                <w:rFonts w:ascii="FreeSerif" w:hAnsi="FreeSerif"/>
                <w:color w:val="3C3C3C"/>
                <w:sz w:val="18"/>
              </w:rPr>
              <w:t>Disparaît dans une grotte au nord du Mali (1864)</w:t>
            </w:r>
          </w:p>
        </w:tc>
      </w:tr>
      <w:tr>
        <w:tc>
          <w:tcPr>
            <w:tcW w:type="dxa" w:w="3135"/>
            <w:shd w:val="clear" w:color="auto" w:fill="F4EFE4"/>
          </w:tcPr>
          <w:p>
            <w:pPr>
              <w:ind w:left="85"/>
            </w:pPr>
            <w:r>
              <w:rPr>
                <w:rFonts w:ascii="FreeSerif" w:hAnsi="FreeSerif"/>
                <w:color w:val="3C3C3C"/>
                <w:sz w:val="18"/>
              </w:rPr>
              <w:t>Samory Touré (vers 1830–1900)</w:t>
            </w:r>
          </w:p>
        </w:tc>
        <w:tc>
          <w:tcPr>
            <w:tcW w:type="dxa" w:w="3135"/>
            <w:shd w:val="clear" w:color="auto" w:fill="F4EFE4"/>
          </w:tcPr>
          <w:p>
            <w:pPr>
              <w:ind w:left="85"/>
            </w:pPr>
            <w:r>
              <w:rPr>
                <w:rFonts w:ascii="FreeSerif" w:hAnsi="FreeSerif"/>
                <w:color w:val="3C3C3C"/>
                <w:sz w:val="18"/>
              </w:rPr>
              <w:t>Empire du Wassoulou ; seize ans de résistance armée</w:t>
            </w:r>
          </w:p>
        </w:tc>
        <w:tc>
          <w:tcPr>
            <w:tcW w:type="dxa" w:w="3135"/>
            <w:shd w:val="clear" w:color="auto" w:fill="F4EFE4"/>
          </w:tcPr>
          <w:p>
            <w:pPr>
              <w:ind w:left="85"/>
            </w:pPr>
            <w:r>
              <w:rPr>
                <w:rFonts w:ascii="FreeSerif" w:hAnsi="FreeSerif"/>
                <w:color w:val="3C3C3C"/>
                <w:sz w:val="18"/>
              </w:rPr>
              <w:t>Capturé en 1898, déporté au Gabon où il meurt</w:t>
            </w:r>
          </w:p>
        </w:tc>
      </w:tr>
      <w:tr>
        <w:tc>
          <w:tcPr>
            <w:tcW w:type="dxa" w:w="3135"/>
            <w:shd w:val="clear" w:color="auto" w:fill="F4EFE4"/>
          </w:tcPr>
          <w:p>
            <w:pPr>
              <w:ind w:left="85"/>
            </w:pPr>
            <w:r>
              <w:rPr>
                <w:rFonts w:ascii="FreeSerif" w:hAnsi="FreeSerif"/>
                <w:color w:val="3C3C3C"/>
                <w:sz w:val="18"/>
              </w:rPr>
              <w:t>Babemba Traoré</w:t>
            </w:r>
          </w:p>
        </w:tc>
        <w:tc>
          <w:tcPr>
            <w:tcW w:type="dxa" w:w="3135"/>
            <w:shd w:val="clear" w:color="auto" w:fill="F4EFE4"/>
          </w:tcPr>
          <w:p>
            <w:pPr>
              <w:ind w:left="85"/>
            </w:pPr>
            <w:r>
              <w:rPr>
                <w:rFonts w:ascii="FreeSerif" w:hAnsi="FreeSerif"/>
                <w:color w:val="3C3C3C"/>
                <w:sz w:val="18"/>
              </w:rPr>
              <w:t>Roi du Kenédougou</w:t>
            </w:r>
          </w:p>
        </w:tc>
        <w:tc>
          <w:tcPr>
            <w:tcW w:type="dxa" w:w="3135"/>
            <w:shd w:val="clear" w:color="auto" w:fill="F4EFE4"/>
          </w:tcPr>
          <w:p>
            <w:pPr>
              <w:ind w:left="85"/>
            </w:pPr>
            <w:r>
              <w:rPr>
                <w:rFonts w:ascii="FreeSerif" w:hAnsi="FreeSerif"/>
                <w:color w:val="3C3C3C"/>
                <w:sz w:val="18"/>
              </w:rPr>
              <w:t>Se suicide à Sikasso en 1898 plutôt que de se rendre</w:t>
            </w:r>
          </w:p>
        </w:tc>
      </w:tr>
      <w:tr>
        <w:tc>
          <w:tcPr>
            <w:tcW w:type="dxa" w:w="3135"/>
            <w:shd w:val="clear" w:color="auto" w:fill="F4EFE4"/>
          </w:tcPr>
          <w:p>
            <w:pPr>
              <w:ind w:left="85"/>
            </w:pPr>
            <w:r>
              <w:rPr>
                <w:rFonts w:ascii="FreeSerif" w:hAnsi="FreeSerif"/>
                <w:color w:val="3C3C3C"/>
                <w:sz w:val="18"/>
              </w:rPr>
              <w:t>Rabah Fadlallah</w:t>
            </w:r>
          </w:p>
        </w:tc>
        <w:tc>
          <w:tcPr>
            <w:tcW w:type="dxa" w:w="3135"/>
            <w:shd w:val="clear" w:color="auto" w:fill="F4EFE4"/>
          </w:tcPr>
          <w:p>
            <w:pPr>
              <w:ind w:left="85"/>
            </w:pPr>
            <w:r>
              <w:rPr>
                <w:rFonts w:ascii="FreeSerif" w:hAnsi="FreeSerif"/>
                <w:color w:val="3C3C3C"/>
                <w:sz w:val="18"/>
              </w:rPr>
              <w:t>Conquérant du Bornou</w:t>
            </w:r>
          </w:p>
        </w:tc>
        <w:tc>
          <w:tcPr>
            <w:tcW w:type="dxa" w:w="3135"/>
            <w:shd w:val="clear" w:color="auto" w:fill="F4EFE4"/>
          </w:tcPr>
          <w:p>
            <w:pPr>
              <w:ind w:left="85"/>
            </w:pPr>
            <w:r>
              <w:rPr>
                <w:rFonts w:ascii="FreeSerif" w:hAnsi="FreeSerif"/>
                <w:color w:val="3C3C3C"/>
                <w:sz w:val="18"/>
              </w:rPr>
              <w:t>Vaincu et tué à la bataille de Kousseri (1900)</w:t>
            </w:r>
          </w:p>
        </w:tc>
      </w:tr>
    </w:tbl>
    <w:p/>
    <w:p>
      <w:pPr>
        <w:spacing w:line="312" w:lineRule="auto"/>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line="312" w:lineRule="auto"/>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line="312" w:lineRule="auto"/>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Le double effacement</w:t>
      </w:r>
    </w:p>
    <w:p>
      <w:pPr>
        <w:spacing w:line="312" w:lineRule="auto"/>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line="312" w:lineRule="auto"/>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line="312" w:lineRule="auto"/>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line="312" w:lineRule="auto"/>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line="312" w:lineRule="auto"/>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line="312" w:lineRule="auto"/>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line="312" w:lineRule="auto"/>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line="312" w:lineRule="auto"/>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line="312" w:lineRule="auto"/>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line="312" w:lineRule="auto"/>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line="312" w:lineRule="auto"/>
      </w:pPr>
      <w:r>
        <w:rPr>
          <w:rFonts w:ascii="FreeSerif" w:hAnsi="FreeSerif"/>
          <w:sz w:val="22"/>
        </w:rPr>
        <w:t>Une construction précise, méthodique, documentée.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line="312" w:lineRule="auto"/>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line="312" w:lineRule="auto"/>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line="312" w:lineRule="auto"/>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line="312" w:lineRule="auto"/>
      </w:pPr>
      <w:r>
        <w:rPr>
          <w:rFonts w:ascii="FreeSerif" w:hAnsi="FreeSerif"/>
          <w:sz w:val="22"/>
        </w:rPr>
        <w:t>La Françafrique naît dans l'euphorie des indépendances, invisible, enfouie dans les sous-clauses de traités que personne ne lira.</w:t>
      </w:r>
    </w:p>
    <w:p>
      <w:pPr>
        <w:spacing w:line="312" w:lineRule="auto"/>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line="312" w:lineRule="auto"/>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line="312" w:lineRule="auto"/>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line="312" w:lineRule="auto"/>
      </w:pPr>
      <w:r>
        <w:rPr>
          <w:rFonts w:ascii="FreeSerif" w:hAnsi="FreeSerif"/>
          <w:sz w:val="22"/>
        </w:rPr>
        <w:t>La Guinée vote non. Elle devient indépendante le 2 octobre 1958, deux ans avant les autres.</w:t>
      </w:r>
    </w:p>
    <w:p>
      <w:pPr>
        <w:spacing w:line="312" w:lineRule="auto"/>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line="312" w:lineRule="auto"/>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line="312" w:lineRule="auto"/>
      </w:pPr>
      <w:r>
        <w:rPr>
          <w:rFonts w:ascii="FreeSerif" w:hAnsi="FreeSerif"/>
          <w:sz w:val="22"/>
        </w:rPr>
        <w:t>Ce que risquaient ceux qui prenaient l'indépendance au sérieux, quatre destins suffisent à le dire.</w:t>
      </w:r>
    </w:p>
    <w:p>
      <w:pPr>
        <w:spacing w:line="312" w:lineRule="auto"/>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line="312" w:lineRule="auto"/>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line="312" w:lineRule="auto"/>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line="312" w:lineRule="auto"/>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line="312" w:lineRule="auto"/>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Pays</w:t>
            </w:r>
          </w:p>
        </w:tc>
        <w:tc>
          <w:tcPr>
            <w:tcW w:type="dxa" w:w="3135"/>
            <w:shd w:val="clear" w:color="auto" w:fill="2C3A4A"/>
          </w:tcPr>
          <w:p>
            <w:pPr>
              <w:ind w:left="85"/>
            </w:pPr>
            <w:r>
              <w:rPr>
                <w:rFonts w:ascii="FreeSerif" w:hAnsi="FreeSerif"/>
                <w:b/>
                <w:color w:val="FFFFFF"/>
                <w:sz w:val="19"/>
              </w:rPr>
              <w:t>Date d'indépendance</w:t>
            </w:r>
          </w:p>
        </w:tc>
        <w:tc>
          <w:tcPr>
            <w:tcW w:type="dxa" w:w="3135"/>
            <w:shd w:val="clear" w:color="auto" w:fill="2C3A4A"/>
          </w:tcPr>
          <w:p>
            <w:pPr>
              <w:ind w:left="85"/>
            </w:pPr>
            <w:r>
              <w:rPr>
                <w:rFonts w:ascii="FreeSerif" w:hAnsi="FreeSerif"/>
                <w:b/>
                <w:color w:val="FFFFFF"/>
                <w:sz w:val="19"/>
              </w:rPr>
              <w:t>Rang IDH 2023 (PNUD)</w:t>
            </w:r>
          </w:p>
        </w:tc>
      </w:tr>
      <w:tr>
        <w:tc>
          <w:tcPr>
            <w:tcW w:type="dxa" w:w="3135"/>
            <w:shd w:val="clear" w:color="auto" w:fill="F4EFE4"/>
          </w:tcPr>
          <w:p>
            <w:pPr>
              <w:ind w:left="85"/>
            </w:pPr>
            <w:r>
              <w:rPr>
                <w:rFonts w:ascii="FreeSerif" w:hAnsi="FreeSerif"/>
                <w:color w:val="3C3C3C"/>
                <w:sz w:val="18"/>
              </w:rPr>
              <w:t>Niger</w:t>
            </w:r>
          </w:p>
        </w:tc>
        <w:tc>
          <w:tcPr>
            <w:tcW w:type="dxa" w:w="3135"/>
            <w:shd w:val="clear" w:color="auto" w:fill="F4EFE4"/>
          </w:tcPr>
          <w:p>
            <w:pPr>
              <w:ind w:left="85"/>
            </w:pPr>
            <w:r>
              <w:rPr>
                <w:rFonts w:ascii="FreeSerif" w:hAnsi="FreeSerif"/>
                <w:color w:val="3C3C3C"/>
                <w:sz w:val="18"/>
              </w:rPr>
              <w:t>3 août 1960</w:t>
            </w:r>
          </w:p>
        </w:tc>
        <w:tc>
          <w:tcPr>
            <w:tcW w:type="dxa" w:w="3135"/>
            <w:shd w:val="clear" w:color="auto" w:fill="F4EFE4"/>
          </w:tcPr>
          <w:p>
            <w:pPr>
              <w:ind w:left="85"/>
            </w:pPr>
            <w:r>
              <w:rPr>
                <w:rFonts w:ascii="FreeSerif" w:hAnsi="FreeSerif"/>
                <w:color w:val="3C3C3C"/>
                <w:sz w:val="18"/>
              </w:rPr>
              <w:t>189e/191</w:t>
            </w:r>
          </w:p>
        </w:tc>
      </w:tr>
      <w:tr>
        <w:tc>
          <w:tcPr>
            <w:tcW w:type="dxa" w:w="3135"/>
            <w:shd w:val="clear" w:color="auto" w:fill="F4EFE4"/>
          </w:tcPr>
          <w:p>
            <w:pPr>
              <w:ind w:left="85"/>
            </w:pPr>
            <w:r>
              <w:rPr>
                <w:rFonts w:ascii="FreeSerif" w:hAnsi="FreeSerif"/>
                <w:color w:val="3C3C3C"/>
                <w:sz w:val="18"/>
              </w:rPr>
              <w:t>Mali</w:t>
            </w:r>
          </w:p>
        </w:tc>
        <w:tc>
          <w:tcPr>
            <w:tcW w:type="dxa" w:w="3135"/>
            <w:shd w:val="clear" w:color="auto" w:fill="F4EFE4"/>
          </w:tcPr>
          <w:p>
            <w:pPr>
              <w:ind w:left="85"/>
            </w:pPr>
            <w:r>
              <w:rPr>
                <w:rFonts w:ascii="FreeSerif" w:hAnsi="FreeSerif"/>
                <w:color w:val="3C3C3C"/>
                <w:sz w:val="18"/>
              </w:rPr>
              <w:t>22 septembre 1960</w:t>
            </w:r>
          </w:p>
        </w:tc>
        <w:tc>
          <w:tcPr>
            <w:tcW w:type="dxa" w:w="3135"/>
            <w:shd w:val="clear" w:color="auto" w:fill="F4EFE4"/>
          </w:tcPr>
          <w:p>
            <w:pPr>
              <w:ind w:left="85"/>
            </w:pPr>
            <w:r>
              <w:rPr>
                <w:rFonts w:ascii="FreeSerif" w:hAnsi="FreeSerif"/>
                <w:color w:val="3C3C3C"/>
                <w:sz w:val="18"/>
              </w:rPr>
              <w:t>185e/191</w:t>
            </w:r>
          </w:p>
        </w:tc>
      </w:tr>
      <w:tr>
        <w:tc>
          <w:tcPr>
            <w:tcW w:type="dxa" w:w="3135"/>
            <w:shd w:val="clear" w:color="auto" w:fill="F4EFE4"/>
          </w:tcPr>
          <w:p>
            <w:pPr>
              <w:ind w:left="85"/>
            </w:pPr>
            <w:r>
              <w:rPr>
                <w:rFonts w:ascii="FreeSerif" w:hAnsi="FreeSerif"/>
                <w:color w:val="3C3C3C"/>
                <w:sz w:val="18"/>
              </w:rPr>
              <w:t>Burkina Faso (ex-Haute-Volta)</w:t>
            </w:r>
          </w:p>
        </w:tc>
        <w:tc>
          <w:tcPr>
            <w:tcW w:type="dxa" w:w="3135"/>
            <w:shd w:val="clear" w:color="auto" w:fill="F4EFE4"/>
          </w:tcPr>
          <w:p>
            <w:pPr>
              <w:ind w:left="85"/>
            </w:pPr>
            <w:r>
              <w:rPr>
                <w:rFonts w:ascii="FreeSerif" w:hAnsi="FreeSerif"/>
                <w:color w:val="3C3C3C"/>
                <w:sz w:val="18"/>
              </w:rPr>
              <w:t>5 août 1960</w:t>
            </w:r>
          </w:p>
        </w:tc>
        <w:tc>
          <w:tcPr>
            <w:tcW w:type="dxa" w:w="3135"/>
            <w:shd w:val="clear" w:color="auto" w:fill="F4EFE4"/>
          </w:tcPr>
          <w:p>
            <w:pPr>
              <w:ind w:left="85"/>
            </w:pPr>
            <w:r>
              <w:rPr>
                <w:rFonts w:ascii="FreeSerif" w:hAnsi="FreeSerif"/>
                <w:color w:val="3C3C3C"/>
                <w:sz w:val="18"/>
              </w:rPr>
              <w:t>184e/191</w:t>
            </w:r>
          </w:p>
        </w:tc>
      </w:tr>
      <w:tr>
        <w:tc>
          <w:tcPr>
            <w:tcW w:type="dxa" w:w="3135"/>
            <w:shd w:val="clear" w:color="auto" w:fill="F4EFE4"/>
          </w:tcPr>
          <w:p>
            <w:pPr>
              <w:ind w:left="85"/>
            </w:pPr>
            <w:r>
              <w:rPr>
                <w:rFonts w:ascii="FreeSerif" w:hAnsi="FreeSerif"/>
                <w:color w:val="3C3C3C"/>
                <w:sz w:val="18"/>
              </w:rPr>
              <w:t>Guinée</w:t>
            </w:r>
          </w:p>
        </w:tc>
        <w:tc>
          <w:tcPr>
            <w:tcW w:type="dxa" w:w="3135"/>
            <w:shd w:val="clear" w:color="auto" w:fill="F4EFE4"/>
          </w:tcPr>
          <w:p>
            <w:pPr>
              <w:ind w:left="85"/>
            </w:pPr>
            <w:r>
              <w:rPr>
                <w:rFonts w:ascii="FreeSerif" w:hAnsi="FreeSerif"/>
                <w:color w:val="3C3C3C"/>
                <w:sz w:val="18"/>
              </w:rPr>
              <w:t>2 octobre 1958 (a dit non)</w:t>
            </w:r>
          </w:p>
        </w:tc>
        <w:tc>
          <w:tcPr>
            <w:tcW w:type="dxa" w:w="3135"/>
            <w:shd w:val="clear" w:color="auto" w:fill="F4EFE4"/>
          </w:tcPr>
          <w:p>
            <w:pPr>
              <w:ind w:left="85"/>
            </w:pPr>
            <w:r>
              <w:rPr>
                <w:rFonts w:ascii="FreeSerif" w:hAnsi="FreeSerif"/>
                <w:color w:val="3C3C3C"/>
                <w:sz w:val="18"/>
              </w:rPr>
              <w:t>—</w:t>
            </w:r>
          </w:p>
        </w:tc>
      </w:tr>
    </w:tbl>
    <w:p/>
    <w:p>
      <w:pPr>
        <w:spacing w:line="312" w:lineRule="auto"/>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line="312" w:lineRule="auto"/>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line="312" w:lineRule="auto"/>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line="312" w:lineRule="auto"/>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line="312" w:lineRule="auto"/>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line="312" w:lineRule="auto"/>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line="312" w:lineRule="auto"/>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line="312" w:lineRule="auto"/>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line="312" w:lineRule="auto"/>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line="312" w:lineRule="auto"/>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line="312" w:lineRule="auto"/>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line="312" w:lineRule="auto"/>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line="312" w:lineRule="auto"/>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line="312" w:lineRule="auto"/>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line="312" w:lineRule="auto"/>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line="312" w:lineRule="auto"/>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line="312" w:lineRule="auto"/>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La chaîne du pillage, racontée par ses maillons</w:t>
      </w:r>
    </w:p>
    <w:p>
      <w:pPr>
        <w:spacing w:line="312" w:lineRule="auto"/>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line="312" w:lineRule="auto"/>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line="312" w:lineRule="auto"/>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line="312" w:lineRule="auto"/>
      </w:pPr>
      <w:r>
        <w:rPr>
          <w:rFonts w:ascii="FreeSerif" w:hAnsi="FreeSerif"/>
          <w:sz w:val="22"/>
        </w:rPr>
        <w:t>Deux anciens ministres, deux pays, la même histoire.</w:t>
      </w:r>
    </w:p>
    <w:p>
      <w:pPr>
        <w:spacing w:line="312" w:lineRule="auto"/>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line="312" w:lineRule="auto"/>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Étape</w:t>
            </w:r>
          </w:p>
        </w:tc>
        <w:tc>
          <w:tcPr>
            <w:tcW w:type="dxa" w:w="4703"/>
            <w:shd w:val="clear" w:color="auto" w:fill="2C3A4A"/>
          </w:tcPr>
          <w:p>
            <w:pPr>
              <w:ind w:left="85"/>
            </w:pPr>
            <w:r>
              <w:rPr>
                <w:rFonts w:ascii="FreeSerif" w:hAnsi="FreeSerif"/>
                <w:b/>
                <w:color w:val="FFFFFF"/>
                <w:sz w:val="19"/>
              </w:rPr>
              <w:t>Mécanique</w:t>
            </w:r>
          </w:p>
        </w:tc>
      </w:tr>
      <w:tr>
        <w:tc>
          <w:tcPr>
            <w:tcW w:type="dxa" w:w="4703"/>
            <w:shd w:val="clear" w:color="auto" w:fill="F4EFE4"/>
          </w:tcPr>
          <w:p>
            <w:pPr>
              <w:ind w:left="85"/>
            </w:pPr>
            <w:r>
              <w:rPr>
                <w:rFonts w:ascii="FreeSerif" w:hAnsi="FreeSerif"/>
                <w:color w:val="3C3C3C"/>
                <w:sz w:val="18"/>
              </w:rPr>
              <w:t>Extraction</w:t>
            </w:r>
          </w:p>
        </w:tc>
        <w:tc>
          <w:tcPr>
            <w:tcW w:type="dxa" w:w="4703"/>
            <w:shd w:val="clear" w:color="auto" w:fill="F4EFE4"/>
          </w:tcPr>
          <w:p>
            <w:pPr>
              <w:ind w:left="85"/>
            </w:pPr>
            <w:r>
              <w:rPr>
                <w:rFonts w:ascii="FreeSerif" w:hAnsi="FreeSerif"/>
                <w:color w:val="3C3C3C"/>
                <w:sz w:val="18"/>
              </w:rPr>
              <w:t>Ressources africaines à prix décoté (4 $ pour un pétrole revendu 80 $)</w:t>
            </w:r>
          </w:p>
        </w:tc>
      </w:tr>
      <w:tr>
        <w:tc>
          <w:tcPr>
            <w:tcW w:type="dxa" w:w="4703"/>
            <w:shd w:val="clear" w:color="auto" w:fill="F4EFE4"/>
          </w:tcPr>
          <w:p>
            <w:pPr>
              <w:ind w:left="85"/>
            </w:pPr>
            <w:r>
              <w:rPr>
                <w:rFonts w:ascii="FreeSerif" w:hAnsi="FreeSerif"/>
                <w:color w:val="3C3C3C"/>
                <w:sz w:val="18"/>
              </w:rPr>
              <w:t>Opacité</w:t>
            </w:r>
          </w:p>
        </w:tc>
        <w:tc>
          <w:tcPr>
            <w:tcW w:type="dxa" w:w="4703"/>
            <w:shd w:val="clear" w:color="auto" w:fill="F4EFE4"/>
          </w:tcPr>
          <w:p>
            <w:pPr>
              <w:ind w:left="85"/>
            </w:pPr>
            <w:r>
              <w:rPr>
                <w:rFonts w:ascii="FreeSerif" w:hAnsi="FreeSerif"/>
                <w:color w:val="3C3C3C"/>
                <w:sz w:val="18"/>
              </w:rPr>
              <w:t>Cargaisons non déclarées, chiffres invérifiables par les États producteurs</w:t>
            </w:r>
          </w:p>
        </w:tc>
      </w:tr>
      <w:tr>
        <w:tc>
          <w:tcPr>
            <w:tcW w:type="dxa" w:w="4703"/>
            <w:shd w:val="clear" w:color="auto" w:fill="F4EFE4"/>
          </w:tcPr>
          <w:p>
            <w:pPr>
              <w:ind w:left="85"/>
            </w:pPr>
            <w:r>
              <w:rPr>
                <w:rFonts w:ascii="FreeSerif" w:hAnsi="FreeSerif"/>
                <w:color w:val="3C3C3C"/>
                <w:sz w:val="18"/>
              </w:rPr>
              <w:t>Redistribution</w:t>
            </w:r>
          </w:p>
        </w:tc>
        <w:tc>
          <w:tcPr>
            <w:tcW w:type="dxa" w:w="4703"/>
            <w:shd w:val="clear" w:color="auto" w:fill="F4EFE4"/>
          </w:tcPr>
          <w:p>
            <w:pPr>
              <w:ind w:left="85"/>
            </w:pPr>
            <w:r>
              <w:rPr>
                <w:rFonts w:ascii="FreeSerif" w:hAnsi="FreeSerif"/>
                <w:color w:val="3C3C3C"/>
                <w:sz w:val="18"/>
              </w:rPr>
              <w:t>Financement politique par mallettes (Bourgi) et réseaux offshore</w:t>
            </w:r>
          </w:p>
        </w:tc>
      </w:tr>
      <w:tr>
        <w:tc>
          <w:tcPr>
            <w:tcW w:type="dxa" w:w="4703"/>
            <w:shd w:val="clear" w:color="auto" w:fill="F4EFE4"/>
          </w:tcPr>
          <w:p>
            <w:pPr>
              <w:ind w:left="85"/>
            </w:pPr>
            <w:r>
              <w:rPr>
                <w:rFonts w:ascii="FreeSerif" w:hAnsi="FreeSerif"/>
                <w:color w:val="3C3C3C"/>
                <w:sz w:val="18"/>
              </w:rPr>
              <w:t>Retour</w:t>
            </w:r>
          </w:p>
        </w:tc>
        <w:tc>
          <w:tcPr>
            <w:tcW w:type="dxa" w:w="4703"/>
            <w:shd w:val="clear" w:color="auto" w:fill="F4EFE4"/>
          </w:tcPr>
          <w:p>
            <w:pPr>
              <w:ind w:left="85"/>
            </w:pPr>
            <w:r>
              <w:rPr>
                <w:rFonts w:ascii="FreeSerif" w:hAnsi="FreeSerif"/>
                <w:color w:val="3C3C3C"/>
                <w:sz w:val="18"/>
              </w:rPr>
              <w:t>Campagnes électorales françaises payées par les chefs d'État africains</w:t>
            </w:r>
          </w:p>
        </w:tc>
      </w:tr>
      <w:tr>
        <w:tc>
          <w:tcPr>
            <w:tcW w:type="dxa" w:w="4703"/>
            <w:shd w:val="clear" w:color="auto" w:fill="F4EFE4"/>
          </w:tcPr>
          <w:p>
            <w:pPr>
              <w:ind w:left="85"/>
            </w:pPr>
            <w:r>
              <w:rPr>
                <w:rFonts w:ascii="FreeSerif" w:hAnsi="FreeSerif"/>
                <w:color w:val="3C3C3C"/>
                <w:sz w:val="18"/>
              </w:rPr>
              <w:t>Impunité</w:t>
            </w:r>
          </w:p>
        </w:tc>
        <w:tc>
          <w:tcPr>
            <w:tcW w:type="dxa" w:w="4703"/>
            <w:shd w:val="clear" w:color="auto" w:fill="F4EFE4"/>
          </w:tcPr>
          <w:p>
            <w:pPr>
              <w:ind w:left="85"/>
            </w:pPr>
            <w:r>
              <w:rPr>
                <w:rFonts w:ascii="FreeSerif" w:hAnsi="FreeSerif"/>
                <w:color w:val="3C3C3C"/>
                <w:sz w:val="18"/>
              </w:rPr>
              <w:t>Double : les États africains ne peuvent pas vérifier, les tribunaux français regardent ailleurs</w:t>
            </w:r>
          </w:p>
        </w:tc>
      </w:tr>
    </w:tbl>
    <w:p/>
    <w:p>
      <w:pPr>
        <w:spacing w:before="280" w:after="120"/>
        <w:pBdr>
          <w:bottom w:val="single" w:sz="7" w:space="3" w:color="A07820"/>
        </w:pBdr>
      </w:pPr>
      <w:r>
        <w:rPr>
          <w:rFonts w:ascii="FreeSerif" w:hAnsi="FreeSerif"/>
          <w:b/>
          <w:color w:val="2C3A4A"/>
          <w:sz w:val="22"/>
        </w:rPr>
        <w:t>Quand l'adversaire avoue</w:t>
      </w:r>
    </w:p>
    <w:p>
      <w:pPr>
        <w:spacing w:line="312" w:lineRule="auto"/>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line="312" w:lineRule="auto"/>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line="312" w:lineRule="auto"/>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line="312" w:lineRule="auto"/>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line="312" w:lineRule="auto"/>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line="312" w:lineRule="auto"/>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line="312" w:lineRule="auto"/>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line="312" w:lineRule="auto"/>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line="312" w:lineRule="auto"/>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Élément</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Le principe</w:t>
            </w:r>
          </w:p>
        </w:tc>
        <w:tc>
          <w:tcPr>
            <w:tcW w:type="dxa" w:w="4703"/>
            <w:shd w:val="clear" w:color="auto" w:fill="F4EFE4"/>
          </w:tcPr>
          <w:p>
            <w:pPr>
              <w:ind w:left="85"/>
            </w:pPr>
            <w:r>
              <w:rPr>
                <w:rFonts w:ascii="FreeSerif" w:hAnsi="FreeSerif"/>
                <w:color w:val="3C3C3C"/>
                <w:sz w:val="18"/>
              </w:rPr>
              <w:t>La France « garantit » la convertibilité du franc CFA en euros</w:t>
            </w:r>
          </w:p>
        </w:tc>
      </w:tr>
      <w:tr>
        <w:tc>
          <w:tcPr>
            <w:tcW w:type="dxa" w:w="4703"/>
            <w:shd w:val="clear" w:color="auto" w:fill="F4EFE4"/>
          </w:tcPr>
          <w:p>
            <w:pPr>
              <w:ind w:left="85"/>
            </w:pPr>
            <w:r>
              <w:rPr>
                <w:rFonts w:ascii="FreeSerif" w:hAnsi="FreeSerif"/>
                <w:color w:val="3C3C3C"/>
                <w:sz w:val="18"/>
              </w:rPr>
              <w:t>Le prix</w:t>
            </w:r>
          </w:p>
        </w:tc>
        <w:tc>
          <w:tcPr>
            <w:tcW w:type="dxa" w:w="4703"/>
            <w:shd w:val="clear" w:color="auto" w:fill="F4EFE4"/>
          </w:tcPr>
          <w:p>
            <w:pPr>
              <w:ind w:left="85"/>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703"/>
            <w:shd w:val="clear" w:color="auto" w:fill="F4EFE4"/>
          </w:tcPr>
          <w:p>
            <w:pPr>
              <w:ind w:left="85"/>
            </w:pPr>
            <w:r>
              <w:rPr>
                <w:rFonts w:ascii="FreeSerif" w:hAnsi="FreeSerif"/>
                <w:color w:val="3C3C3C"/>
                <w:sz w:val="18"/>
              </w:rPr>
              <w:t>La conséquence</w:t>
            </w:r>
          </w:p>
        </w:tc>
        <w:tc>
          <w:tcPr>
            <w:tcW w:type="dxa" w:w="4703"/>
            <w:shd w:val="clear" w:color="auto" w:fill="F4EFE4"/>
          </w:tcPr>
          <w:p>
            <w:pPr>
              <w:ind w:left="85"/>
            </w:pPr>
            <w:r>
              <w:rPr>
                <w:rFonts w:ascii="FreeSerif" w:hAnsi="FreeSerif"/>
                <w:color w:val="3C3C3C"/>
                <w:sz w:val="18"/>
              </w:rPr>
              <w:t>Paris voit passer tous les flux d'exportation, peut les bloquer, et fixe le taux de change</w:t>
            </w:r>
          </w:p>
        </w:tc>
      </w:tr>
      <w:tr>
        <w:tc>
          <w:tcPr>
            <w:tcW w:type="dxa" w:w="4703"/>
            <w:shd w:val="clear" w:color="auto" w:fill="F4EFE4"/>
          </w:tcPr>
          <w:p>
            <w:pPr>
              <w:ind w:left="85"/>
            </w:pPr>
            <w:r>
              <w:rPr>
                <w:rFonts w:ascii="FreeSerif" w:hAnsi="FreeSerif"/>
                <w:color w:val="3C3C3C"/>
                <w:sz w:val="18"/>
              </w:rPr>
              <w:t>L'échelle</w:t>
            </w:r>
          </w:p>
        </w:tc>
        <w:tc>
          <w:tcPr>
            <w:tcW w:type="dxa" w:w="4703"/>
            <w:shd w:val="clear" w:color="auto" w:fill="F4EFE4"/>
          </w:tcPr>
          <w:p>
            <w:pPr>
              <w:ind w:left="85"/>
            </w:pPr>
            <w:r>
              <w:rPr>
                <w:rFonts w:ascii="FreeSerif" w:hAnsi="FreeSerif"/>
                <w:color w:val="3C3C3C"/>
                <w:sz w:val="18"/>
              </w:rPr>
              <w:t>Quinze pays africains utilisent aujourd'hui cette monnaie fabriquée et contrôlée en France</w:t>
            </w:r>
          </w:p>
        </w:tc>
      </w:tr>
    </w:tbl>
    <w:p/>
    <w:p>
      <w:pPr>
        <w:spacing w:before="280" w:after="120"/>
        <w:pBdr>
          <w:bottom w:val="single" w:sz="7" w:space="3" w:color="A07820"/>
        </w:pBdr>
      </w:pPr>
      <w:r>
        <w:rPr>
          <w:rFonts w:ascii="FreeSerif" w:hAnsi="FreeSerif"/>
          <w:b/>
          <w:color w:val="2C3A4A"/>
          <w:sz w:val="22"/>
        </w:rPr>
        <w:t>Le prix de la sortie</w:t>
      </w:r>
    </w:p>
    <w:p>
      <w:pPr>
        <w:spacing w:line="312" w:lineRule="auto"/>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line="312" w:lineRule="auto"/>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line="312" w:lineRule="auto"/>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line="312" w:lineRule="auto"/>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line="312" w:lineRule="auto"/>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line="312" w:lineRule="auto"/>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line="312" w:lineRule="auto"/>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septantième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line="312" w:lineRule="auto"/>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line="312" w:lineRule="auto"/>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line="312" w:lineRule="auto"/>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line="312" w:lineRule="auto"/>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line="312" w:lineRule="auto"/>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line="312" w:lineRule="auto"/>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line="312" w:lineRule="auto"/>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line="312" w:lineRule="auto"/>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line="312" w:lineRule="auto"/>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line="312" w:lineRule="auto"/>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line="312" w:lineRule="auto"/>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Anatola, journaliste d'investigation, directeur de publication du journal </w:t>
      </w:r>
      <w:r>
        <w:rPr>
          <w:rFonts w:ascii="FreeSerif" w:hAnsi="FreeSerif"/>
          <w:i/>
          <w:color w:val="8B1A1A"/>
          <w:sz w:val="22"/>
        </w:rPr>
        <w:t>Le Cactus</w:t>
      </w:r>
    </w:p>
    <w:p>
      <w:pPr>
        <w:spacing w:line="312" w:lineRule="auto"/>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line="312" w:lineRule="auto"/>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line="312" w:lineRule="auto"/>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line="312" w:lineRule="auto"/>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280" w:after="120"/>
        <w:pBdr>
          <w:bottom w:val="single" w:sz="7" w:space="3" w:color="A07820"/>
        </w:pBdr>
      </w:pPr>
      <w:r>
        <w:rPr>
          <w:rFonts w:ascii="FreeSerif" w:hAnsi="FreeSerif"/>
          <w:b/>
          <w:color w:val="2C3A4A"/>
          <w:sz w:val="22"/>
        </w:rPr>
        <w:t>Le paradoxe absolu : l'uranium</w:t>
      </w:r>
    </w:p>
    <w:p>
      <w:pPr>
        <w:spacing w:line="312" w:lineRule="auto"/>
      </w:pPr>
      <w:r>
        <w:rPr>
          <w:rFonts w:ascii="FreeSerif" w:hAnsi="FreeSerif"/>
          <w:sz w:val="22"/>
        </w:rPr>
        <w:t>Deux chiffres suffisent à tout dire.</w:t>
      </w:r>
    </w:p>
    <w:p>
      <w:pPr>
        <w:spacing w:line="312" w:lineRule="auto"/>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line="312" w:lineRule="auto"/>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line="312" w:lineRule="auto"/>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line="312" w:lineRule="auto"/>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line="312" w:lineRule="auto"/>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w:t>
            </w:r>
          </w:p>
        </w:tc>
      </w:tr>
      <w:tr>
        <w:tc>
          <w:tcPr>
            <w:tcW w:type="dxa" w:w="4703"/>
            <w:shd w:val="clear" w:color="auto" w:fill="F4EFE4"/>
          </w:tcPr>
          <w:p>
            <w:pPr>
              <w:ind w:left="85"/>
            </w:pPr>
            <w:r>
              <w:rPr>
                <w:rFonts w:ascii="FreeSerif" w:hAnsi="FreeSerif"/>
                <w:color w:val="3C3C3C"/>
                <w:sz w:val="18"/>
              </w:rPr>
              <w:t>Part des importations françaises d'uranium</w:t>
            </w:r>
          </w:p>
        </w:tc>
        <w:tc>
          <w:tcPr>
            <w:tcW w:type="dxa" w:w="4703"/>
            <w:shd w:val="clear" w:color="auto" w:fill="F4EFE4"/>
          </w:tcPr>
          <w:p>
            <w:pPr>
              <w:ind w:left="85"/>
            </w:pPr>
            <w:r>
              <w:rPr>
                <w:rFonts w:ascii="FreeSerif" w:hAnsi="FreeSerif"/>
                <w:color w:val="3C3C3C"/>
                <w:sz w:val="18"/>
              </w:rPr>
              <w:t>35 % en 2020 (Haut Comité pour la transparence nucléaire)</w:t>
            </w:r>
          </w:p>
        </w:tc>
      </w:tr>
      <w:tr>
        <w:tc>
          <w:tcPr>
            <w:tcW w:type="dxa" w:w="4703"/>
            <w:shd w:val="clear" w:color="auto" w:fill="F4EFE4"/>
          </w:tcPr>
          <w:p>
            <w:pPr>
              <w:ind w:left="85"/>
            </w:pPr>
            <w:r>
              <w:rPr>
                <w:rFonts w:ascii="FreeSerif" w:hAnsi="FreeSerif"/>
                <w:color w:val="3C3C3C"/>
                <w:sz w:val="18"/>
              </w:rPr>
              <w:t>Part de l'électricité nucléaire française issue du Niger</w:t>
            </w:r>
          </w:p>
        </w:tc>
        <w:tc>
          <w:tcPr>
            <w:tcW w:type="dxa" w:w="4703"/>
            <w:shd w:val="clear" w:color="auto" w:fill="F4EFE4"/>
          </w:tcPr>
          <w:p>
            <w:pPr>
              <w:ind w:left="85"/>
            </w:pPr>
            <w:r>
              <w:rPr>
                <w:rFonts w:ascii="FreeSerif" w:hAnsi="FreeSerif"/>
                <w:color w:val="3C3C3C"/>
                <w:sz w:val="18"/>
              </w:rPr>
              <w:t>20 %</w:t>
            </w:r>
          </w:p>
        </w:tc>
      </w:tr>
      <w:tr>
        <w:tc>
          <w:tcPr>
            <w:tcW w:type="dxa" w:w="4703"/>
            <w:shd w:val="clear" w:color="auto" w:fill="F4EFE4"/>
          </w:tcPr>
          <w:p>
            <w:pPr>
              <w:ind w:left="85"/>
            </w:pPr>
            <w:r>
              <w:rPr>
                <w:rFonts w:ascii="FreeSerif" w:hAnsi="FreeSerif"/>
                <w:color w:val="3C3C3C"/>
                <w:sz w:val="18"/>
              </w:rPr>
              <w:t>Production nigérienne importée par la France (2022)</w:t>
            </w:r>
          </w:p>
        </w:tc>
        <w:tc>
          <w:tcPr>
            <w:tcW w:type="dxa" w:w="4703"/>
            <w:shd w:val="clear" w:color="auto" w:fill="F4EFE4"/>
          </w:tcPr>
          <w:p>
            <w:pPr>
              <w:ind w:left="85"/>
            </w:pPr>
            <w:r>
              <w:rPr>
                <w:rFonts w:ascii="FreeSerif" w:hAnsi="FreeSerif"/>
                <w:color w:val="3C3C3C"/>
                <w:sz w:val="18"/>
              </w:rPr>
              <w:t>1 440 tonnes</w:t>
            </w:r>
          </w:p>
        </w:tc>
      </w:tr>
      <w:tr>
        <w:tc>
          <w:tcPr>
            <w:tcW w:type="dxa" w:w="4703"/>
            <w:shd w:val="clear" w:color="auto" w:fill="F4EFE4"/>
          </w:tcPr>
          <w:p>
            <w:pPr>
              <w:ind w:left="85"/>
            </w:pPr>
            <w:r>
              <w:rPr>
                <w:rFonts w:ascii="FreeSerif" w:hAnsi="FreeSerif"/>
                <w:color w:val="3C3C3C"/>
                <w:sz w:val="18"/>
              </w:rPr>
              <w:t>Prix payé par Orano au Niger</w:t>
            </w:r>
          </w:p>
        </w:tc>
        <w:tc>
          <w:tcPr>
            <w:tcW w:type="dxa" w:w="4703"/>
            <w:shd w:val="clear" w:color="auto" w:fill="F4EFE4"/>
          </w:tcPr>
          <w:p>
            <w:pPr>
              <w:ind w:left="85"/>
            </w:pPr>
            <w:r>
              <w:rPr>
                <w:rFonts w:ascii="FreeSerif" w:hAnsi="FreeSerif"/>
                <w:b/>
                <w:color w:val="3C3C3C"/>
                <w:sz w:val="18"/>
              </w:rPr>
              <w:t>0,80 €/kg</w:t>
            </w:r>
          </w:p>
        </w:tc>
      </w:tr>
      <w:tr>
        <w:tc>
          <w:tcPr>
            <w:tcW w:type="dxa" w:w="4703"/>
            <w:shd w:val="clear" w:color="auto" w:fill="F4EFE4"/>
          </w:tcPr>
          <w:p>
            <w:pPr>
              <w:ind w:left="85"/>
            </w:pPr>
            <w:r>
              <w:rPr>
                <w:rFonts w:ascii="FreeSerif" w:hAnsi="FreeSerif"/>
                <w:color w:val="3C3C3C"/>
                <w:sz w:val="18"/>
              </w:rPr>
              <w:t>Prix mondial de référence (Canada/Kazakhstan)</w:t>
            </w:r>
          </w:p>
        </w:tc>
        <w:tc>
          <w:tcPr>
            <w:tcW w:type="dxa" w:w="4703"/>
            <w:shd w:val="clear" w:color="auto" w:fill="F4EFE4"/>
          </w:tcPr>
          <w:p>
            <w:pPr>
              <w:ind w:left="85"/>
            </w:pPr>
            <w:r>
              <w:rPr>
                <w:rFonts w:ascii="FreeSerif" w:hAnsi="FreeSerif"/>
                <w:b/>
                <w:color w:val="3C3C3C"/>
                <w:sz w:val="18"/>
              </w:rPr>
              <w:t>200 $/kg</w:t>
            </w:r>
          </w:p>
        </w:tc>
      </w:tr>
      <w:tr>
        <w:tc>
          <w:tcPr>
            <w:tcW w:type="dxa" w:w="4703"/>
            <w:shd w:val="clear" w:color="auto" w:fill="F4EFE4"/>
          </w:tcPr>
          <w:p>
            <w:pPr>
              <w:ind w:left="85"/>
            </w:pPr>
            <w:r>
              <w:rPr>
                <w:rFonts w:ascii="FreeSerif" w:hAnsi="FreeSerif"/>
                <w:color w:val="3C3C3C"/>
                <w:sz w:val="18"/>
              </w:rPr>
              <w:t>Ce que la France versait réellement</w:t>
            </w:r>
          </w:p>
        </w:tc>
        <w:tc>
          <w:tcPr>
            <w:tcW w:type="dxa" w:w="4703"/>
            <w:shd w:val="clear" w:color="auto" w:fill="F4EFE4"/>
          </w:tcPr>
          <w:p>
            <w:pPr>
              <w:ind w:left="85"/>
            </w:pPr>
            <w:r>
              <w:rPr>
                <w:rFonts w:ascii="FreeSerif" w:hAnsi="FreeSerif"/>
                <w:b/>
                <w:color w:val="3C3C3C"/>
                <w:sz w:val="18"/>
              </w:rPr>
              <w:t>1,2 million €/an</w:t>
            </w:r>
          </w:p>
        </w:tc>
      </w:tr>
      <w:tr>
        <w:tc>
          <w:tcPr>
            <w:tcW w:type="dxa" w:w="4703"/>
            <w:shd w:val="clear" w:color="auto" w:fill="F4EFE4"/>
          </w:tcPr>
          <w:p>
            <w:pPr>
              <w:ind w:left="85"/>
            </w:pPr>
            <w:r>
              <w:rPr>
                <w:rFonts w:ascii="FreeSerif" w:hAnsi="FreeSerif"/>
                <w:color w:val="3C3C3C"/>
                <w:sz w:val="18"/>
              </w:rPr>
              <w:t>Ce que le marché mondial aurait exigé</w:t>
            </w:r>
          </w:p>
        </w:tc>
        <w:tc>
          <w:tcPr>
            <w:tcW w:type="dxa" w:w="4703"/>
            <w:shd w:val="clear" w:color="auto" w:fill="F4EFE4"/>
          </w:tcPr>
          <w:p>
            <w:pPr>
              <w:ind w:left="85"/>
            </w:pPr>
            <w:r>
              <w:rPr>
                <w:rFonts w:ascii="FreeSerif" w:hAnsi="FreeSerif"/>
                <w:color w:val="3C3C3C"/>
                <w:sz w:val="18"/>
              </w:rPr>
              <w:t>288 millions €/an</w:t>
            </w:r>
          </w:p>
        </w:tc>
      </w:tr>
      <w:tr>
        <w:tc>
          <w:tcPr>
            <w:tcW w:type="dxa" w:w="4703"/>
            <w:shd w:val="clear" w:color="auto" w:fill="F4EFE4"/>
          </w:tcPr>
          <w:p>
            <w:pPr>
              <w:ind w:left="85"/>
            </w:pPr>
            <w:r>
              <w:rPr>
                <w:rFonts w:ascii="FreeSerif" w:hAnsi="FreeSerif"/>
                <w:color w:val="3C3C3C"/>
                <w:sz w:val="18"/>
              </w:rPr>
              <w:t>Manque à gagner pour le Niger</w:t>
            </w:r>
          </w:p>
        </w:tc>
        <w:tc>
          <w:tcPr>
            <w:tcW w:type="dxa" w:w="4703"/>
            <w:shd w:val="clear" w:color="auto" w:fill="F4EFE4"/>
          </w:tcPr>
          <w:p>
            <w:pPr>
              <w:ind w:left="85"/>
            </w:pPr>
            <w:r>
              <w:rPr>
                <w:rFonts w:ascii="FreeSerif" w:hAnsi="FreeSerif"/>
                <w:b/>
                <w:color w:val="3C3C3C"/>
                <w:sz w:val="18"/>
              </w:rPr>
              <w:t>287 millions €/an</w:t>
            </w:r>
          </w:p>
        </w:tc>
      </w:tr>
      <w:tr>
        <w:tc>
          <w:tcPr>
            <w:tcW w:type="dxa" w:w="4703"/>
            <w:shd w:val="clear" w:color="auto" w:fill="F4EFE4"/>
          </w:tcPr>
          <w:p>
            <w:pPr>
              <w:ind w:left="85"/>
            </w:pPr>
            <w:r>
              <w:rPr>
                <w:rFonts w:ascii="FreeSerif" w:hAnsi="FreeSerif"/>
                <w:color w:val="3C3C3C"/>
                <w:sz w:val="18"/>
              </w:rPr>
              <w:t>Prix historiquement payé</w:t>
            </w:r>
          </w:p>
        </w:tc>
        <w:tc>
          <w:tcPr>
            <w:tcW w:type="dxa" w:w="4703"/>
            <w:shd w:val="clear" w:color="auto" w:fill="F4EFE4"/>
          </w:tcPr>
          <w:p>
            <w:pPr>
              <w:ind w:left="85"/>
            </w:pPr>
            <w:r>
              <w:rPr>
                <w:rFonts w:ascii="FreeSerif" w:hAnsi="FreeSerif"/>
                <w:color w:val="3C3C3C"/>
                <w:sz w:val="18"/>
              </w:rPr>
              <w:t>30 à 40 % sous le cours mondial (ONG Sherpa, 2013)</w:t>
            </w:r>
          </w:p>
        </w:tc>
      </w:tr>
      <w:tr>
        <w:tc>
          <w:tcPr>
            <w:tcW w:type="dxa" w:w="4703"/>
            <w:shd w:val="clear" w:color="auto" w:fill="F4EFE4"/>
          </w:tcPr>
          <w:p>
            <w:pPr>
              <w:ind w:left="85"/>
            </w:pPr>
            <w:r>
              <w:rPr>
                <w:rFonts w:ascii="FreeSerif" w:hAnsi="FreeSerif"/>
                <w:color w:val="3C3C3C"/>
                <w:sz w:val="18"/>
              </w:rPr>
              <w:t>Contamination radioactive à Arlit</w:t>
            </w:r>
          </w:p>
        </w:tc>
        <w:tc>
          <w:tcPr>
            <w:tcW w:type="dxa" w:w="4703"/>
            <w:shd w:val="clear" w:color="auto" w:fill="F4EFE4"/>
          </w:tcPr>
          <w:p>
            <w:pPr>
              <w:ind w:left="85"/>
            </w:pPr>
            <w:r>
              <w:rPr>
                <w:rFonts w:ascii="FreeSerif" w:hAnsi="FreeSerif"/>
                <w:color w:val="3C3C3C"/>
                <w:sz w:val="18"/>
              </w:rPr>
              <w:t>Documentée par Greenpeace depuis 2010</w:t>
            </w:r>
          </w:p>
        </w:tc>
      </w:tr>
      <w:tr>
        <w:tc>
          <w:tcPr>
            <w:tcW w:type="dxa" w:w="4703"/>
            <w:shd w:val="clear" w:color="auto" w:fill="F4EFE4"/>
          </w:tcPr>
          <w:p>
            <w:pPr>
              <w:ind w:left="85"/>
            </w:pPr>
            <w:r>
              <w:rPr>
                <w:rFonts w:ascii="FreeSerif" w:hAnsi="FreeSerif"/>
                <w:color w:val="3C3C3C"/>
                <w:sz w:val="18"/>
              </w:rPr>
              <w:t>Accès à l'électricité</w:t>
            </w:r>
          </w:p>
        </w:tc>
        <w:tc>
          <w:tcPr>
            <w:tcW w:type="dxa" w:w="4703"/>
            <w:shd w:val="clear" w:color="auto" w:fill="F4EFE4"/>
          </w:tcPr>
          <w:p>
            <w:pPr>
              <w:ind w:left="85"/>
            </w:pPr>
            <w:r>
              <w:rPr>
                <w:rFonts w:ascii="FreeSerif" w:hAnsi="FreeSerif"/>
                <w:color w:val="3C3C3C"/>
                <w:sz w:val="18"/>
              </w:rPr>
              <w:t>Moins de 20 % de la population (Banque mondiale, 2022)</w:t>
            </w:r>
          </w:p>
        </w:tc>
      </w:tr>
      <w:tr>
        <w:tc>
          <w:tcPr>
            <w:tcW w:type="dxa" w:w="4703"/>
            <w:shd w:val="clear" w:color="auto" w:fill="F4EFE4"/>
          </w:tcPr>
          <w:p>
            <w:pPr>
              <w:ind w:left="85"/>
            </w:pPr>
            <w:r>
              <w:rPr>
                <w:rFonts w:ascii="FreeSerif" w:hAnsi="FreeSerif"/>
                <w:color w:val="3C3C3C"/>
                <w:sz w:val="18"/>
              </w:rPr>
              <w:t>IDH</w:t>
            </w:r>
          </w:p>
        </w:tc>
        <w:tc>
          <w:tcPr>
            <w:tcW w:type="dxa" w:w="4703"/>
            <w:shd w:val="clear" w:color="auto" w:fill="F4EFE4"/>
          </w:tcPr>
          <w:p>
            <w:pPr>
              <w:ind w:left="85"/>
            </w:pPr>
            <w:r>
              <w:rPr>
                <w:rFonts w:ascii="FreeSerif" w:hAnsi="FreeSerif"/>
                <w:color w:val="3C3C3C"/>
                <w:sz w:val="18"/>
              </w:rPr>
              <w:t>189e sur 191 (PNUD, 2023)</w:t>
            </w:r>
          </w:p>
        </w:tc>
      </w:tr>
      <w:tr>
        <w:tc>
          <w:tcPr>
            <w:tcW w:type="dxa" w:w="4703"/>
            <w:shd w:val="clear" w:color="auto" w:fill="F4EFE4"/>
          </w:tcPr>
          <w:p>
            <w:pPr>
              <w:ind w:left="85"/>
            </w:pPr>
            <w:r>
              <w:rPr>
                <w:rFonts w:ascii="FreeSerif" w:hAnsi="FreeSerif"/>
                <w:color w:val="3C3C3C"/>
                <w:sz w:val="18"/>
              </w:rPr>
              <w:t>Recettes pétrolières nigériennes après 2023</w:t>
            </w:r>
          </w:p>
        </w:tc>
        <w:tc>
          <w:tcPr>
            <w:tcW w:type="dxa" w:w="4703"/>
            <w:shd w:val="clear" w:color="auto" w:fill="F4EFE4"/>
          </w:tcPr>
          <w:p>
            <w:pPr>
              <w:ind w:left="85"/>
            </w:pPr>
            <w:r>
              <w:rPr>
                <w:rFonts w:ascii="FreeSerif" w:hAnsi="FreeSerif"/>
                <w:color w:val="3C3C3C"/>
                <w:sz w:val="18"/>
              </w:rPr>
              <w:t>+218 % (de 64 à 204 milliards de FCFA, 2020–2024)</w:t>
            </w:r>
          </w:p>
        </w:tc>
      </w:tr>
    </w:tbl>
    <w:p/>
    <w:p>
      <w:pPr>
        <w:spacing w:before="280" w:after="120"/>
        <w:pBdr>
          <w:bottom w:val="single" w:sz="7" w:space="3" w:color="A07820"/>
        </w:pBdr>
      </w:pPr>
      <w:r>
        <w:rPr>
          <w:rFonts w:ascii="FreeSerif" w:hAnsi="FreeSerif"/>
          <w:b/>
          <w:color w:val="2C3A4A"/>
          <w:sz w:val="22"/>
        </w:rPr>
        <w:t>Le coût invisible : eau radioactive et obscurité</w:t>
      </w:r>
    </w:p>
    <w:p>
      <w:pPr>
        <w:spacing w:line="312" w:lineRule="auto"/>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line="312" w:lineRule="auto"/>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line="312" w:lineRule="auto"/>
      </w:pPr>
      <w:r>
        <w:rPr>
          <w:rFonts w:ascii="FreeSerif" w:hAnsi="FreeSerif"/>
          <w:sz w:val="22"/>
        </w:rPr>
        <w:t>Le pillage des ressources n'est pas séparable du financement des conflits qui le sécurisent. Les deux sont le même système.</w:t>
      </w:r>
    </w:p>
    <w:p>
      <w:pPr>
        <w:spacing w:line="312" w:lineRule="auto"/>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line="312" w:lineRule="auto"/>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line="312" w:lineRule="auto"/>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line="312" w:lineRule="auto"/>
      </w:pPr>
      <w:r>
        <w:rPr>
          <w:rFonts w:ascii="FreeSerif" w:hAnsi="FreeSerif"/>
          <w:sz w:val="22"/>
        </w:rPr>
        <w:t>Ce n'est pas une coïncidence géographique. C'est une méthode.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line="312" w:lineRule="auto"/>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line="312" w:lineRule="auto"/>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line="312" w:lineRule="auto"/>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line="312" w:lineRule="auto"/>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line="312" w:lineRule="auto"/>
      </w:pPr>
      <w:r>
        <w:rPr>
          <w:rFonts w:ascii="FreeSerif" w:hAnsi="FreeSerif"/>
          <w:sz w:val="22"/>
        </w:rPr>
        <w:t>Les deux hypothèses mènent au même endroit : l'État français n'est pas un tiers innocent. Soit aveugle par conception, soit complice par choix.</w:t>
      </w:r>
    </w:p>
    <w:p>
      <w:pPr>
        <w:spacing w:line="312" w:lineRule="auto"/>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line="312" w:lineRule="auto"/>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line="312" w:lineRule="auto"/>
      </w:pPr>
      <w:r>
        <w:rPr>
          <w:rFonts w:ascii="FreeSerif" w:hAnsi="FreeSerif"/>
          <w:sz w:val="22"/>
        </w:rPr>
        <w:t>Ce double rôle explique pourquoi ces entreprises bénéficient d'une protection d'État même quand elles sont impliquées dans des activités criminelles.</w:t>
      </w:r>
    </w:p>
    <w:p>
      <w:pPr>
        <w:spacing w:line="312" w:lineRule="auto"/>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line="312" w:lineRule="auto"/>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line="312" w:lineRule="auto"/>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line="312" w:lineRule="auto"/>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line="312" w:lineRule="auto"/>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line="312" w:lineRule="auto"/>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line="312" w:lineRule="auto"/>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line="312" w:lineRule="auto"/>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line="312" w:lineRule="auto"/>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line="312" w:lineRule="auto"/>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line="312" w:lineRule="auto"/>
      </w:pPr>
      <w:r>
        <w:rPr>
          <w:rFonts w:ascii="FreeSerif" w:hAnsi="FreeSerif"/>
          <w:sz w:val="22"/>
        </w:rPr>
        <w:t>Le problème est encore plus profond : les quantités déclarées sont falsifiées à la source.</w:t>
      </w:r>
    </w:p>
    <w:p>
      <w:pPr>
        <w:spacing w:line="312" w:lineRule="auto"/>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line="312" w:lineRule="auto"/>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line="312" w:lineRule="auto"/>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line="312" w:lineRule="auto"/>
      </w:pPr>
      <w:r>
        <w:rPr>
          <w:rFonts w:ascii="FreeSerif" w:hAnsi="FreeSerif"/>
          <w:sz w:val="22"/>
        </w:rPr>
        <w:t>L'argument décisif est arrivé après 2023, et il est comptable.</w:t>
      </w:r>
    </w:p>
    <w:p>
      <w:pPr>
        <w:spacing w:line="312" w:lineRule="auto"/>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line="312" w:lineRule="auto"/>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line="312" w:lineRule="auto"/>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line="312" w:lineRule="auto"/>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line="312" w:lineRule="auto"/>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line="312" w:lineRule="auto"/>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line="312" w:lineRule="auto"/>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line="312" w:lineRule="auto"/>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Anatola,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line="312" w:lineRule="auto"/>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line="312" w:lineRule="auto"/>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line="312" w:lineRule="auto"/>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line="312" w:lineRule="auto"/>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line="312" w:lineRule="auto"/>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line="312" w:lineRule="auto"/>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line="312" w:lineRule="auto"/>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line="312" w:lineRule="auto"/>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Montant</w:t>
            </w:r>
          </w:p>
        </w:tc>
        <w:tc>
          <w:tcPr>
            <w:tcW w:type="dxa" w:w="3135"/>
            <w:shd w:val="clear" w:color="auto" w:fill="2C3A4A"/>
          </w:tcPr>
          <w:p>
            <w:pPr>
              <w:ind w:left="85"/>
            </w:pPr>
            <w:r>
              <w:rPr>
                <w:rFonts w:ascii="FreeSerif" w:hAnsi="FreeSerif"/>
                <w:b/>
                <w:color w:val="FFFFFF"/>
                <w:sz w:val="19"/>
              </w:rPr>
              <w:t>Contexte</w:t>
            </w:r>
          </w:p>
        </w:tc>
      </w:tr>
      <w:tr>
        <w:tc>
          <w:tcPr>
            <w:tcW w:type="dxa" w:w="3135"/>
            <w:shd w:val="clear" w:color="auto" w:fill="F4EFE4"/>
          </w:tcPr>
          <w:p>
            <w:pPr>
              <w:ind w:left="85"/>
            </w:pPr>
            <w:r>
              <w:rPr>
                <w:rFonts w:ascii="FreeSerif" w:hAnsi="FreeSerif"/>
                <w:color w:val="3C3C3C"/>
                <w:sz w:val="18"/>
              </w:rPr>
              <w:t>2017–2021</w:t>
            </w:r>
          </w:p>
        </w:tc>
        <w:tc>
          <w:tcPr>
            <w:tcW w:type="dxa" w:w="3135"/>
            <w:shd w:val="clear" w:color="auto" w:fill="F4EFE4"/>
          </w:tcPr>
          <w:p>
            <w:pPr>
              <w:ind w:left="85"/>
            </w:pPr>
            <w:r>
              <w:rPr>
                <w:rFonts w:ascii="FreeSerif" w:hAnsi="FreeSerif"/>
                <w:color w:val="3C3C3C"/>
                <w:sz w:val="18"/>
              </w:rPr>
              <w:t>587 millions d'euros au total</w:t>
            </w:r>
          </w:p>
        </w:tc>
        <w:tc>
          <w:tcPr>
            <w:tcW w:type="dxa" w:w="3135"/>
            <w:shd w:val="clear" w:color="auto" w:fill="F4EFE4"/>
          </w:tcPr>
          <w:p>
            <w:pPr>
              <w:ind w:left="85"/>
            </w:pPr>
            <w:r>
              <w:rPr>
                <w:rFonts w:ascii="FreeSerif" w:hAnsi="FreeSerif"/>
                <w:color w:val="3C3C3C"/>
                <w:sz w:val="18"/>
              </w:rPr>
              <w:t>—</w:t>
            </w:r>
          </w:p>
        </w:tc>
      </w:tr>
      <w:tr>
        <w:tc>
          <w:tcPr>
            <w:tcW w:type="dxa" w:w="3135"/>
            <w:shd w:val="clear" w:color="auto" w:fill="F4EFE4"/>
          </w:tcPr>
          <w:p>
            <w:pPr>
              <w:ind w:left="85"/>
            </w:pPr>
            <w:r>
              <w:rPr>
                <w:rFonts w:ascii="FreeSerif" w:hAnsi="FreeSerif"/>
                <w:color w:val="3C3C3C"/>
                <w:sz w:val="18"/>
              </w:rPr>
              <w:t>2018–2019</w:t>
            </w:r>
          </w:p>
        </w:tc>
        <w:tc>
          <w:tcPr>
            <w:tcW w:type="dxa" w:w="3135"/>
            <w:shd w:val="clear" w:color="auto" w:fill="F4EFE4"/>
          </w:tcPr>
          <w:p>
            <w:pPr>
              <w:ind w:left="85"/>
            </w:pPr>
            <w:r>
              <w:rPr>
                <w:rFonts w:ascii="FreeSerif" w:hAnsi="FreeSerif"/>
                <w:color w:val="3C3C3C"/>
                <w:sz w:val="18"/>
              </w:rPr>
              <w:t>×7 (de 30 à 205 M€)</w:t>
            </w:r>
          </w:p>
        </w:tc>
        <w:tc>
          <w:tcPr>
            <w:tcW w:type="dxa" w:w="3135"/>
            <w:shd w:val="clear" w:color="auto" w:fill="F4EFE4"/>
          </w:tcPr>
          <w:p>
            <w:pPr>
              <w:ind w:left="85"/>
            </w:pPr>
            <w:r>
              <w:rPr>
                <w:rFonts w:ascii="FreeSerif" w:hAnsi="FreeSerif"/>
                <w:color w:val="3C3C3C"/>
                <w:sz w:val="18"/>
              </w:rPr>
              <w:t>Les années où Bamako obéit</w:t>
            </w:r>
          </w:p>
        </w:tc>
      </w:tr>
      <w:tr>
        <w:tc>
          <w:tcPr>
            <w:tcW w:type="dxa" w:w="3135"/>
            <w:shd w:val="clear" w:color="auto" w:fill="F4EFE4"/>
          </w:tcPr>
          <w:p>
            <w:pPr>
              <w:ind w:left="85"/>
            </w:pPr>
            <w:r>
              <w:rPr>
                <w:rFonts w:ascii="FreeSerif" w:hAnsi="FreeSerif"/>
                <w:color w:val="3C3C3C"/>
                <w:sz w:val="18"/>
              </w:rPr>
              <w:t>2020–2021</w:t>
            </w:r>
          </w:p>
        </w:tc>
        <w:tc>
          <w:tcPr>
            <w:tcW w:type="dxa" w:w="3135"/>
            <w:shd w:val="clear" w:color="auto" w:fill="F4EFE4"/>
          </w:tcPr>
          <w:p>
            <w:pPr>
              <w:ind w:left="85"/>
            </w:pPr>
            <w:r>
              <w:rPr>
                <w:rFonts w:ascii="FreeSerif" w:hAnsi="FreeSerif"/>
                <w:color w:val="3C3C3C"/>
                <w:sz w:val="18"/>
              </w:rPr>
              <w:t>÷3 (de 110 à 39 M€)</w:t>
            </w:r>
          </w:p>
        </w:tc>
        <w:tc>
          <w:tcPr>
            <w:tcW w:type="dxa" w:w="3135"/>
            <w:shd w:val="clear" w:color="auto" w:fill="F4EFE4"/>
          </w:tcPr>
          <w:p>
            <w:pPr>
              <w:ind w:left="85"/>
            </w:pPr>
            <w:r>
              <w:rPr>
                <w:rFonts w:ascii="FreeSerif" w:hAnsi="FreeSerif"/>
                <w:color w:val="3C3C3C"/>
                <w:sz w:val="18"/>
              </w:rPr>
              <w:t>Les années de résistance</w:t>
            </w:r>
          </w:p>
        </w:tc>
      </w:tr>
      <w:tr>
        <w:tc>
          <w:tcPr>
            <w:tcW w:type="dxa" w:w="3135"/>
            <w:shd w:val="clear" w:color="auto" w:fill="F4EFE4"/>
          </w:tcPr>
          <w:p>
            <w:pPr>
              <w:ind w:left="85"/>
            </w:pPr>
            <w:r>
              <w:rPr>
                <w:rFonts w:ascii="FreeSerif" w:hAnsi="FreeSerif"/>
                <w:color w:val="3C3C3C"/>
                <w:sz w:val="18"/>
              </w:rPr>
              <w:t>Août 2022</w:t>
            </w:r>
          </w:p>
        </w:tc>
        <w:tc>
          <w:tcPr>
            <w:tcW w:type="dxa" w:w="3135"/>
            <w:shd w:val="clear" w:color="auto" w:fill="F4EFE4"/>
          </w:tcPr>
          <w:p>
            <w:pPr>
              <w:ind w:left="85"/>
            </w:pPr>
            <w:r>
              <w:rPr>
                <w:rFonts w:ascii="FreeSerif" w:hAnsi="FreeSerif"/>
                <w:color w:val="3C3C3C"/>
                <w:sz w:val="18"/>
              </w:rPr>
              <w:t>Suspension</w:t>
            </w:r>
          </w:p>
        </w:tc>
        <w:tc>
          <w:tcPr>
            <w:tcW w:type="dxa" w:w="3135"/>
            <w:shd w:val="clear" w:color="auto" w:fill="F4EFE4"/>
          </w:tcPr>
          <w:p>
            <w:pPr>
              <w:ind w:left="85"/>
            </w:pPr>
            <w:r>
              <w:rPr>
                <w:rFonts w:ascii="FreeSerif" w:hAnsi="FreeSerif"/>
                <w:color w:val="3C3C3C"/>
                <w:sz w:val="18"/>
              </w:rPr>
              <w:t>Expulsion de Barkhane</w:t>
            </w:r>
          </w:p>
        </w:tc>
      </w:tr>
      <w:tr>
        <w:tc>
          <w:tcPr>
            <w:tcW w:type="dxa" w:w="3135"/>
            <w:shd w:val="clear" w:color="auto" w:fill="F4EFE4"/>
          </w:tcPr>
          <w:p>
            <w:pPr>
              <w:ind w:left="85"/>
            </w:pPr>
            <w:r>
              <w:rPr>
                <w:rFonts w:ascii="FreeSerif" w:hAnsi="FreeSerif"/>
                <w:color w:val="3C3C3C"/>
                <w:sz w:val="18"/>
              </w:rPr>
              <w:t>Novembre 2022</w:t>
            </w:r>
          </w:p>
        </w:tc>
        <w:tc>
          <w:tcPr>
            <w:tcW w:type="dxa" w:w="3135"/>
            <w:shd w:val="clear" w:color="auto" w:fill="F4EFE4"/>
          </w:tcPr>
          <w:p>
            <w:pPr>
              <w:ind w:left="85"/>
            </w:pPr>
            <w:r>
              <w:rPr>
                <w:rFonts w:ascii="FreeSerif" w:hAnsi="FreeSerif"/>
                <w:color w:val="3C3C3C"/>
                <w:sz w:val="18"/>
              </w:rPr>
              <w:t>Suspension totale</w:t>
            </w:r>
          </w:p>
        </w:tc>
        <w:tc>
          <w:tcPr>
            <w:tcW w:type="dxa" w:w="3135"/>
            <w:shd w:val="clear" w:color="auto" w:fill="F4EFE4"/>
          </w:tcPr>
          <w:p>
            <w:pPr>
              <w:ind w:left="85"/>
            </w:pPr>
            <w:r>
              <w:rPr>
                <w:rFonts w:ascii="FreeSerif" w:hAnsi="FreeSerif"/>
                <w:color w:val="3C3C3C"/>
                <w:sz w:val="18"/>
              </w:rPr>
              <w:t>—</w:t>
            </w:r>
          </w:p>
        </w:tc>
      </w:tr>
    </w:tbl>
    <w:p/>
    <w:p>
      <w:pPr>
        <w:spacing w:line="312" w:lineRule="auto"/>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line="312" w:lineRule="auto"/>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line="312" w:lineRule="auto"/>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line="312" w:lineRule="auto"/>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line="312" w:lineRule="auto"/>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line="312" w:lineRule="auto"/>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line="312" w:lineRule="auto"/>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line="312" w:lineRule="auto"/>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line="312" w:lineRule="auto"/>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line="312" w:lineRule="auto"/>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280" w:after="120"/>
        <w:pBdr>
          <w:bottom w:val="single" w:sz="7" w:space="3" w:color="A07820"/>
        </w:pBdr>
      </w:pPr>
      <w:r>
        <w:rPr>
          <w:rFonts w:ascii="FreeSerif" w:hAnsi="FreeSerif"/>
          <w:b/>
          <w:color w:val="2C3A4A"/>
          <w:sz w:val="22"/>
        </w:rPr>
        <w:t>Le GAFI : bras armé financier du néocolonialisme</w:t>
      </w:r>
    </w:p>
    <w:p>
      <w:pPr>
        <w:spacing w:line="312" w:lineRule="auto"/>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line="312" w:lineRule="auto"/>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line="312" w:lineRule="auto"/>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line="312" w:lineRule="auto"/>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line="312" w:lineRule="auto"/>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line="312" w:lineRule="auto"/>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line="312" w:lineRule="auto"/>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line="312" w:lineRule="auto"/>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line="312" w:lineRule="auto"/>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line="312" w:lineRule="auto"/>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line="312" w:lineRule="auto"/>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line="312" w:lineRule="auto"/>
      </w:pPr>
      <w:r>
        <w:rPr>
          <w:rFonts w:ascii="FreeSerif" w:hAnsi="FreeSerif"/>
          <w:sz w:val="22"/>
        </w:rPr>
        <w:t>La France s'est entendue avec le GAFI pour maquiller les conclusions de son dernier rapport à son avantage. Ce qui dit tout ce qu'on doit savoir sur cet organisme.</w:t>
      </w:r>
    </w:p>
    <w:p>
      <w:pPr>
        <w:spacing w:line="312" w:lineRule="auto"/>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line="312" w:lineRule="auto"/>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line="312" w:lineRule="auto"/>
      </w:pPr>
      <w:r>
        <w:rPr>
          <w:rFonts w:ascii="FreeSerif" w:hAnsi="FreeSerif"/>
          <w:sz w:val="22"/>
        </w:rPr>
        <w:t>Le GAFI s'inscrit dans une architecture mondiale conçue après 1945 pour perpétuer l'impérialisme occidental et le figer dans le marbre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Année</w:t>
            </w:r>
          </w:p>
        </w:tc>
        <w:tc>
          <w:tcPr>
            <w:tcW w:type="dxa" w:w="3135"/>
            <w:shd w:val="clear" w:color="auto" w:fill="2C3A4A"/>
          </w:tcPr>
          <w:p>
            <w:pPr>
              <w:ind w:left="85"/>
            </w:pPr>
            <w:r>
              <w:rPr>
                <w:rFonts w:ascii="FreeSerif" w:hAnsi="FreeSerif"/>
                <w:b/>
                <w:color w:val="FFFFFF"/>
                <w:sz w:val="19"/>
              </w:rPr>
              <w:t>Institution</w:t>
            </w:r>
          </w:p>
        </w:tc>
        <w:tc>
          <w:tcPr>
            <w:tcW w:type="dxa" w:w="3135"/>
            <w:shd w:val="clear" w:color="auto" w:fill="2C3A4A"/>
          </w:tcPr>
          <w:p>
            <w:pPr>
              <w:ind w:left="85"/>
            </w:pPr>
            <w:r>
              <w:rPr>
                <w:rFonts w:ascii="FreeSerif" w:hAnsi="FreeSerif"/>
                <w:b/>
                <w:color w:val="FFFFFF"/>
                <w:sz w:val="19"/>
              </w:rPr>
              <w:t>Rôle réel</w:t>
            </w:r>
          </w:p>
        </w:tc>
      </w:tr>
      <w:tr>
        <w:tc>
          <w:tcPr>
            <w:tcW w:type="dxa" w:w="3135"/>
            <w:shd w:val="clear" w:color="auto" w:fill="F4EFE4"/>
          </w:tcPr>
          <w:p>
            <w:pPr>
              <w:ind w:left="85"/>
            </w:pPr>
            <w:r>
              <w:rPr>
                <w:rFonts w:ascii="FreeSerif" w:hAnsi="FreeSerif"/>
                <w:color w:val="3C3C3C"/>
                <w:sz w:val="18"/>
              </w:rPr>
              <w:t>1944</w:t>
            </w:r>
          </w:p>
        </w:tc>
        <w:tc>
          <w:tcPr>
            <w:tcW w:type="dxa" w:w="3135"/>
            <w:shd w:val="clear" w:color="auto" w:fill="F4EFE4"/>
          </w:tcPr>
          <w:p>
            <w:pPr>
              <w:ind w:left="85"/>
            </w:pPr>
            <w:r>
              <w:rPr>
                <w:rFonts w:ascii="FreeSerif" w:hAnsi="FreeSerif"/>
                <w:color w:val="3C3C3C"/>
                <w:sz w:val="18"/>
              </w:rPr>
              <w:t>Banque mondiale &amp; FMI (Bretton Woods)</w:t>
            </w:r>
          </w:p>
        </w:tc>
        <w:tc>
          <w:tcPr>
            <w:tcW w:type="dxa" w:w="3135"/>
            <w:shd w:val="clear" w:color="auto" w:fill="F4EFE4"/>
          </w:tcPr>
          <w:p>
            <w:pPr>
              <w:ind w:left="85"/>
            </w:pPr>
            <w:r>
              <w:rPr>
                <w:rFonts w:ascii="FreeSerif" w:hAnsi="FreeSerif"/>
                <w:color w:val="3C3C3C"/>
                <w:sz w:val="18"/>
              </w:rPr>
              <w:t>Endettement structurel du Sud</w:t>
            </w:r>
          </w:p>
        </w:tc>
      </w:tr>
      <w:tr>
        <w:tc>
          <w:tcPr>
            <w:tcW w:type="dxa" w:w="3135"/>
            <w:shd w:val="clear" w:color="auto" w:fill="F4EFE4"/>
          </w:tcPr>
          <w:p>
            <w:pPr>
              <w:ind w:left="85"/>
            </w:pPr>
            <w:r>
              <w:rPr>
                <w:rFonts w:ascii="FreeSerif" w:hAnsi="FreeSerif"/>
                <w:color w:val="3C3C3C"/>
                <w:sz w:val="18"/>
              </w:rPr>
              <w:t>1945</w:t>
            </w:r>
          </w:p>
        </w:tc>
        <w:tc>
          <w:tcPr>
            <w:tcW w:type="dxa" w:w="3135"/>
            <w:shd w:val="clear" w:color="auto" w:fill="F4EFE4"/>
          </w:tcPr>
          <w:p>
            <w:pPr>
              <w:ind w:left="85"/>
            </w:pPr>
            <w:r>
              <w:rPr>
                <w:rFonts w:ascii="FreeSerif" w:hAnsi="FreeSerif"/>
                <w:color w:val="3C3C3C"/>
                <w:sz w:val="18"/>
              </w:rPr>
              <w:t>ONU</w:t>
            </w:r>
          </w:p>
        </w:tc>
        <w:tc>
          <w:tcPr>
            <w:tcW w:type="dxa" w:w="3135"/>
            <w:shd w:val="clear" w:color="auto" w:fill="F4EFE4"/>
          </w:tcPr>
          <w:p>
            <w:pPr>
              <w:ind w:left="85"/>
            </w:pPr>
            <w:r>
              <w:rPr>
                <w:rFonts w:ascii="FreeSerif" w:hAnsi="FreeSerif"/>
                <w:color w:val="3C3C3C"/>
                <w:sz w:val="18"/>
              </w:rPr>
              <w:t>Légitimation de l'ordre occidental</w:t>
            </w:r>
          </w:p>
        </w:tc>
      </w:tr>
      <w:tr>
        <w:tc>
          <w:tcPr>
            <w:tcW w:type="dxa" w:w="3135"/>
            <w:shd w:val="clear" w:color="auto" w:fill="F4EFE4"/>
          </w:tcPr>
          <w:p>
            <w:pPr>
              <w:ind w:left="85"/>
            </w:pPr>
            <w:r>
              <w:rPr>
                <w:rFonts w:ascii="FreeSerif" w:hAnsi="FreeSerif"/>
                <w:color w:val="3C3C3C"/>
                <w:sz w:val="18"/>
              </w:rPr>
              <w:t>1949</w:t>
            </w:r>
          </w:p>
        </w:tc>
        <w:tc>
          <w:tcPr>
            <w:tcW w:type="dxa" w:w="3135"/>
            <w:shd w:val="clear" w:color="auto" w:fill="F4EFE4"/>
          </w:tcPr>
          <w:p>
            <w:pPr>
              <w:ind w:left="85"/>
            </w:pPr>
            <w:r>
              <w:rPr>
                <w:rFonts w:ascii="FreeSerif" w:hAnsi="FreeSerif"/>
                <w:color w:val="3C3C3C"/>
                <w:sz w:val="18"/>
              </w:rPr>
              <w:t>OMS</w:t>
            </w:r>
          </w:p>
        </w:tc>
        <w:tc>
          <w:tcPr>
            <w:tcW w:type="dxa" w:w="3135"/>
            <w:shd w:val="clear" w:color="auto" w:fill="F4EFE4"/>
          </w:tcPr>
          <w:p>
            <w:pPr>
              <w:ind w:left="85"/>
            </w:pPr>
            <w:r>
              <w:rPr>
                <w:rFonts w:ascii="FreeSerif" w:hAnsi="FreeSerif"/>
                <w:color w:val="3C3C3C"/>
                <w:sz w:val="18"/>
              </w:rPr>
              <w:t>Hégémonie sanitaire et pharmaceutique</w:t>
            </w:r>
          </w:p>
        </w:tc>
      </w:tr>
      <w:tr>
        <w:tc>
          <w:tcPr>
            <w:tcW w:type="dxa" w:w="3135"/>
            <w:shd w:val="clear" w:color="auto" w:fill="F4EFE4"/>
          </w:tcPr>
          <w:p>
            <w:pPr>
              <w:ind w:left="85"/>
            </w:pPr>
            <w:r>
              <w:rPr>
                <w:rFonts w:ascii="FreeSerif" w:hAnsi="FreeSerif"/>
                <w:color w:val="3C3C3C"/>
                <w:sz w:val="18"/>
              </w:rPr>
              <w:t>1989</w:t>
            </w:r>
          </w:p>
        </w:tc>
        <w:tc>
          <w:tcPr>
            <w:tcW w:type="dxa" w:w="3135"/>
            <w:shd w:val="clear" w:color="auto" w:fill="F4EFE4"/>
          </w:tcPr>
          <w:p>
            <w:pPr>
              <w:ind w:left="85"/>
            </w:pPr>
            <w:r>
              <w:rPr>
                <w:rFonts w:ascii="FreeSerif" w:hAnsi="FreeSerif"/>
                <w:color w:val="3C3C3C"/>
                <w:sz w:val="18"/>
              </w:rPr>
              <w:t>GAFI</w:t>
            </w:r>
          </w:p>
        </w:tc>
        <w:tc>
          <w:tcPr>
            <w:tcW w:type="dxa" w:w="3135"/>
            <w:shd w:val="clear" w:color="auto" w:fill="F4EFE4"/>
          </w:tcPr>
          <w:p>
            <w:pPr>
              <w:ind w:left="85"/>
            </w:pPr>
            <w:r>
              <w:rPr>
                <w:rFonts w:ascii="FreeSerif" w:hAnsi="FreeSerif"/>
                <w:color w:val="3C3C3C"/>
                <w:sz w:val="18"/>
              </w:rPr>
              <w:t>Censure financière des dissidents</w:t>
            </w:r>
          </w:p>
        </w:tc>
      </w:tr>
      <w:tr>
        <w:tc>
          <w:tcPr>
            <w:tcW w:type="dxa" w:w="3135"/>
            <w:shd w:val="clear" w:color="auto" w:fill="F4EFE4"/>
          </w:tcPr>
          <w:p>
            <w:pPr>
              <w:ind w:left="85"/>
            </w:pPr>
            <w:r>
              <w:rPr>
                <w:rFonts w:ascii="FreeSerif" w:hAnsi="FreeSerif"/>
                <w:color w:val="3C3C3C"/>
                <w:sz w:val="18"/>
              </w:rPr>
              <w:t>1995</w:t>
            </w:r>
          </w:p>
        </w:tc>
        <w:tc>
          <w:tcPr>
            <w:tcW w:type="dxa" w:w="3135"/>
            <w:shd w:val="clear" w:color="auto" w:fill="F4EFE4"/>
          </w:tcPr>
          <w:p>
            <w:pPr>
              <w:ind w:left="85"/>
            </w:pPr>
            <w:r>
              <w:rPr>
                <w:rFonts w:ascii="FreeSerif" w:hAnsi="FreeSerif"/>
                <w:color w:val="3C3C3C"/>
                <w:sz w:val="18"/>
              </w:rPr>
              <w:t>OMC</w:t>
            </w:r>
          </w:p>
        </w:tc>
        <w:tc>
          <w:tcPr>
            <w:tcW w:type="dxa" w:w="3135"/>
            <w:shd w:val="clear" w:color="auto" w:fill="F4EFE4"/>
          </w:tcPr>
          <w:p>
            <w:pPr>
              <w:ind w:left="85"/>
            </w:pPr>
            <w:r>
              <w:rPr>
                <w:rFonts w:ascii="FreeSerif" w:hAnsi="FreeSerif"/>
                <w:color w:val="3C3C3C"/>
                <w:sz w:val="18"/>
              </w:rPr>
              <w:t>Ouverture forcée des marchés du Sud</w:t>
            </w:r>
          </w:p>
        </w:tc>
      </w:tr>
    </w:tbl>
    <w:p/>
    <w:p>
      <w:pPr>
        <w:spacing w:line="312" w:lineRule="auto"/>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line="312" w:lineRule="auto"/>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line="312" w:lineRule="auto"/>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line="312" w:lineRule="auto"/>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line="312" w:lineRule="auto"/>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line="312" w:lineRule="auto"/>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line="312" w:lineRule="auto"/>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line="312" w:lineRule="auto"/>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line="312" w:lineRule="auto"/>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line="312" w:lineRule="auto"/>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line="312" w:lineRule="auto"/>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line="312" w:lineRule="auto"/>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line="312" w:lineRule="auto"/>
      </w:pPr>
      <w:r>
        <w:rPr>
          <w:rFonts w:ascii="FreeSerif" w:hAnsi="FreeSerif"/>
          <w:sz w:val="22"/>
        </w:rPr>
        <w:t>Le Dr Yamb Ntimba a donné de ce système sa description la plus structurée : une pyramide de domination à cinq niveaux.</w:t>
      </w:r>
    </w:p>
    <w:p>
      <w:pPr>
        <w:spacing w:line="312" w:lineRule="auto"/>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line="312" w:lineRule="auto"/>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Niveau</w:t>
            </w:r>
          </w:p>
        </w:tc>
        <w:tc>
          <w:tcPr>
            <w:tcW w:type="dxa" w:w="4703"/>
            <w:shd w:val="clear" w:color="auto" w:fill="2C3A4A"/>
          </w:tcPr>
          <w:p>
            <w:pPr>
              <w:ind w:left="85"/>
            </w:pPr>
            <w:r>
              <w:rPr>
                <w:rFonts w:ascii="FreeSerif" w:hAnsi="FreeSerif"/>
                <w:b/>
                <w:color w:val="FFFFFF"/>
                <w:sz w:val="19"/>
              </w:rPr>
              <w:t>Contenu</w:t>
            </w:r>
          </w:p>
        </w:tc>
      </w:tr>
      <w:tr>
        <w:tc>
          <w:tcPr>
            <w:tcW w:type="dxa" w:w="4703"/>
            <w:shd w:val="clear" w:color="auto" w:fill="F4EFE4"/>
          </w:tcPr>
          <w:p>
            <w:pPr>
              <w:ind w:left="85"/>
            </w:pPr>
            <w:r>
              <w:rPr>
                <w:rFonts w:ascii="FreeSerif" w:hAnsi="FreeSerif"/>
                <w:color w:val="3C3C3C"/>
                <w:sz w:val="18"/>
              </w:rPr>
              <w:t>5 — Ontologique</w:t>
            </w:r>
          </w:p>
        </w:tc>
        <w:tc>
          <w:tcPr>
            <w:tcW w:type="dxa" w:w="4703"/>
            <w:shd w:val="clear" w:color="auto" w:fill="F4EFE4"/>
          </w:tcPr>
          <w:p>
            <w:pPr>
              <w:ind w:left="85"/>
            </w:pPr>
            <w:r>
              <w:rPr>
                <w:rFonts w:ascii="FreeSerif" w:hAnsi="FreeSerif"/>
                <w:color w:val="3C3C3C"/>
                <w:sz w:val="18"/>
              </w:rPr>
              <w:t>Faire croire aux dominés à leur propre infériorité ; structurer l'environnement mental</w:t>
            </w:r>
          </w:p>
        </w:tc>
      </w:tr>
      <w:tr>
        <w:tc>
          <w:tcPr>
            <w:tcW w:type="dxa" w:w="4703"/>
            <w:shd w:val="clear" w:color="auto" w:fill="F4EFE4"/>
          </w:tcPr>
          <w:p>
            <w:pPr>
              <w:ind w:left="85"/>
            </w:pPr>
            <w:r>
              <w:rPr>
                <w:rFonts w:ascii="FreeSerif" w:hAnsi="FreeSerif"/>
                <w:color w:val="3C3C3C"/>
                <w:sz w:val="18"/>
              </w:rPr>
              <w:t>4 — Culturel et médiatique</w:t>
            </w:r>
          </w:p>
        </w:tc>
        <w:tc>
          <w:tcPr>
            <w:tcW w:type="dxa" w:w="4703"/>
            <w:shd w:val="clear" w:color="auto" w:fill="F4EFE4"/>
          </w:tcPr>
          <w:p>
            <w:pPr>
              <w:ind w:left="85"/>
            </w:pPr>
            <w:r>
              <w:rPr>
                <w:rFonts w:ascii="FreeSerif" w:hAnsi="FreeSerif"/>
                <w:color w:val="3C3C3C"/>
                <w:sz w:val="18"/>
              </w:rPr>
              <w:t>RFI, France 24, TV5, ONG ; la « démocratie » comme label décerné ou retiré</w:t>
            </w:r>
          </w:p>
        </w:tc>
      </w:tr>
      <w:tr>
        <w:tc>
          <w:tcPr>
            <w:tcW w:type="dxa" w:w="4703"/>
            <w:shd w:val="clear" w:color="auto" w:fill="F4EFE4"/>
          </w:tcPr>
          <w:p>
            <w:pPr>
              <w:ind w:left="85"/>
            </w:pPr>
            <w:r>
              <w:rPr>
                <w:rFonts w:ascii="FreeSerif" w:hAnsi="FreeSerif"/>
                <w:color w:val="3C3C3C"/>
                <w:sz w:val="18"/>
              </w:rPr>
              <w:t>3 — Informationnel</w:t>
            </w:r>
          </w:p>
        </w:tc>
        <w:tc>
          <w:tcPr>
            <w:tcW w:type="dxa" w:w="4703"/>
            <w:shd w:val="clear" w:color="auto" w:fill="F4EFE4"/>
          </w:tcPr>
          <w:p>
            <w:pPr>
              <w:ind w:left="85"/>
            </w:pPr>
            <w:r>
              <w:rPr>
                <w:rFonts w:ascii="FreeSerif" w:hAnsi="FreeSerif"/>
                <w:color w:val="3C3C3C"/>
                <w:sz w:val="18"/>
              </w:rPr>
              <w:t>Opérations d'influence numérique et influenceurs rémunérés</w:t>
            </w:r>
          </w:p>
        </w:tc>
      </w:tr>
      <w:tr>
        <w:tc>
          <w:tcPr>
            <w:tcW w:type="dxa" w:w="4703"/>
            <w:shd w:val="clear" w:color="auto" w:fill="F4EFE4"/>
          </w:tcPr>
          <w:p>
            <w:pPr>
              <w:ind w:left="85"/>
            </w:pPr>
            <w:r>
              <w:rPr>
                <w:rFonts w:ascii="FreeSerif" w:hAnsi="FreeSerif"/>
                <w:color w:val="3C3C3C"/>
                <w:sz w:val="18"/>
              </w:rPr>
              <w:t>2 — Économique</w:t>
            </w:r>
          </w:p>
        </w:tc>
        <w:tc>
          <w:tcPr>
            <w:tcW w:type="dxa" w:w="4703"/>
            <w:shd w:val="clear" w:color="auto" w:fill="F4EFE4"/>
          </w:tcPr>
          <w:p>
            <w:pPr>
              <w:ind w:left="85"/>
            </w:pPr>
            <w:r>
              <w:rPr>
                <w:rFonts w:ascii="FreeSerif" w:hAnsi="FreeSerif"/>
                <w:color w:val="3C3C3C"/>
                <w:sz w:val="18"/>
              </w:rPr>
              <w:t>Franc CFA, BCEAO, FMI, mécanisme de la dette</w:t>
            </w:r>
          </w:p>
        </w:tc>
      </w:tr>
      <w:tr>
        <w:tc>
          <w:tcPr>
            <w:tcW w:type="dxa" w:w="4703"/>
            <w:shd w:val="clear" w:color="auto" w:fill="F4EFE4"/>
          </w:tcPr>
          <w:p>
            <w:pPr>
              <w:ind w:left="85"/>
            </w:pPr>
            <w:r>
              <w:rPr>
                <w:rFonts w:ascii="FreeSerif" w:hAnsi="FreeSerif"/>
                <w:color w:val="3C3C3C"/>
                <w:sz w:val="18"/>
              </w:rPr>
              <w:t>1 — Militaire</w:t>
            </w:r>
          </w:p>
        </w:tc>
        <w:tc>
          <w:tcPr>
            <w:tcW w:type="dxa" w:w="4703"/>
            <w:shd w:val="clear" w:color="auto" w:fill="F4EFE4"/>
          </w:tcPr>
          <w:p>
            <w:pPr>
              <w:ind w:left="85"/>
            </w:pPr>
            <w:r>
              <w:rPr>
                <w:rFonts w:ascii="FreeSerif" w:hAnsi="FreeSerif"/>
                <w:color w:val="3C3C3C"/>
                <w:sz w:val="18"/>
              </w:rPr>
              <w:t>Bases, opérations, et leurs prolongements clandestins</w:t>
            </w:r>
          </w:p>
        </w:tc>
      </w:tr>
    </w:tbl>
    <w:p/>
    <w:p>
      <w:pPr>
        <w:spacing w:line="312" w:lineRule="auto"/>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line="312" w:lineRule="auto"/>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Terme officiel</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 Opération de stabilisation »</w:t>
            </w:r>
          </w:p>
        </w:tc>
        <w:tc>
          <w:tcPr>
            <w:tcW w:type="dxa" w:w="4703"/>
            <w:shd w:val="clear" w:color="auto" w:fill="F4EFE4"/>
          </w:tcPr>
          <w:p>
            <w:pPr>
              <w:ind w:left="85"/>
            </w:pPr>
            <w:r>
              <w:rPr>
                <w:rFonts w:ascii="FreeSerif" w:hAnsi="FreeSerif"/>
                <w:color w:val="3C3C3C"/>
                <w:sz w:val="18"/>
              </w:rPr>
              <w:t>Intervention militaire non autorisée par le peuple concerné</w:t>
            </w:r>
          </w:p>
        </w:tc>
      </w:tr>
      <w:tr>
        <w:tc>
          <w:tcPr>
            <w:tcW w:type="dxa" w:w="4703"/>
            <w:shd w:val="clear" w:color="auto" w:fill="F4EFE4"/>
          </w:tcPr>
          <w:p>
            <w:pPr>
              <w:ind w:left="85"/>
            </w:pPr>
            <w:r>
              <w:rPr>
                <w:rFonts w:ascii="FreeSerif" w:hAnsi="FreeSerif"/>
                <w:color w:val="3C3C3C"/>
                <w:sz w:val="18"/>
              </w:rPr>
              <w:t>« Partenariat sécuritaire »</w:t>
            </w:r>
          </w:p>
        </w:tc>
        <w:tc>
          <w:tcPr>
            <w:tcW w:type="dxa" w:w="4703"/>
            <w:shd w:val="clear" w:color="auto" w:fill="F4EFE4"/>
          </w:tcPr>
          <w:p>
            <w:pPr>
              <w:ind w:left="85"/>
            </w:pPr>
            <w:r>
              <w:rPr>
                <w:rFonts w:ascii="FreeSerif" w:hAnsi="FreeSerif"/>
                <w:color w:val="3C3C3C"/>
                <w:sz w:val="18"/>
              </w:rPr>
              <w:t>Présence militaire avec droit de regard sur les ressources</w:t>
            </w:r>
          </w:p>
        </w:tc>
      </w:tr>
      <w:tr>
        <w:tc>
          <w:tcPr>
            <w:tcW w:type="dxa" w:w="4703"/>
            <w:shd w:val="clear" w:color="auto" w:fill="F4EFE4"/>
          </w:tcPr>
          <w:p>
            <w:pPr>
              <w:ind w:left="85"/>
            </w:pPr>
            <w:r>
              <w:rPr>
                <w:rFonts w:ascii="FreeSerif" w:hAnsi="FreeSerif"/>
                <w:color w:val="3C3C3C"/>
                <w:sz w:val="18"/>
              </w:rPr>
              <w:t>« Aide au développement »</w:t>
            </w:r>
          </w:p>
        </w:tc>
        <w:tc>
          <w:tcPr>
            <w:tcW w:type="dxa" w:w="4703"/>
            <w:shd w:val="clear" w:color="auto" w:fill="F4EFE4"/>
          </w:tcPr>
          <w:p>
            <w:pPr>
              <w:ind w:left="85"/>
            </w:pPr>
            <w:r>
              <w:rPr>
                <w:rFonts w:ascii="FreeSerif" w:hAnsi="FreeSerif"/>
                <w:color w:val="3C3C3C"/>
                <w:sz w:val="18"/>
              </w:rPr>
              <w:t>Prêts conditionnés à l'ouverture des marchés</w:t>
            </w:r>
          </w:p>
        </w:tc>
      </w:tr>
      <w:tr>
        <w:tc>
          <w:tcPr>
            <w:tcW w:type="dxa" w:w="4703"/>
            <w:shd w:val="clear" w:color="auto" w:fill="F4EFE4"/>
          </w:tcPr>
          <w:p>
            <w:pPr>
              <w:ind w:left="85"/>
            </w:pPr>
            <w:r>
              <w:rPr>
                <w:rFonts w:ascii="FreeSerif" w:hAnsi="FreeSerif"/>
                <w:color w:val="3C3C3C"/>
                <w:sz w:val="18"/>
              </w:rPr>
              <w:t>« Coup d'État »</w:t>
            </w:r>
          </w:p>
        </w:tc>
        <w:tc>
          <w:tcPr>
            <w:tcW w:type="dxa" w:w="4703"/>
            <w:shd w:val="clear" w:color="auto" w:fill="F4EFE4"/>
          </w:tcPr>
          <w:p>
            <w:pPr>
              <w:ind w:left="85"/>
            </w:pPr>
            <w:r>
              <w:rPr>
                <w:rFonts w:ascii="FreeSerif" w:hAnsi="FreeSerif"/>
                <w:color w:val="3C3C3C"/>
                <w:sz w:val="18"/>
              </w:rPr>
              <w:t>Renversement d'un régime pro-français ; « transition légitime » = changement favorable à Paris</w:t>
            </w:r>
          </w:p>
        </w:tc>
      </w:tr>
      <w:tr>
        <w:tc>
          <w:tcPr>
            <w:tcW w:type="dxa" w:w="4703"/>
            <w:shd w:val="clear" w:color="auto" w:fill="F4EFE4"/>
          </w:tcPr>
          <w:p>
            <w:pPr>
              <w:ind w:left="85"/>
            </w:pPr>
            <w:r>
              <w:rPr>
                <w:rFonts w:ascii="FreeSerif" w:hAnsi="FreeSerif"/>
                <w:color w:val="3C3C3C"/>
                <w:sz w:val="18"/>
              </w:rPr>
              <w:t>« Ingratitude africaine »</w:t>
            </w:r>
          </w:p>
        </w:tc>
        <w:tc>
          <w:tcPr>
            <w:tcW w:type="dxa" w:w="4703"/>
            <w:shd w:val="clear" w:color="auto" w:fill="F4EFE4"/>
          </w:tcPr>
          <w:p>
            <w:pPr>
              <w:ind w:left="85"/>
            </w:pPr>
            <w:r>
              <w:rPr>
                <w:rFonts w:ascii="FreeSerif" w:hAnsi="FreeSerif"/>
                <w:color w:val="3C3C3C"/>
                <w:sz w:val="18"/>
              </w:rPr>
              <w:t>Refus de la servitude</w:t>
            </w:r>
          </w:p>
        </w:tc>
      </w:tr>
      <w:tr>
        <w:tc>
          <w:tcPr>
            <w:tcW w:type="dxa" w:w="4703"/>
            <w:shd w:val="clear" w:color="auto" w:fill="F4EFE4"/>
          </w:tcPr>
          <w:p>
            <w:pPr>
              <w:ind w:left="85"/>
            </w:pPr>
            <w:r>
              <w:rPr>
                <w:rFonts w:ascii="FreeSerif" w:hAnsi="FreeSerif"/>
                <w:color w:val="3C3C3C"/>
                <w:sz w:val="18"/>
              </w:rPr>
              <w:t>« Désinformation »</w:t>
            </w:r>
          </w:p>
        </w:tc>
        <w:tc>
          <w:tcPr>
            <w:tcW w:type="dxa" w:w="4703"/>
            <w:shd w:val="clear" w:color="auto" w:fill="F4EFE4"/>
          </w:tcPr>
          <w:p>
            <w:pPr>
              <w:ind w:left="85"/>
            </w:pPr>
            <w:r>
              <w:rPr>
                <w:rFonts w:ascii="FreeSerif" w:hAnsi="FreeSerif"/>
                <w:color w:val="3C3C3C"/>
                <w:sz w:val="18"/>
              </w:rPr>
              <w:t>Tout récit défavorable aux intérêts français</w:t>
            </w:r>
          </w:p>
        </w:tc>
      </w:tr>
    </w:tbl>
    <w:p/>
    <w:p>
      <w:pPr>
        <w:spacing w:line="312" w:lineRule="auto"/>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line="312" w:lineRule="auto"/>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line="312" w:lineRule="auto"/>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line="312" w:lineRule="auto"/>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line="312" w:lineRule="auto"/>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line="312" w:lineRule="auto"/>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line="312" w:lineRule="auto"/>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line="312" w:lineRule="auto"/>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line="312" w:lineRule="auto"/>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line="312" w:lineRule="auto"/>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line="312" w:lineRule="auto"/>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line="312" w:lineRule="auto"/>
      </w:pPr>
      <w:r>
        <w:rPr>
          <w:rFonts w:ascii="FreeSerif" w:hAnsi="FreeSerif"/>
          <w:sz w:val="22"/>
        </w:rPr>
        <w:t>Que gagne-t-on à servir l'Empire ? Trois portraits répondent.</w:t>
      </w:r>
    </w:p>
    <w:p>
      <w:pPr>
        <w:spacing w:line="312" w:lineRule="auto"/>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line="312" w:lineRule="auto"/>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line="312" w:lineRule="auto"/>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line="312" w:lineRule="auto"/>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line="312" w:lineRule="auto"/>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line="312" w:lineRule="auto"/>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line="312" w:lineRule="auto"/>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line="312" w:lineRule="auto"/>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line="312" w:lineRule="auto"/>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line="312" w:lineRule="auto"/>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line="312" w:lineRule="auto"/>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line="312" w:lineRule="auto"/>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line="312" w:lineRule="auto"/>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line="312" w:lineRule="auto"/>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line="312" w:lineRule="auto"/>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line="312" w:lineRule="auto"/>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line="312" w:lineRule="auto"/>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line="312" w:lineRule="auto"/>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Réalité camerounaise</w:t>
            </w:r>
          </w:p>
        </w:tc>
      </w:tr>
      <w:tr>
        <w:tc>
          <w:tcPr>
            <w:tcW w:type="dxa" w:w="4703"/>
            <w:shd w:val="clear" w:color="auto" w:fill="F4EFE4"/>
          </w:tcPr>
          <w:p>
            <w:pPr>
              <w:ind w:left="85"/>
            </w:pPr>
            <w:r>
              <w:rPr>
                <w:rFonts w:ascii="FreeSerif" w:hAnsi="FreeSerif"/>
                <w:color w:val="3C3C3C"/>
                <w:sz w:val="18"/>
              </w:rPr>
              <w:t>Fondation des Brasseries</w:t>
            </w:r>
          </w:p>
        </w:tc>
        <w:tc>
          <w:tcPr>
            <w:tcW w:type="dxa" w:w="4703"/>
            <w:shd w:val="clear" w:color="auto" w:fill="F4EFE4"/>
          </w:tcPr>
          <w:p>
            <w:pPr>
              <w:ind w:left="85"/>
            </w:pPr>
            <w:r>
              <w:rPr>
                <w:rFonts w:ascii="FreeSerif" w:hAnsi="FreeSerif"/>
                <w:color w:val="3C3C3C"/>
                <w:sz w:val="18"/>
              </w:rPr>
              <w:t>1948, avant l'indépendance, capitaux coloniaux</w:t>
            </w:r>
          </w:p>
        </w:tc>
      </w:tr>
      <w:tr>
        <w:tc>
          <w:tcPr>
            <w:tcW w:type="dxa" w:w="4703"/>
            <w:shd w:val="clear" w:color="auto" w:fill="F4EFE4"/>
          </w:tcPr>
          <w:p>
            <w:pPr>
              <w:ind w:left="85"/>
            </w:pPr>
            <w:r>
              <w:rPr>
                <w:rFonts w:ascii="FreeSerif" w:hAnsi="FreeSerif"/>
                <w:color w:val="3C3C3C"/>
                <w:sz w:val="18"/>
              </w:rPr>
              <w:t>Longévité</w:t>
            </w:r>
          </w:p>
        </w:tc>
        <w:tc>
          <w:tcPr>
            <w:tcW w:type="dxa" w:w="4703"/>
            <w:shd w:val="clear" w:color="auto" w:fill="F4EFE4"/>
          </w:tcPr>
          <w:p>
            <w:pPr>
              <w:ind w:left="85"/>
            </w:pPr>
            <w:r>
              <w:rPr>
                <w:rFonts w:ascii="FreeSerif" w:hAnsi="FreeSerif"/>
                <w:color w:val="3C3C3C"/>
                <w:sz w:val="18"/>
              </w:rPr>
              <w:t>Aucune faillite en 80 ans, malgré dévaluations</w:t>
            </w:r>
          </w:p>
        </w:tc>
      </w:tr>
      <w:tr>
        <w:tc>
          <w:tcPr>
            <w:tcW w:type="dxa" w:w="4703"/>
            <w:shd w:val="clear" w:color="auto" w:fill="F4EFE4"/>
          </w:tcPr>
          <w:p>
            <w:pPr>
              <w:ind w:left="85"/>
            </w:pPr>
            <w:r>
              <w:rPr>
                <w:rFonts w:ascii="FreeSerif" w:hAnsi="FreeSerif"/>
                <w:color w:val="3C3C3C"/>
                <w:sz w:val="18"/>
              </w:rPr>
              <w:t>Rang fiscal</w:t>
            </w:r>
          </w:p>
        </w:tc>
        <w:tc>
          <w:tcPr>
            <w:tcW w:type="dxa" w:w="4703"/>
            <w:shd w:val="clear" w:color="auto" w:fill="F4EFE4"/>
          </w:tcPr>
          <w:p>
            <w:pPr>
              <w:ind w:left="85"/>
            </w:pPr>
            <w:r>
              <w:rPr>
                <w:rFonts w:ascii="FreeSerif" w:hAnsi="FreeSerif"/>
                <w:color w:val="3C3C3C"/>
                <w:sz w:val="18"/>
              </w:rPr>
              <w:t>Parmi les premiers contributeurs au budget de l'État</w:t>
            </w:r>
          </w:p>
        </w:tc>
      </w:tr>
      <w:tr>
        <w:tc>
          <w:tcPr>
            <w:tcW w:type="dxa" w:w="4703"/>
            <w:shd w:val="clear" w:color="auto" w:fill="F4EFE4"/>
          </w:tcPr>
          <w:p>
            <w:pPr>
              <w:ind w:left="85"/>
            </w:pPr>
            <w:r>
              <w:rPr>
                <w:rFonts w:ascii="FreeSerif" w:hAnsi="FreeSerif"/>
                <w:color w:val="3C3C3C"/>
                <w:sz w:val="18"/>
              </w:rPr>
              <w:t>Zone universitaire de Douala</w:t>
            </w:r>
          </w:p>
        </w:tc>
        <w:tc>
          <w:tcPr>
            <w:tcW w:type="dxa" w:w="4703"/>
            <w:shd w:val="clear" w:color="auto" w:fill="F4EFE4"/>
          </w:tcPr>
          <w:p>
            <w:pPr>
              <w:ind w:left="85"/>
            </w:pPr>
            <w:r>
              <w:rPr>
                <w:rFonts w:ascii="FreeSerif" w:hAnsi="FreeSerif"/>
                <w:color w:val="3C3C3C"/>
                <w:sz w:val="18"/>
              </w:rPr>
              <w:t>~1 000 débits de boissons pour une vingtaine d'établissements d'enseignement</w:t>
            </w:r>
          </w:p>
        </w:tc>
      </w:tr>
    </w:tbl>
    <w:p/>
    <w:p>
      <w:pPr>
        <w:spacing w:line="312" w:lineRule="auto"/>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line="312" w:lineRule="auto"/>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line="312" w:lineRule="auto"/>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line="312" w:lineRule="auto"/>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line="312" w:lineRule="auto"/>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line="312" w:lineRule="auto"/>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line="312" w:lineRule="auto"/>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line="312" w:lineRule="auto"/>
      </w:pPr>
      <w:r>
        <w:rPr>
          <w:rFonts w:ascii="FreeSerif" w:hAnsi="FreeSerif"/>
          <w:sz w:val="22"/>
        </w:rPr>
        <w:t>Kadhafi n'était pas un saint. Sur le plan intérieur, l'homme fut autoritaire, imprévisible, parfois brutal. Mais réduire quarante-deux ans de pouvoir à cette seule face, c'est manquer ce qui fait de sa mort un tournant pour le continent — et c'est exactement ce que le récit occidental a voulu faire croire.</w:t>
      </w:r>
    </w:p>
    <w:p>
      <w:pPr>
        <w:spacing w:line="312" w:lineRule="auto"/>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line="312" w:lineRule="auto"/>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line="312" w:lineRule="auto"/>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line="312" w:lineRule="auto"/>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Projet</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b/>
                <w:color w:val="3C3C3C"/>
                <w:sz w:val="18"/>
              </w:rPr>
              <w:t>Malibya</w:t>
            </w:r>
          </w:p>
        </w:tc>
        <w:tc>
          <w:tcPr>
            <w:tcW w:type="dxa" w:w="4703"/>
            <w:shd w:val="clear" w:color="auto" w:fill="F4EFE4"/>
          </w:tcPr>
          <w:p>
            <w:pPr>
              <w:ind w:left="85"/>
            </w:pPr>
            <w:r>
              <w:rPr>
                <w:rFonts w:ascii="FreeSerif" w:hAnsi="FreeSerif"/>
                <w:color w:val="3C3C3C"/>
                <w:sz w:val="18"/>
              </w:rPr>
              <w:t>~100 000 hectares de terres agricoles aménagées au Mali</w:t>
            </w:r>
          </w:p>
        </w:tc>
      </w:tr>
      <w:tr>
        <w:tc>
          <w:tcPr>
            <w:tcW w:type="dxa" w:w="4703"/>
            <w:shd w:val="clear" w:color="auto" w:fill="F4EFE4"/>
          </w:tcPr>
          <w:p>
            <w:pPr>
              <w:ind w:left="85"/>
            </w:pPr>
            <w:r>
              <w:rPr>
                <w:rFonts w:ascii="FreeSerif" w:hAnsi="FreeSerif"/>
                <w:b/>
                <w:color w:val="3C3C3C"/>
                <w:sz w:val="18"/>
              </w:rPr>
              <w:t>Oilibya</w:t>
            </w:r>
          </w:p>
        </w:tc>
        <w:tc>
          <w:tcPr>
            <w:tcW w:type="dxa" w:w="4703"/>
            <w:shd w:val="clear" w:color="auto" w:fill="F4EFE4"/>
          </w:tcPr>
          <w:p>
            <w:pPr>
              <w:ind w:left="85"/>
            </w:pPr>
            <w:r>
              <w:rPr>
                <w:rFonts w:ascii="FreeSerif" w:hAnsi="FreeSerif"/>
                <w:color w:val="3C3C3C"/>
                <w:sz w:val="18"/>
              </w:rPr>
              <w:t>Plus de 200 stations-service réparties à travers le continent</w:t>
            </w:r>
          </w:p>
        </w:tc>
      </w:tr>
      <w:tr>
        <w:tc>
          <w:tcPr>
            <w:tcW w:type="dxa" w:w="4703"/>
            <w:shd w:val="clear" w:color="auto" w:fill="F4EFE4"/>
          </w:tcPr>
          <w:p>
            <w:pPr>
              <w:ind w:left="85"/>
            </w:pPr>
            <w:r>
              <w:rPr>
                <w:rFonts w:ascii="FreeSerif" w:hAnsi="FreeSerif"/>
                <w:b/>
                <w:color w:val="3C3C3C"/>
                <w:sz w:val="18"/>
              </w:rPr>
              <w:t>Afriqiyah Airways</w:t>
            </w:r>
          </w:p>
        </w:tc>
        <w:tc>
          <w:tcPr>
            <w:tcW w:type="dxa" w:w="4703"/>
            <w:shd w:val="clear" w:color="auto" w:fill="F4EFE4"/>
          </w:tcPr>
          <w:p>
            <w:pPr>
              <w:ind w:left="85"/>
            </w:pPr>
            <w:r>
              <w:rPr>
                <w:rFonts w:ascii="FreeSerif" w:hAnsi="FreeSerif"/>
                <w:color w:val="3C3C3C"/>
                <w:sz w:val="18"/>
              </w:rPr>
              <w:t>Liaisons directes entre capitales africaines à prix réduit</w:t>
            </w:r>
          </w:p>
        </w:tc>
      </w:tr>
      <w:tr>
        <w:tc>
          <w:tcPr>
            <w:tcW w:type="dxa" w:w="4703"/>
            <w:shd w:val="clear" w:color="auto" w:fill="F4EFE4"/>
          </w:tcPr>
          <w:p>
            <w:pPr>
              <w:ind w:left="85"/>
            </w:pPr>
            <w:r>
              <w:rPr>
                <w:rFonts w:ascii="FreeSerif" w:hAnsi="FreeSerif"/>
                <w:b/>
                <w:color w:val="3C3C3C"/>
                <w:sz w:val="18"/>
              </w:rPr>
              <w:t>RASCOM</w:t>
            </w:r>
          </w:p>
        </w:tc>
        <w:tc>
          <w:tcPr>
            <w:tcW w:type="dxa" w:w="4703"/>
            <w:shd w:val="clear" w:color="auto" w:fill="F4EFE4"/>
          </w:tcPr>
          <w:p>
            <w:pPr>
              <w:ind w:left="85"/>
            </w:pPr>
            <w:r>
              <w:rPr>
                <w:rFonts w:ascii="FreeSerif" w:hAnsi="FreeSerif"/>
                <w:color w:val="3C3C3C"/>
                <w:sz w:val="18"/>
              </w:rPr>
              <w:t>Satellite libérant l'Afrique de la location occidentale (500 000 $/an/pays économisés)</w:t>
            </w:r>
          </w:p>
        </w:tc>
      </w:tr>
      <w:tr>
        <w:tc>
          <w:tcPr>
            <w:tcW w:type="dxa" w:w="4703"/>
            <w:shd w:val="clear" w:color="auto" w:fill="F4EFE4"/>
          </w:tcPr>
          <w:p>
            <w:pPr>
              <w:ind w:left="85"/>
            </w:pPr>
            <w:r>
              <w:rPr>
                <w:rFonts w:ascii="FreeSerif" w:hAnsi="FreeSerif"/>
                <w:b/>
                <w:color w:val="3C3C3C"/>
                <w:sz w:val="18"/>
              </w:rPr>
              <w:t>Investissements totaux</w:t>
            </w:r>
          </w:p>
        </w:tc>
        <w:tc>
          <w:tcPr>
            <w:tcW w:type="dxa" w:w="4703"/>
            <w:shd w:val="clear" w:color="auto" w:fill="F4EFE4"/>
          </w:tcPr>
          <w:p>
            <w:pPr>
              <w:ind w:left="85"/>
            </w:pPr>
            <w:r>
              <w:rPr>
                <w:rFonts w:ascii="FreeSerif" w:hAnsi="FreeSerif"/>
                <w:color w:val="3C3C3C"/>
                <w:sz w:val="18"/>
              </w:rPr>
              <w:t>Plus de 20 milliards de dollars (2000-2010)</w:t>
            </w:r>
          </w:p>
        </w:tc>
      </w:tr>
    </w:tbl>
    <w:p/>
    <w:p>
      <w:pPr>
        <w:spacing w:line="312" w:lineRule="auto"/>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line="312" w:lineRule="auto"/>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line="312" w:lineRule="auto"/>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line="312" w:lineRule="auto"/>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line="312" w:lineRule="auto"/>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line="312" w:lineRule="auto"/>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line="312" w:lineRule="auto"/>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line="312" w:lineRule="auto"/>
      </w:pPr>
      <w:r>
        <w:rPr>
          <w:rFonts w:ascii="FreeSerif" w:hAnsi="FreeSerif"/>
          <w:sz w:val="22"/>
        </w:rPr>
        <w:t>Sept mois de frappes, jusqu'au convoi de Syrte. La résolution permettait de protéger des civils. Elle a servi à tuer un chef d'État.</w:t>
      </w:r>
    </w:p>
    <w:p>
      <w:pPr>
        <w:spacing w:line="312" w:lineRule="auto"/>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line="312" w:lineRule="auto"/>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line="312" w:lineRule="auto"/>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line="312" w:lineRule="auto"/>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line="312" w:lineRule="auto"/>
      </w:pPr>
      <w:r>
        <w:rPr>
          <w:rFonts w:ascii="FreeSerif" w:hAnsi="FreeSerif"/>
          <w:b/>
          <w:sz w:val="22"/>
        </w:rPr>
        <w:t>Document C05779761</w:t>
      </w:r>
      <w:r>
        <w:rPr>
          <w:rFonts w:ascii="FreeSerif" w:hAnsi="FreeSerif"/>
          <w:sz w:val="22"/>
        </w:rPr>
        <w:t xml:space="preserve"> — Huma Abedin transmet à Clinton, 25 février 2011 :</w:t>
      </w:r>
    </w:p>
    <w:p>
      <w:pPr>
        <w:spacing w:line="312" w:lineRule="auto"/>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line="312" w:lineRule="auto"/>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line="312" w:lineRule="auto"/>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line="312" w:lineRule="auto"/>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line="312" w:lineRule="auto"/>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line="312" w:lineRule="auto"/>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line="312" w:lineRule="auto"/>
      </w:pPr>
      <w:r>
        <w:rPr>
          <w:rFonts w:ascii="FreeSerif" w:hAnsi="FreeSerif"/>
          <w:sz w:val="22"/>
        </w:rPr>
        <w:t>Le 15 mars, Clinton appelle Obama depuis Paris. Il se range à son avis. En trois semaines — pas en trois ans — la décision est prise.</w:t>
      </w:r>
    </w:p>
    <w:p>
      <w:pPr>
        <w:spacing w:line="312" w:lineRule="auto"/>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line="312" w:lineRule="auto"/>
      </w:pPr>
      <w:r>
        <w:rPr>
          <w:rFonts w:ascii="FreeSerif" w:hAnsi="FreeSerif"/>
          <w:b/>
          <w:sz w:val="22"/>
        </w:rPr>
        <w:t>Document C05779381</w:t>
      </w:r>
      <w:r>
        <w:rPr>
          <w:rFonts w:ascii="FreeSerif" w:hAnsi="FreeSerif"/>
          <w:sz w:val="22"/>
        </w:rPr>
        <w:t xml:space="preserve"> — Blumenthal à Clinton, 3 mars 2011 :</w:t>
      </w:r>
    </w:p>
    <w:p>
      <w:pPr>
        <w:spacing w:line="312" w:lineRule="auto"/>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line="312" w:lineRule="auto"/>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line="312" w:lineRule="auto"/>
      </w:pPr>
      <w:r>
        <w:rPr>
          <w:rFonts w:ascii="FreeSerif" w:hAnsi="FreeSerif"/>
          <w:sz w:val="22"/>
        </w:rPr>
        <w:t>Kadhafi n'était pas paranoïaque. Il décrivait la réalité.</w:t>
      </w:r>
    </w:p>
    <w:p>
      <w:pPr>
        <w:spacing w:line="312" w:lineRule="auto"/>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line="312" w:lineRule="auto"/>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line="312" w:lineRule="auto"/>
      </w:pPr>
      <w:r>
        <w:rPr>
          <w:rFonts w:ascii="FreeSerif" w:hAnsi="FreeSerif"/>
          <w:b/>
          <w:sz w:val="22"/>
        </w:rPr>
        <w:t>Document C05780569</w:t>
      </w:r>
      <w:r>
        <w:rPr>
          <w:rFonts w:ascii="FreeSerif" w:hAnsi="FreeSerif"/>
          <w:sz w:val="22"/>
        </w:rPr>
        <w:t xml:space="preserve"> — The Nelson Report, 12 avril 2011, Sullivan/Steinberg à Clinton :</w:t>
      </w:r>
    </w:p>
    <w:p>
      <w:pPr>
        <w:spacing w:line="312" w:lineRule="auto"/>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line="312" w:lineRule="auto"/>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line="312" w:lineRule="auto"/>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line="312" w:lineRule="auto"/>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line="312" w:lineRule="auto"/>
      </w:pPr>
      <w:r>
        <w:rPr>
          <w:rFonts w:ascii="FreeSerif" w:hAnsi="FreeSerif"/>
          <w:sz w:val="22"/>
        </w:rPr>
        <w:t>Moins d'un milliard de dollars pour détruire un État et déstabiliser tout un continent. Un excellent rapport qualité-prix, à condition de ne pas compter le prix payé par l'Afrique.</w:t>
      </w:r>
    </w:p>
    <w:p>
      <w:pPr>
        <w:spacing w:line="312" w:lineRule="auto"/>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line="312" w:lineRule="auto"/>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line="312" w:lineRule="auto"/>
      </w:pPr>
      <w:r>
        <w:rPr>
          <w:rFonts w:ascii="FreeSerif" w:hAnsi="FreeSerif"/>
          <w:sz w:val="22"/>
        </w:rPr>
        <w:t>Une fois le mandat de protection mué en guerre de renversement, restait à savoir qui prendrait le pays. Trois hommes disent la nature réelle de la rébellion.</w:t>
      </w:r>
    </w:p>
    <w:p>
      <w:pPr>
        <w:spacing w:line="312" w:lineRule="auto"/>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line="312" w:lineRule="auto"/>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line="312" w:lineRule="auto"/>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line="312" w:lineRule="auto"/>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line="312" w:lineRule="auto"/>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line="312" w:lineRule="auto"/>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line="312" w:lineRule="auto"/>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line="312" w:lineRule="auto"/>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Ce qui s'est déversé vers le Sahel</w:t>
            </w:r>
          </w:p>
        </w:tc>
        <w:tc>
          <w:tcPr>
            <w:tcW w:type="dxa" w:w="4703"/>
            <w:shd w:val="clear" w:color="auto" w:fill="2C3A4A"/>
          </w:tcPr>
          <w:p>
            <w:pPr>
              <w:ind w:left="85"/>
            </w:pPr>
            <w:r>
              <w:rPr>
                <w:rFonts w:ascii="FreeSerif" w:hAnsi="FreeSerif"/>
                <w:b/>
                <w:color w:val="FFFFFF"/>
                <w:sz w:val="19"/>
              </w:rPr>
              <w:t>Détail</w:t>
            </w:r>
          </w:p>
        </w:tc>
      </w:tr>
      <w:tr>
        <w:tc>
          <w:tcPr>
            <w:tcW w:type="dxa" w:w="4703"/>
            <w:shd w:val="clear" w:color="auto" w:fill="F4EFE4"/>
          </w:tcPr>
          <w:p>
            <w:pPr>
              <w:ind w:left="85"/>
            </w:pPr>
            <w:r>
              <w:rPr>
                <w:rFonts w:ascii="FreeSerif" w:hAnsi="FreeSerif"/>
                <w:color w:val="3C3C3C"/>
                <w:sz w:val="18"/>
              </w:rPr>
              <w:t>Dizaines de milliers de tonnes d'armes</w:t>
            </w:r>
          </w:p>
        </w:tc>
        <w:tc>
          <w:tcPr>
            <w:tcW w:type="dxa" w:w="4703"/>
            <w:shd w:val="clear" w:color="auto" w:fill="F4EFE4"/>
          </w:tcPr>
          <w:p>
            <w:pPr>
              <w:ind w:left="85"/>
            </w:pPr>
            <w:r>
              <w:rPr>
                <w:rFonts w:ascii="FreeSerif" w:hAnsi="FreeSerif"/>
                <w:color w:val="3C3C3C"/>
                <w:sz w:val="18"/>
              </w:rPr>
              <w:t>Missiles, lance-roquettes, armes automatiques, blindés</w:t>
            </w:r>
          </w:p>
        </w:tc>
      </w:tr>
      <w:tr>
        <w:tc>
          <w:tcPr>
            <w:tcW w:type="dxa" w:w="4703"/>
            <w:shd w:val="clear" w:color="auto" w:fill="F4EFE4"/>
          </w:tcPr>
          <w:p>
            <w:pPr>
              <w:ind w:left="85"/>
            </w:pPr>
            <w:r>
              <w:rPr>
                <w:rFonts w:ascii="FreeSerif" w:hAnsi="FreeSerif"/>
                <w:color w:val="3C3C3C"/>
                <w:sz w:val="18"/>
              </w:rPr>
              <w:t>Combattants aguerris</w:t>
            </w:r>
          </w:p>
        </w:tc>
        <w:tc>
          <w:tcPr>
            <w:tcW w:type="dxa" w:w="4703"/>
            <w:shd w:val="clear" w:color="auto" w:fill="F4EFE4"/>
          </w:tcPr>
          <w:p>
            <w:pPr>
              <w:ind w:left="85"/>
            </w:pPr>
            <w:r>
              <w:rPr>
                <w:rFonts w:ascii="FreeSerif" w:hAnsi="FreeSerif"/>
                <w:color w:val="3C3C3C"/>
                <w:sz w:val="18"/>
              </w:rPr>
              <w:t>Touareg notamment, rentrant vers le nord du Mali</w:t>
            </w:r>
          </w:p>
        </w:tc>
      </w:tr>
      <w:tr>
        <w:tc>
          <w:tcPr>
            <w:tcW w:type="dxa" w:w="4703"/>
            <w:shd w:val="clear" w:color="auto" w:fill="F4EFE4"/>
          </w:tcPr>
          <w:p>
            <w:pPr>
              <w:ind w:left="85"/>
            </w:pPr>
            <w:r>
              <w:rPr>
                <w:rFonts w:ascii="FreeSerif" w:hAnsi="FreeSerif"/>
                <w:color w:val="3C3C3C"/>
                <w:sz w:val="18"/>
              </w:rPr>
              <w:t>État effondré</w:t>
            </w:r>
          </w:p>
        </w:tc>
        <w:tc>
          <w:tcPr>
            <w:tcW w:type="dxa" w:w="4703"/>
            <w:shd w:val="clear" w:color="auto" w:fill="F4EFE4"/>
          </w:tcPr>
          <w:p>
            <w:pPr>
              <w:ind w:left="85"/>
            </w:pPr>
            <w:r>
              <w:rPr>
                <w:rFonts w:ascii="FreeSerif" w:hAnsi="FreeSerif"/>
                <w:color w:val="3C3C3C"/>
                <w:sz w:val="18"/>
              </w:rPr>
              <w:t>Incapable de contrôler ses 4 000 km de frontières sahariennes</w:t>
            </w:r>
          </w:p>
        </w:tc>
      </w:tr>
      <w:tr>
        <w:tc>
          <w:tcPr>
            <w:tcW w:type="dxa" w:w="4703"/>
            <w:shd w:val="clear" w:color="auto" w:fill="F4EFE4"/>
          </w:tcPr>
          <w:p>
            <w:pPr>
              <w:ind w:left="85"/>
            </w:pPr>
            <w:r>
              <w:rPr>
                <w:rFonts w:ascii="FreeSerif" w:hAnsi="FreeSerif"/>
                <w:color w:val="3C3C3C"/>
                <w:sz w:val="18"/>
              </w:rPr>
              <w:t>Le Fezzan livré à lui-même</w:t>
            </w:r>
          </w:p>
        </w:tc>
        <w:tc>
          <w:tcPr>
            <w:tcW w:type="dxa" w:w="4703"/>
            <w:shd w:val="clear" w:color="auto" w:fill="F4EFE4"/>
          </w:tcPr>
          <w:p>
            <w:pPr>
              <w:ind w:left="85"/>
            </w:pPr>
            <w:r>
              <w:rPr>
                <w:rFonts w:ascii="FreeSerif" w:hAnsi="FreeSerif"/>
                <w:color w:val="3C3C3C"/>
                <w:sz w:val="18"/>
              </w:rPr>
              <w:t>Transformé en base arrière régionale pour les groupes sahéliens</w:t>
            </w:r>
          </w:p>
        </w:tc>
      </w:tr>
    </w:tbl>
    <w:p/>
    <w:p>
      <w:pPr>
        <w:spacing w:line="312" w:lineRule="auto"/>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line="312" w:lineRule="auto"/>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line="312" w:lineRule="auto"/>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line="312" w:lineRule="auto"/>
      </w:pPr>
      <w:r>
        <w:rPr>
          <w:rFonts w:ascii="FreeSerif" w:hAnsi="FreeSerif"/>
          <w:sz w:val="22"/>
        </w:rPr>
        <w:t>Du parcours de Kadhafi, Pondi tire quatre leçons que ce livre fait siennes.</w:t>
      </w:r>
    </w:p>
    <w:p>
      <w:pPr>
        <w:spacing w:line="312" w:lineRule="auto"/>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line="312" w:lineRule="auto"/>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line="312" w:lineRule="auto"/>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line="312" w:lineRule="auto"/>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280" w:after="120"/>
        <w:pBdr>
          <w:bottom w:val="single" w:sz="7" w:space="3" w:color="A07820"/>
        </w:pBdr>
      </w:pPr>
      <w:r>
        <w:rPr>
          <w:rFonts w:ascii="FreeSerif" w:hAnsi="FreeSerif"/>
          <w:b/>
          <w:color w:val="2C3A4A"/>
          <w:sz w:val="22"/>
        </w:rPr>
        <w:t>Ce que les câbles révèlent en définitive</w:t>
      </w:r>
    </w:p>
    <w:p>
      <w:pPr>
        <w:spacing w:line="312" w:lineRule="auto"/>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line="312" w:lineRule="auto"/>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line="312" w:lineRule="auto"/>
      </w:pPr>
      <w:r>
        <w:rPr>
          <w:rFonts w:ascii="FreeSerif" w:hAnsi="FreeSerif"/>
          <w:sz w:val="22"/>
        </w:rPr>
        <w:t>La Libye a payé. Le Sahel a payé pendant quinze ans. Et personne, côté occidental, n'a rendu de comptes.</w:t>
      </w:r>
    </w:p>
    <w:p>
      <w:pPr>
        <w:spacing w:line="312" w:lineRule="auto"/>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line="312" w:lineRule="auto"/>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line="312" w:lineRule="auto"/>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line="312" w:lineRule="auto"/>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line="312" w:lineRule="auto"/>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line="312" w:lineRule="auto"/>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line="312" w:lineRule="auto"/>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Entre 2003 et 2013, soixante-douze otages sont enlevés dans la région ; dix sont exécutés. Le rapt est un commerce avant d'être un combat. Une économie, pas une idéologie.</w:t>
      </w:r>
    </w:p>
    <w:p>
      <w:pPr>
        <w:spacing w:line="312" w:lineRule="auto"/>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line="312" w:lineRule="auto"/>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line="312" w:lineRule="auto"/>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line="312" w:lineRule="auto"/>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line="312" w:lineRule="auto"/>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line="312" w:lineRule="auto"/>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line="312" w:lineRule="auto"/>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line="312" w:lineRule="auto"/>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line="312" w:lineRule="auto"/>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line="312" w:lineRule="auto"/>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line="312" w:lineRule="auto"/>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line="312" w:lineRule="auto"/>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line="312" w:lineRule="auto"/>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Réalité des corridors transsahariens</w:t>
            </w:r>
          </w:p>
        </w:tc>
        <w:tc>
          <w:tcPr>
            <w:tcW w:type="dxa" w:w="4703"/>
            <w:shd w:val="clear" w:color="auto" w:fill="2C3A4A"/>
          </w:tcPr>
          <w:p>
            <w:pPr>
              <w:ind w:left="85"/>
            </w:pPr>
            <w:r>
              <w:rPr>
                <w:rFonts w:ascii="FreeSerif" w:hAnsi="FreeSerif"/>
                <w:b/>
                <w:color w:val="FFFFFF"/>
                <w:sz w:val="19"/>
              </w:rPr>
              <w:t>Implication</w:t>
            </w:r>
          </w:p>
        </w:tc>
      </w:tr>
      <w:tr>
        <w:tc>
          <w:tcPr>
            <w:tcW w:type="dxa" w:w="4703"/>
            <w:shd w:val="clear" w:color="auto" w:fill="F4EFE4"/>
          </w:tcPr>
          <w:p>
            <w:pPr>
              <w:ind w:left="85"/>
            </w:pPr>
            <w:r>
              <w:rPr>
                <w:rFonts w:ascii="FreeSerif" w:hAnsi="FreeSerif"/>
                <w:color w:val="3C3C3C"/>
                <w:sz w:val="18"/>
              </w:rPr>
              <w:t>Zones sous contrôle des groupes armés coïncident avec zones hors portée des armées nationales pendant Barkhane</w:t>
            </w:r>
          </w:p>
        </w:tc>
        <w:tc>
          <w:tcPr>
            <w:tcW w:type="dxa" w:w="4703"/>
            <w:shd w:val="clear" w:color="auto" w:fill="F4EFE4"/>
          </w:tcPr>
          <w:p>
            <w:pPr>
              <w:ind w:left="85"/>
            </w:pPr>
            <w:r>
              <w:rPr>
                <w:rFonts w:ascii="FreeSerif" w:hAnsi="FreeSerif"/>
                <w:color w:val="3C3C3C"/>
                <w:sz w:val="18"/>
              </w:rPr>
              <w:t>La sanctuarisation n'est pas un accident</w:t>
            </w:r>
          </w:p>
        </w:tc>
      </w:tr>
      <w:tr>
        <w:tc>
          <w:tcPr>
            <w:tcW w:type="dxa" w:w="4703"/>
            <w:shd w:val="clear" w:color="auto" w:fill="F4EFE4"/>
          </w:tcPr>
          <w:p>
            <w:pPr>
              <w:ind w:left="85"/>
            </w:pPr>
            <w:r>
              <w:rPr>
                <w:rFonts w:ascii="FreeSerif" w:hAnsi="FreeSerif"/>
                <w:color w:val="3C3C3C"/>
                <w:sz w:val="18"/>
              </w:rPr>
              <w:t>Les sentiers nomades traversent l'Algérie et la Mauritanie, reliant les zones de combat maliennes aux bases arrière méditerranéennes</w:t>
            </w:r>
          </w:p>
        </w:tc>
        <w:tc>
          <w:tcPr>
            <w:tcW w:type="dxa" w:w="4703"/>
            <w:shd w:val="clear" w:color="auto" w:fill="F4EFE4"/>
          </w:tcPr>
          <w:p>
            <w:pPr>
              <w:ind w:left="85"/>
            </w:pPr>
            <w:r>
              <w:rPr>
                <w:rFonts w:ascii="FreeSerif" w:hAnsi="FreeSerif"/>
                <w:color w:val="3C3C3C"/>
                <w:sz w:val="18"/>
              </w:rPr>
              <w:t>Les groupes armés ont des corridors d'approvisionnement durables</w:t>
            </w:r>
          </w:p>
        </w:tc>
      </w:tr>
      <w:tr>
        <w:tc>
          <w:tcPr>
            <w:tcW w:type="dxa" w:w="4703"/>
            <w:shd w:val="clear" w:color="auto" w:fill="F4EFE4"/>
          </w:tcPr>
          <w:p>
            <w:pPr>
              <w:ind w:left="85"/>
            </w:pPr>
            <w:r>
              <w:rPr>
                <w:rFonts w:ascii="FreeSerif" w:hAnsi="FreeSerif"/>
                <w:color w:val="3C3C3C"/>
                <w:sz w:val="18"/>
              </w:rPr>
              <w:t>Ces routes préexistent à la colonisation : Berlin 1884 a tracé des frontières, les pistes du désert n'ont jamais changé</w:t>
            </w:r>
          </w:p>
        </w:tc>
        <w:tc>
          <w:tcPr>
            <w:tcW w:type="dxa" w:w="4703"/>
            <w:shd w:val="clear" w:color="auto" w:fill="F4EFE4"/>
          </w:tcPr>
          <w:p>
            <w:pPr>
              <w:ind w:left="85"/>
            </w:pPr>
            <w:r>
              <w:rPr>
                <w:rFonts w:ascii="FreeSerif" w:hAnsi="FreeSerif"/>
                <w:color w:val="3C3C3C"/>
                <w:sz w:val="18"/>
              </w:rPr>
              <w:t>L'asymétrie est structurelle — et millénaire</w:t>
            </w:r>
          </w:p>
        </w:tc>
      </w:tr>
    </w:tbl>
    <w:p/>
    <w:p>
      <w:pPr>
        <w:spacing w:line="312" w:lineRule="auto"/>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line="312" w:lineRule="auto"/>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line="312" w:lineRule="auto"/>
      </w:pPr>
      <w:r>
        <w:rPr>
          <w:rFonts w:ascii="FreeSerif" w:hAnsi="FreeSerif"/>
          <w:sz w:val="22"/>
        </w:rPr>
        <w:t>Sa lecture converge avec un fait têtu, que le journaliste Siké Doumbé (For You Media) résume en quelques questions que les institutions internationales évitent depuis dix ans :</w:t>
      </w:r>
    </w:p>
    <w:p>
      <w:pPr>
        <w:ind w:left="363" w:right="119"/>
        <w:spacing w:line="360" w:lineRule="auto"/>
        <w:pBdr>
          <w:left w:val="single" w:sz="16" w:space="18" w:color="A07820"/>
        </w:pBdr>
      </w:pPr>
      <w:r>
        <w:rPr>
          <w:rFonts w:ascii="FreeSerif" w:hAnsi="FreeSerif"/>
          <w:i/>
          <w:color w:val="8B1A1A"/>
          <w:sz w:val="22"/>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r>
      <w:r>
        <w:rPr>
          <w:rFonts w:ascii="FreeSerif" w:hAnsi="FreeSerif"/>
          <w:i/>
          <w:color w:val="8B1A1A"/>
          <w:sz w:val="22"/>
        </w:rPr>
        <w:br/>
        <w:t>— Siké Doumbé, For You Media</w:t>
      </w:r>
    </w:p>
    <w:p>
      <w:pPr>
        <w:spacing w:line="312" w:lineRule="auto"/>
      </w:pPr>
      <w:r>
        <w:rPr>
          <w:rFonts w:ascii="FreeSerif" w:hAnsi="FreeSerif"/>
          <w:sz w:val="22"/>
        </w:rPr>
        <w:t xml:space="preserve">Doumbé rappelle aussi 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line="312" w:lineRule="auto"/>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line="312" w:lineRule="auto"/>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line="312" w:lineRule="auto"/>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line="312" w:lineRule="auto"/>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line="312" w:lineRule="auto"/>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line="312" w:lineRule="auto"/>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line="312" w:lineRule="auto"/>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line="312" w:lineRule="auto"/>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line="312" w:lineRule="auto"/>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line="312" w:lineRule="auto"/>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line="312" w:lineRule="auto"/>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line="312" w:lineRule="auto"/>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line="312" w:lineRule="auto"/>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line="312" w:lineRule="auto"/>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line="312" w:lineRule="auto"/>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line="312" w:lineRule="auto"/>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line="312" w:lineRule="auto"/>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line="312" w:lineRule="auto"/>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line="312" w:lineRule="auto"/>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line="312" w:lineRule="auto"/>
      </w:pPr>
      <w:r>
        <w:rPr>
          <w:rFonts w:ascii="FreeSerif" w:hAnsi="FreeSerif"/>
          <w:sz w:val="22"/>
        </w:rPr>
        <w:t>En août 2014, Serval devient Barkhane. Le dispositif s'étend sur cinq pays.</w:t>
      </w:r>
    </w:p>
    <w:p>
      <w:pPr/>
      <w:r>
        <w:rPr>
          <w:rFonts w:ascii="FreeSerif" w:hAnsi="FreeSerif"/>
          <w:b/>
          <w:color w:val="2C3A4A"/>
          <w:sz w:val="22"/>
        </w:rPr>
        <w:t>BARKHANE EN CHIFFRES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Données</w:t>
            </w:r>
          </w:p>
        </w:tc>
      </w:tr>
      <w:tr>
        <w:tc>
          <w:tcPr>
            <w:tcW w:type="dxa" w:w="4703"/>
            <w:shd w:val="clear" w:color="auto" w:fill="F4EFE4"/>
          </w:tcPr>
          <w:p>
            <w:pPr>
              <w:ind w:left="85"/>
            </w:pPr>
            <w:r>
              <w:rPr>
                <w:rFonts w:ascii="FreeSerif" w:hAnsi="FreeSerif"/>
                <w:color w:val="3C3C3C"/>
                <w:sz w:val="18"/>
              </w:rPr>
              <w:t>Zone d'opération</w:t>
            </w:r>
          </w:p>
        </w:tc>
        <w:tc>
          <w:tcPr>
            <w:tcW w:type="dxa" w:w="4703"/>
            <w:shd w:val="clear" w:color="auto" w:fill="F4EFE4"/>
          </w:tcPr>
          <w:p>
            <w:pPr>
              <w:ind w:left="85"/>
            </w:pPr>
            <w:r>
              <w:rPr>
                <w:rFonts w:ascii="FreeSerif" w:hAnsi="FreeSerif"/>
                <w:color w:val="3C3C3C"/>
                <w:sz w:val="18"/>
              </w:rPr>
              <w:t>5 millions de km² — dix fois la France</w:t>
            </w:r>
          </w:p>
        </w:tc>
      </w:tr>
      <w:tr>
        <w:tc>
          <w:tcPr>
            <w:tcW w:type="dxa" w:w="4703"/>
            <w:shd w:val="clear" w:color="auto" w:fill="F4EFE4"/>
          </w:tcPr>
          <w:p>
            <w:pPr>
              <w:ind w:left="85"/>
            </w:pPr>
            <w:r>
              <w:rPr>
                <w:rFonts w:ascii="FreeSerif" w:hAnsi="FreeSerif"/>
                <w:color w:val="3C3C3C"/>
                <w:sz w:val="18"/>
              </w:rPr>
              <w:t>Effectifs</w:t>
            </w:r>
          </w:p>
        </w:tc>
        <w:tc>
          <w:tcPr>
            <w:tcW w:type="dxa" w:w="4703"/>
            <w:shd w:val="clear" w:color="auto" w:fill="F4EFE4"/>
          </w:tcPr>
          <w:p>
            <w:pPr>
              <w:ind w:left="85"/>
            </w:pPr>
            <w:r>
              <w:rPr>
                <w:rFonts w:ascii="FreeSerif" w:hAnsi="FreeSerif"/>
                <w:color w:val="3C3C3C"/>
                <w:sz w:val="18"/>
              </w:rPr>
              <w:t>jusqu'à 5 500 hommes</w:t>
            </w:r>
          </w:p>
        </w:tc>
      </w:tr>
      <w:tr>
        <w:tc>
          <w:tcPr>
            <w:tcW w:type="dxa" w:w="4703"/>
            <w:shd w:val="clear" w:color="auto" w:fill="F4EFE4"/>
          </w:tcPr>
          <w:p>
            <w:pPr>
              <w:ind w:left="85"/>
            </w:pPr>
            <w:r>
              <w:rPr>
                <w:rFonts w:ascii="FreeSerif" w:hAnsi="FreeSerif"/>
                <w:color w:val="3C3C3C"/>
                <w:sz w:val="18"/>
              </w:rPr>
              <w:t>Coût</w:t>
            </w:r>
          </w:p>
        </w:tc>
        <w:tc>
          <w:tcPr>
            <w:tcW w:type="dxa" w:w="4703"/>
            <w:shd w:val="clear" w:color="auto" w:fill="F4EFE4"/>
          </w:tcPr>
          <w:p>
            <w:pPr>
              <w:ind w:left="85"/>
            </w:pPr>
            <w:r>
              <w:rPr>
                <w:rFonts w:ascii="FreeSerif" w:hAnsi="FreeSerif"/>
                <w:color w:val="3C3C3C"/>
                <w:sz w:val="18"/>
              </w:rPr>
              <w:t>~1 milliard €/an — plus de 5 milliards cumulés (Cour des comptes, 2020)</w:t>
            </w:r>
          </w:p>
        </w:tc>
      </w:tr>
      <w:tr>
        <w:tc>
          <w:tcPr>
            <w:tcW w:type="dxa" w:w="4703"/>
            <w:shd w:val="clear" w:color="auto" w:fill="F4EFE4"/>
          </w:tcPr>
          <w:p>
            <w:pPr>
              <w:ind w:left="85"/>
            </w:pPr>
            <w:r>
              <w:rPr>
                <w:rFonts w:ascii="FreeSerif" w:hAnsi="FreeSerif"/>
                <w:color w:val="3C3C3C"/>
                <w:sz w:val="18"/>
              </w:rPr>
              <w:t>Résultat</w:t>
            </w:r>
          </w:p>
        </w:tc>
        <w:tc>
          <w:tcPr>
            <w:tcW w:type="dxa" w:w="4703"/>
            <w:shd w:val="clear" w:color="auto" w:fill="F4EFE4"/>
          </w:tcPr>
          <w:p>
            <w:pPr>
              <w:ind w:left="85"/>
            </w:pPr>
            <w:r>
              <w:rPr>
                <w:rFonts w:ascii="FreeSerif" w:hAnsi="FreeSerif"/>
                <w:color w:val="3C3C3C"/>
                <w:sz w:val="18"/>
              </w:rPr>
              <w:t>Nombre d'attaques jihadistes multiplié par trois entre 2014 et 2021 (ACLED, 2022)</w:t>
            </w:r>
          </w:p>
        </w:tc>
      </w:tr>
    </w:tbl>
    <w:p/>
    <w:p>
      <w:pPr>
        <w:spacing w:line="312" w:lineRule="auto"/>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line="312" w:lineRule="auto"/>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line="312" w:lineRule="auto"/>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line="312" w:lineRule="auto"/>
      </w:pPr>
      <w:r>
        <w:rPr>
          <w:rFonts w:ascii="FreeSerif" w:hAnsi="FreeSerif"/>
          <w:sz w:val="22"/>
        </w:rPr>
        <w:t xml:space="preserve">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line="312" w:lineRule="auto"/>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line="312" w:lineRule="auto"/>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line="312" w:lineRule="auto"/>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line="312" w:lineRule="auto"/>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line="312" w:lineRule="auto"/>
      </w:pPr>
      <w:r>
        <w:rPr>
          <w:rFonts w:ascii="FreeSerif" w:hAnsi="FreeSerif"/>
          <w:sz w:val="22"/>
        </w:rPr>
        <w:t>Si la mission n'était pas celle qu'on annonçait, quelle était-elle ? La réponse la plus documentée a été donnée par l'AES elle-même, au siège des Nations unies.</w:t>
      </w:r>
    </w:p>
    <w:p>
      <w:pPr>
        <w:spacing w:line="312" w:lineRule="auto"/>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line="312" w:lineRule="auto"/>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line="312" w:lineRule="auto"/>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58 MORTS DE BARKHANE — LA DÉCOMPOSITION</w:t>
            </w:r>
          </w:p>
        </w:tc>
      </w:tr>
      <w:tr>
        <w:tc>
          <w:tcPr>
            <w:tcW w:type="dxa" w:w="9406"/>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line="312" w:lineRule="auto"/>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line="312" w:lineRule="auto"/>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line="312" w:lineRule="auto"/>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line="312" w:lineRule="auto"/>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line="312" w:lineRule="auto"/>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line="312" w:lineRule="auto"/>
      </w:pPr>
      <w:r>
        <w:rPr>
          <w:rFonts w:ascii="FreeSerif" w:hAnsi="FreeSerif"/>
          <w:sz w:val="22"/>
        </w:rPr>
        <w:t xml:space="preserve">Entre avril et juillet 1994, plus de </w:t>
      </w:r>
      <w:r>
        <w:rPr>
          <w:rFonts w:ascii="FreeSerif" w:hAnsi="FreeSerif"/>
          <w:b/>
          <w:sz w:val="22"/>
        </w:rPr>
        <w:t>800 000 personnes</w:t>
      </w:r>
      <w:r>
        <w:rPr>
          <w:rFonts w:ascii="FreeSerif" w:hAnsi="FreeSerif"/>
          <w:sz w:val="22"/>
        </w:rPr>
        <w:t xml:space="preserve"> — un dixième de la population rwandaise — sont exterminées en cent jours. C'est le génocide le plus rapide du XXe siècle. Et l'une des principales puissances soutenant le régime qui l'a planifié, armé et exécuté s'appelait la France. Ce n'est pas une accusation panafricaniste : c'est le constat d'une documentation accablante que la </w:t>
      </w:r>
      <w:r>
        <w:rPr>
          <w:rFonts w:ascii="FreeSerif" w:hAnsi="FreeSerif"/>
          <w:b/>
          <w:sz w:val="22"/>
        </w:rPr>
        <w:t>Commission Duclert</w:t>
      </w:r>
      <w:r>
        <w:rPr>
          <w:rFonts w:ascii="FreeSerif" w:hAnsi="FreeSerif"/>
          <w:sz w:val="22"/>
        </w:rPr>
        <w:t xml:space="preserve">, mandatée par l'Élysée lui-même, a reconnu en 2021 en parlant de « </w:t>
      </w:r>
      <w:r>
        <w:rPr>
          <w:rFonts w:ascii="FreeSerif" w:hAnsi="FreeSerif"/>
          <w:b/>
          <w:sz w:val="22"/>
        </w:rPr>
        <w:t>responsabilités lourdes et accablantes</w:t>
      </w:r>
      <w:r>
        <w:rPr>
          <w:rFonts w:ascii="FreeSerif" w:hAnsi="FreeSerif"/>
          <w:sz w:val="22"/>
        </w:rPr>
        <w:t xml:space="preserve"> » de l'État français.</w:t>
      </w:r>
    </w:p>
    <w:p>
      <w:pPr>
        <w:spacing w:line="312" w:lineRule="auto"/>
      </w:pPr>
      <w:r>
        <w:rPr>
          <w:rFonts w:ascii="FreeSerif" w:hAnsi="FreeSerif"/>
          <w:sz w:val="22"/>
        </w:rPr>
        <w:t xml:space="preserve">Le </w:t>
      </w:r>
      <w:r>
        <w:rPr>
          <w:rFonts w:ascii="FreeSerif" w:hAnsi="FreeSerif"/>
          <w:b/>
          <w:sz w:val="22"/>
        </w:rPr>
        <w:t>1er octobre 1990</w:t>
      </w:r>
      <w:r>
        <w:rPr>
          <w:rFonts w:ascii="FreeSerif" w:hAnsi="FreeSerif"/>
          <w:sz w:val="22"/>
        </w:rPr>
        <w:t>, le Front patriotique rwandais (FPR) lance une offensive. La France répond immédiatement par l'</w:t>
      </w:r>
      <w:r>
        <w:rPr>
          <w:rFonts w:ascii="FreeSerif" w:hAnsi="FreeSerif"/>
          <w:b/>
          <w:sz w:val="22"/>
        </w:rPr>
        <w:t>opération Noroît</w:t>
      </w:r>
      <w:r>
        <w:rPr>
          <w:rFonts w:ascii="FreeSerif" w:hAnsi="FreeSerif"/>
          <w:sz w:val="22"/>
        </w:rPr>
        <w:t xml:space="preserve"> : des troupes se déploient pour soutenir Habyarimana — dictateur francophone, adopté comme membre à part entière de la famille franco-africaine. Paris impose sa grille de lecture : non une guerre civile née de décennies de persécution, mais une « agression extérieure ougando-tutsie ». La lecture ethniste est officielle. Elle désigne d'avance un ennemi racial.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Date</w:t>
            </w:r>
          </w:p>
        </w:tc>
        <w:tc>
          <w:tcPr>
            <w:tcW w:type="dxa" w:w="4703"/>
            <w:shd w:val="clear" w:color="auto" w:fill="2C3A4A"/>
          </w:tcPr>
          <w:p>
            <w:pPr>
              <w:ind w:left="85"/>
            </w:pPr>
            <w:r>
              <w:rPr>
                <w:rFonts w:ascii="FreeSerif" w:hAnsi="FreeSerif"/>
                <w:b/>
                <w:color w:val="FFFFFF"/>
                <w:sz w:val="19"/>
              </w:rPr>
              <w:t>Action française</w:t>
            </w:r>
          </w:p>
        </w:tc>
      </w:tr>
      <w:tr>
        <w:tc>
          <w:tcPr>
            <w:tcW w:type="dxa" w:w="4703"/>
            <w:shd w:val="clear" w:color="auto" w:fill="F4EFE4"/>
          </w:tcPr>
          <w:p>
            <w:pPr>
              <w:ind w:left="85"/>
            </w:pPr>
            <w:r>
              <w:rPr>
                <w:rFonts w:ascii="FreeSerif" w:hAnsi="FreeSerif"/>
                <w:color w:val="3C3C3C"/>
                <w:sz w:val="18"/>
              </w:rPr>
              <w:t>Été 1992</w:t>
            </w:r>
          </w:p>
        </w:tc>
        <w:tc>
          <w:tcPr>
            <w:tcW w:type="dxa" w:w="4703"/>
            <w:shd w:val="clear" w:color="auto" w:fill="F4EFE4"/>
          </w:tcPr>
          <w:p>
            <w:pPr>
              <w:ind w:left="85"/>
            </w:pPr>
            <w:r>
              <w:rPr>
                <w:rFonts w:ascii="FreeSerif" w:hAnsi="FreeSerif"/>
                <w:color w:val="3C3C3C"/>
                <w:sz w:val="18"/>
              </w:rPr>
              <w:t>Livraisons d'armes aux Forces armées rwandaises (FAR)</w:t>
            </w:r>
          </w:p>
        </w:tc>
      </w:tr>
      <w:tr>
        <w:tc>
          <w:tcPr>
            <w:tcW w:type="dxa" w:w="4703"/>
            <w:shd w:val="clear" w:color="auto" w:fill="F4EFE4"/>
          </w:tcPr>
          <w:p>
            <w:pPr>
              <w:ind w:left="85"/>
            </w:pPr>
            <w:r>
              <w:rPr>
                <w:rFonts w:ascii="FreeSerif" w:hAnsi="FreeSerif"/>
                <w:color w:val="3C3C3C"/>
                <w:sz w:val="18"/>
              </w:rPr>
              <w:t>Février 1993</w:t>
            </w:r>
          </w:p>
        </w:tc>
        <w:tc>
          <w:tcPr>
            <w:tcW w:type="dxa" w:w="4703"/>
            <w:shd w:val="clear" w:color="auto" w:fill="F4EFE4"/>
          </w:tcPr>
          <w:p>
            <w:pPr>
              <w:ind w:left="85"/>
            </w:pPr>
            <w:r>
              <w:rPr>
                <w:rFonts w:ascii="FreeSerif" w:hAnsi="FreeSerif"/>
                <w:color w:val="3C3C3C"/>
                <w:sz w:val="18"/>
              </w:rPr>
              <w:t xml:space="preserve">L'armée française </w:t>
            </w:r>
            <w:r>
              <w:rPr>
                <w:rFonts w:ascii="FreeSerif" w:hAnsi="FreeSerif"/>
                <w:b/>
                <w:color w:val="3C3C3C"/>
                <w:sz w:val="18"/>
              </w:rPr>
              <w:t>bloque militairement</w:t>
            </w:r>
            <w:r>
              <w:rPr>
                <w:rFonts w:ascii="FreeSerif" w:hAnsi="FreeSerif"/>
                <w:color w:val="3C3C3C"/>
                <w:sz w:val="18"/>
              </w:rPr>
              <w:t xml:space="preserve"> l'offensive FPR — sans la France, le régime aurait peut-être chuté un an avant le génocide</w:t>
            </w:r>
          </w:p>
        </w:tc>
      </w:tr>
      <w:tr>
        <w:tc>
          <w:tcPr>
            <w:tcW w:type="dxa" w:w="4703"/>
            <w:shd w:val="clear" w:color="auto" w:fill="F4EFE4"/>
          </w:tcPr>
          <w:p>
            <w:pPr>
              <w:ind w:left="85"/>
            </w:pPr>
            <w:r>
              <w:rPr>
                <w:rFonts w:ascii="FreeSerif" w:hAnsi="FreeSerif"/>
                <w:color w:val="3C3C3C"/>
                <w:sz w:val="18"/>
              </w:rPr>
              <w:t>1992-1994</w:t>
            </w:r>
          </w:p>
        </w:tc>
        <w:tc>
          <w:tcPr>
            <w:tcW w:type="dxa" w:w="4703"/>
            <w:shd w:val="clear" w:color="auto" w:fill="F4EFE4"/>
          </w:tcPr>
          <w:p>
            <w:pPr>
              <w:ind w:left="85"/>
            </w:pPr>
            <w:r>
              <w:rPr>
                <w:rFonts w:ascii="FreeSerif" w:hAnsi="FreeSerif"/>
                <w:color w:val="3C3C3C"/>
                <w:sz w:val="18"/>
              </w:rPr>
              <w:t>Campagne de propagande pour diaboliser le FPR</w:t>
            </w:r>
          </w:p>
        </w:tc>
      </w:tr>
      <w:tr>
        <w:tc>
          <w:tcPr>
            <w:tcW w:type="dxa" w:w="4703"/>
            <w:shd w:val="clear" w:color="auto" w:fill="F4EFE4"/>
          </w:tcPr>
          <w:p>
            <w:pPr>
              <w:ind w:left="85"/>
            </w:pPr>
            <w:r>
              <w:rPr>
                <w:rFonts w:ascii="FreeSerif" w:hAnsi="FreeSerif"/>
                <w:color w:val="3C3C3C"/>
                <w:sz w:val="18"/>
              </w:rPr>
              <w:t>6 avril 1994</w:t>
            </w:r>
          </w:p>
        </w:tc>
        <w:tc>
          <w:tcPr>
            <w:tcW w:type="dxa" w:w="4703"/>
            <w:shd w:val="clear" w:color="auto" w:fill="F4EFE4"/>
          </w:tcPr>
          <w:p>
            <w:pPr>
              <w:ind w:left="85"/>
            </w:pPr>
            <w:r>
              <w:rPr>
                <w:rFonts w:ascii="FreeSerif" w:hAnsi="FreeSerif"/>
                <w:color w:val="3C3C3C"/>
                <w:sz w:val="18"/>
              </w:rPr>
              <w:t>Abattage de l'avion d'Habyarimana — le génocide commence ; l'ambassade française soutient la formation du gouvernement intérimaire génocidaire</w:t>
            </w:r>
          </w:p>
        </w:tc>
      </w:tr>
    </w:tbl>
    <w:p/>
    <w:p>
      <w:pPr>
        <w:spacing w:line="312" w:lineRule="auto"/>
      </w:pPr>
      <w:r>
        <w:rPr>
          <w:rFonts w:ascii="FreeSerif" w:hAnsi="FreeSerif"/>
          <w:sz w:val="22"/>
        </w:rPr>
        <w:t>L'</w:t>
      </w:r>
      <w:r>
        <w:rPr>
          <w:rFonts w:ascii="FreeSerif" w:hAnsi="FreeSerif"/>
          <w:b/>
          <w:sz w:val="22"/>
        </w:rPr>
        <w:t>opération Amaryllis</w:t>
      </w:r>
      <w:r>
        <w:rPr>
          <w:rFonts w:ascii="FreeSerif" w:hAnsi="FreeSerif"/>
          <w:sz w:val="22"/>
        </w:rPr>
        <w:t xml:space="preserve"> (9-14 avril 1994) résume la doctrine : on affrète des avions pour sauver les ressortissants français et des dignitaires hutus extrémistes — les employés tutsis des Français sont laissés sur le tarmac, livrés aux machettes. On sauve les bourreaux. On abandonne les victimes.</w:t>
      </w:r>
    </w:p>
    <w:p>
      <w:pPr>
        <w:spacing w:line="312" w:lineRule="auto"/>
      </w:pPr>
      <w:r>
        <w:rPr>
          <w:rFonts w:ascii="FreeSerif" w:hAnsi="FreeSerif"/>
          <w:sz w:val="22"/>
        </w:rPr>
        <w:t>L'</w:t>
      </w:r>
      <w:r>
        <w:rPr>
          <w:rFonts w:ascii="FreeSerif" w:hAnsi="FreeSerif"/>
          <w:b/>
          <w:sz w:val="22"/>
        </w:rPr>
        <w:t>opération Turquoise</w:t>
      </w:r>
      <w:r>
        <w:rPr>
          <w:rFonts w:ascii="FreeSerif" w:hAnsi="FreeSerif"/>
          <w:sz w:val="22"/>
        </w:rPr>
        <w:t xml:space="preserve"> (juin-août 1994) est présentée comme humanitaire. La réalité : à </w:t>
      </w:r>
      <w:r>
        <w:rPr>
          <w:rFonts w:ascii="FreeSerif" w:hAnsi="FreeSerif"/>
          <w:b/>
          <w:sz w:val="22"/>
        </w:rPr>
        <w:t>Bisesero</w:t>
      </w:r>
      <w:r>
        <w:rPr>
          <w:rFonts w:ascii="FreeSerif" w:hAnsi="FreeSerif"/>
          <w:sz w:val="22"/>
        </w:rPr>
        <w:t xml:space="preserve">, du 26 au 30 juin, des survivants tutsis traqués supplient les militaires français de les protéger. On les classe comme « hommes du FPR ». On les laisse trois jours supplémentaires à leurs tueurs. Des centaines meurent pendant cette attente délibérée. Turquoise protège ensuite les FAR responsables du génocide, laisse fonctionner les radios appelant au meurtre, puis — après la victoire du FPR le 17 juillet — </w:t>
      </w:r>
      <w:r>
        <w:rPr>
          <w:rFonts w:ascii="FreeSerif" w:hAnsi="FreeSerif"/>
          <w:b/>
          <w:sz w:val="22"/>
        </w:rPr>
        <w:t>organise l'évacuation vers le Zaïre</w:t>
      </w:r>
      <w:r>
        <w:rPr>
          <w:rFonts w:ascii="FreeSerif" w:hAnsi="FreeSerif"/>
          <w:sz w:val="22"/>
        </w:rPr>
        <w:t xml:space="preserve"> du gouvernement intérimaire génocidaire et de ses troupes. Les bourreaux ne sont pas arrêtés : ils sont escortés vers l'exil avec leurs armes.</w:t>
      </w:r>
    </w:p>
    <w:p>
      <w:pPr>
        <w:spacing w:line="312" w:lineRule="auto"/>
      </w:pPr>
      <w:r>
        <w:rPr>
          <w:rFonts w:ascii="FreeSerif" w:hAnsi="FreeSerif"/>
          <w:sz w:val="22"/>
        </w:rPr>
        <w:t xml:space="preserve">Les ex-FAR et les milices, réfugiés au Zaïre sous protection française de fait, préparent l'invasion du Rwanda depuis les camps de réfugiés. De cette situation naîtront les </w:t>
      </w:r>
      <w:r>
        <w:rPr>
          <w:rFonts w:ascii="FreeSerif" w:hAnsi="FreeSerif"/>
          <w:b/>
          <w:sz w:val="22"/>
        </w:rPr>
        <w:t>deux guerres du Congo</w:t>
      </w:r>
      <w:r>
        <w:rPr>
          <w:rFonts w:ascii="FreeSerif" w:hAnsi="FreeSerif"/>
          <w:sz w:val="22"/>
        </w:rPr>
        <w:t xml:space="preserve"> — les conflits les plus meurtriers depuis 1945 — et la déstabilisation durable de toute la région des Grands Lacs.</w:t>
      </w:r>
    </w:p>
    <w:p>
      <w:pPr>
        <w:spacing w:line="312" w:lineRule="auto"/>
      </w:pPr>
      <w:r>
        <w:rPr>
          <w:rFonts w:ascii="FreeSerif" w:hAnsi="FreeSerif"/>
          <w:sz w:val="22"/>
        </w:rPr>
        <w:t xml:space="preserve">Pourquoi ? La réponse tient en trois mots : </w:t>
      </w:r>
      <w:r>
        <w:rPr>
          <w:rFonts w:ascii="FreeSerif" w:hAnsi="FreeSerif"/>
          <w:b/>
          <w:sz w:val="22"/>
        </w:rPr>
        <w:t>la lutte contre l'« influence anglo-saxonne »</w:t>
      </w:r>
      <w:r>
        <w:rPr>
          <w:rFonts w:ascii="FreeSerif" w:hAnsi="FreeSerif"/>
          <w:sz w:val="22"/>
        </w:rPr>
        <w:t>. Le FPR parlait anglais, venait d'Ouganda anglophone. Des centaines de milliers de Tutsis ont été sacrifiés à une rivalité linguistique impériale. Le Rwanda est la démonstration extrême de la thèse de ce livre : la Françafrique place les intérêts de puissance de Paris au-dessus de la vie des Africains — jusqu'au point où la vie de 800 000 personnes pèse moins qu'un recul linguistique.</w:t>
      </w:r>
    </w:p>
    <w:p>
      <w:pPr>
        <w:spacing w:line="312" w:lineRule="auto"/>
      </w:pPr>
      <w:r>
        <w:rPr>
          <w:rFonts w:ascii="FreeSerif" w:hAnsi="FreeSerif"/>
          <w:sz w:val="22"/>
        </w:rPr>
        <w:t>La même armée qui réclame aujourd'hui la gratitude des Africains pour Serval et Barkhane a protégé, armé et escorté les auteurs du génocide rwandais. C'est à cette arithmétique du sang que les peuples sahéliens ont répondu en 2020, 2022 et 2023.</w:t>
      </w:r>
    </w:p>
    <w:p>
      <w:pPr>
        <w:spacing w:line="312" w:lineRule="auto"/>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line="312" w:lineRule="auto"/>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line="312" w:lineRule="auto"/>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line="312" w:lineRule="auto"/>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line="312" w:lineRule="auto"/>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line="312" w:lineRule="auto"/>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line="312" w:lineRule="auto"/>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line="312" w:lineRule="auto"/>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line="312" w:lineRule="auto"/>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line="312" w:lineRule="auto"/>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line="312" w:lineRule="auto"/>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line="312" w:lineRule="auto"/>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line="312" w:lineRule="auto"/>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line="312" w:lineRule="auto"/>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line="312" w:lineRule="auto"/>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line="312" w:lineRule="auto"/>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line="312" w:lineRule="auto"/>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line="312" w:lineRule="auto"/>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line="312" w:lineRule="auto"/>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line="312" w:lineRule="auto"/>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line="312" w:lineRule="auto"/>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w:t>
      </w:r>
    </w:p>
    <w:p>
      <w:pPr>
        <w:spacing w:line="312" w:lineRule="auto"/>
      </w:pPr>
      <w:r>
        <w:rPr>
          <w:rFonts w:ascii="FreeSerif" w:hAnsi="FreeSerif"/>
          <w:sz w:val="22"/>
        </w:rPr>
        <w:t>« L'aide publique au développement est une aide-intérêt dont la finalité est d'abord de servir de relais d'influence pour le pays donateur », écrit Raphaël Granvaud (</w:t>
      </w:r>
      <w:r>
        <w:rPr>
          <w:rFonts w:ascii="FreeSerif" w:hAnsi="FreeSerif"/>
          <w:i/>
          <w:sz w:val="22"/>
        </w:rPr>
        <w:t>De l'huile sur le feu</w:t>
      </w:r>
      <w:r>
        <w:rPr>
          <w:rFonts w:ascii="FreeSerif" w:hAnsi="FreeSerif"/>
          <w:sz w:val="22"/>
        </w:rPr>
        <w:t>,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line="312" w:lineRule="auto"/>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line="312" w:lineRule="auto"/>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line="312" w:lineRule="auto"/>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line="312" w:lineRule="auto"/>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line="312" w:lineRule="auto"/>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line="312" w:lineRule="auto"/>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line="312" w:lineRule="auto"/>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line="312" w:lineRule="auto"/>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line="312" w:lineRule="auto"/>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line="312" w:lineRule="auto"/>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line="312" w:lineRule="auto"/>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line="312" w:lineRule="auto"/>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line="312" w:lineRule="auto"/>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line="312" w:lineRule="auto"/>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line="312" w:lineRule="auto"/>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line="312" w:lineRule="auto"/>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line="312" w:lineRule="auto"/>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line="312" w:lineRule="auto"/>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line="312" w:lineRule="auto"/>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line="312" w:lineRule="auto"/>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line="312" w:lineRule="auto"/>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line="312" w:lineRule="auto"/>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line="312" w:lineRule="auto"/>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Faye, de Podassé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la première citoyenne suisse sanctionnée par l'UE</w:t>
      </w:r>
    </w:p>
    <w:p>
      <w:pPr>
        <w:spacing w:line="312" w:lineRule="auto"/>
      </w:pPr>
      <w:r>
        <w:rPr>
          <w:rFonts w:ascii="FreeSerif" w:hAnsi="FreeSerif"/>
          <w:sz w:val="22"/>
        </w:rPr>
        <w:t xml:space="preserve">En juin 2025, Nathalie Yamb devient la première citoyenne suisse à figurer sur la liste des sanctions de l'Union européenne — officiellement dans le cadre des mesures contre la Russie. Les motifs officiels inscrits dans la décision : elle </w:t>
      </w:r>
      <w:r>
        <w:rPr>
          <w:rFonts w:ascii="FreeSerif" w:hAnsi="FreeSerif"/>
          <w:i/>
          <w:sz w:val="22"/>
        </w:rPr>
        <w:t>« s'emploie à chasser la France et l'Occident d'Afrique »</w:t>
      </w:r>
      <w:r>
        <w:rPr>
          <w:rFonts w:ascii="FreeSerif" w:hAnsi="FreeSerif"/>
          <w:sz w:val="22"/>
        </w:rPr>
        <w:t>. Pas d'agent du Kremlin. Pas d'espionnage. Sa lutte pour la souveraineté africaine. C'est la raison. Écrite noir sur blanc dans un document officiel de l'Union européenne.</w:t>
      </w:r>
    </w:p>
    <w:p>
      <w:pPr>
        <w:spacing w:line="312" w:lineRule="auto"/>
      </w:pPr>
      <w:r>
        <w:rPr>
          <w:rFonts w:ascii="FreeSerif" w:hAnsi="FreeSerif"/>
          <w:sz w:val="22"/>
        </w:rPr>
        <w:t xml:space="preserve">Nathalie Yamb apprend sa sanction en descendant d'un avion dans un pays africain. Son avocat lui écrit : </w:t>
      </w:r>
      <w:r>
        <w:rPr>
          <w:rFonts w:ascii="FreeSerif" w:hAnsi="FreeSerif"/>
          <w:i/>
          <w:sz w:val="22"/>
        </w:rPr>
        <w:t>« J'ai été informé, je suis prêt. »</w:t>
      </w:r>
      <w:r>
        <w:rPr>
          <w:rFonts w:ascii="FreeSerif" w:hAnsi="FreeSerif"/>
          <w:sz w:val="22"/>
        </w:rPr>
        <w:t xml:space="preserve"> Elle cherche son nom sur Google. C'est là qu'elle découvre la décision. Aucune procédure. Aucun droit à la défense. La décision est publiée au Journal officiel de l'UE. C'est suffisant. Les conséquences sont immédiates : cartes de crédit annulées, comptes bancaires suisses gelés puis fermés, comptes crypto clôturés, chaîne YouTube démonétisée (Google paie depuis l'Irlande, membre de l'UE), Airbnb, Amazon, Google, Netflix : coupés. Compagnies aériennes : risque de refus d'embarquement. Une banque suisse a transféré ses avoirs en francs suisses. </w:t>
      </w:r>
      <w:r>
        <w:rPr>
          <w:rFonts w:ascii="FreeSerif" w:hAnsi="FreeSerif"/>
          <w:b/>
          <w:sz w:val="22"/>
        </w:rPr>
        <w:t>Le montant en euros a disparu. Volé.</w:t>
      </w:r>
      <w:r>
        <w:rPr>
          <w:rFonts w:ascii="FreeSerif" w:hAnsi="FreeSerif"/>
          <w:sz w:val="22"/>
        </w:rPr>
        <w:t xml:space="preserve"> En un jour, une femme libre devient une femme traquée. Sans procès.</w:t>
      </w:r>
    </w:p>
    <w:p>
      <w:pPr>
        <w:spacing w:line="312" w:lineRule="auto"/>
      </w:pPr>
      <w:r>
        <w:rPr>
          <w:rFonts w:ascii="FreeSerif" w:hAnsi="FreeSerif"/>
          <w:sz w:val="22"/>
        </w:rPr>
        <w:t xml:space="preserve">La Suisse n'est pas membre de l'Union européenne. Le gouvernement suisse (SECO) a confirmé que ces sanctions </w:t>
      </w:r>
      <w:r>
        <w:rPr>
          <w:rFonts w:ascii="FreeSerif" w:hAnsi="FreeSerif"/>
          <w:b/>
          <w:sz w:val="22"/>
        </w:rPr>
        <w:t>ne s'appliquent pas en Suisse</w:t>
      </w:r>
      <w:r>
        <w:rPr>
          <w:rFonts w:ascii="FreeSerif" w:hAnsi="FreeSerif"/>
          <w:sz w:val="22"/>
        </w:rPr>
        <w:t xml:space="preserve">. Les entreprises suisses qui les appliquent </w:t>
      </w:r>
      <w:r>
        <w:rPr>
          <w:rFonts w:ascii="FreeSerif" w:hAnsi="FreeSerif"/>
          <w:b/>
          <w:sz w:val="22"/>
        </w:rPr>
        <w:t>agissent illégalement</w:t>
      </w:r>
      <w:r>
        <w:rPr>
          <w:rFonts w:ascii="FreeSerif" w:hAnsi="FreeSerif"/>
          <w:sz w:val="22"/>
        </w:rPr>
        <w:t xml:space="preserve"> au regard du droit suisse. La réponse du SECO aux avocats de Yamb : </w:t>
      </w:r>
      <w:r>
        <w:rPr>
          <w:rFonts w:ascii="FreeSerif" w:hAnsi="FreeSerif"/>
          <w:i/>
          <w:sz w:val="22"/>
        </w:rPr>
        <w:t>« Si des entreprises suisses appliquent illégalement ces sanctions, vous êtes libre de les poursuivre en justice. »</w:t>
      </w:r>
      <w:r>
        <w:rPr>
          <w:rFonts w:ascii="FreeSerif" w:hAnsi="FreeSerif"/>
          <w:sz w:val="22"/>
        </w:rPr>
        <w:t xml:space="preserve"> Traduction : l'État confirme l'illégalité, refuse d'intervenir, et renvoie la citoyenne vers des procédures coûteuses — dont l'argent est précisément gelé.</w:t>
      </w:r>
    </w:p>
    <w:p>
      <w:pPr>
        <w:spacing w:line="312" w:lineRule="auto"/>
      </w:pPr>
      <w:r>
        <w:rPr>
          <w:rFonts w:ascii="FreeSerif" w:hAnsi="FreeSerif"/>
          <w:sz w:val="22"/>
        </w:rPr>
        <w:t xml:space="preserve">Yamb ne peut pas rentrer en Suisse. Non pas parce qu'un texte le lui interdit explicitement, mais parce que le règlement européen de 2024 inclut l'espace aérien dans la définition du territoire européen. Conséquences concrètes : elle ne peut pas assister à la naissance de son petit-enfant. Elle ne sera pas présente pour les 80 ans de sa mère. Son fils, qui porte le même nom, voit parfois ses paiements refusés — </w:t>
      </w:r>
      <w:r>
        <w:rPr>
          <w:rFonts w:ascii="FreeSerif" w:hAnsi="FreeSerif"/>
          <w:b/>
          <w:sz w:val="22"/>
        </w:rPr>
        <w:t>dommage collatéral</w:t>
      </w:r>
      <w:r>
        <w:rPr>
          <w:rFonts w:ascii="FreeSerif" w:hAnsi="FreeSerif"/>
          <w:sz w:val="22"/>
        </w:rPr>
        <w:t xml:space="preserve">. La chronologie n'est pas nouvelle : en 2019, après son intervention au sommet Russie-Afrique de Sochi sur la France-Afrique, Macron appelle le président ivoirien. Yamb est arrêtée, détenue, puis expulsée vers la Suisse — en robe d'été, sans bagages, sans papiers, sans argent — en plein hiver, le 3 décembre. Elle contacte l'ambassade suisse à Abidjan. Aucune réponse. Elle obtient finalement les fichiers internes des autorités suisses : dans les échanges entre l'ambassadeur de Suisse en Côte d'Ivoire et Berne, un responsable a écrit explicitement à l'ambassadeur : </w:t>
      </w:r>
      <w:r>
        <w:rPr>
          <w:rFonts w:ascii="FreeSerif" w:hAnsi="FreeSerif"/>
          <w:b/>
          <w:sz w:val="22"/>
        </w:rPr>
        <w:t>« Ne l'aide pas. »</w:t>
      </w:r>
      <w:r>
        <w:rPr>
          <w:rFonts w:ascii="FreeSerif" w:hAnsi="FreeSerif"/>
          <w:sz w:val="22"/>
        </w:rPr>
        <w:t xml:space="preserve"> Elle a cela par écrit.</w:t>
      </w:r>
    </w:p>
    <w:p>
      <w:pPr>
        <w:spacing w:line="312" w:lineRule="auto"/>
      </w:pPr>
      <w:r>
        <w:rPr>
          <w:rFonts w:ascii="FreeSerif" w:hAnsi="FreeSerif"/>
          <w:i/>
          <w:sz w:val="22"/>
        </w:rPr>
        <w:t>« Ces sanctions sont faites pour affecter votre santé mentale. Pour ébranler votre détermination. Pour vous atteindre financièrement, moralement, psychologiquement — afin que vous soyez tellement occupé à chercher des solutions que vous n'ayez plus de temps pour votre lutte. »</w:t>
      </w:r>
      <w:r>
        <w:rPr>
          <w:rFonts w:ascii="FreeSerif" w:hAnsi="FreeSerif"/>
          <w:sz w:val="22"/>
        </w:rPr>
        <w:t xml:space="preserve"> Ce mécanisme — toute l'Afrique le connaît.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line="312" w:lineRule="auto"/>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line="312" w:lineRule="auto"/>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line="312" w:lineRule="auto"/>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line="312" w:lineRule="auto"/>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line="312" w:lineRule="auto"/>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fabrique de la haine en ligne</w:t>
      </w:r>
    </w:p>
    <w:p>
      <w:pPr>
        <w:spacing w:line="312" w:lineRule="auto"/>
      </w:pPr>
      <w:r>
        <w:rPr>
          <w:rFonts w:ascii="FreeSerif" w:hAnsi="FreeSerif"/>
          <w:sz w:val="22"/>
        </w:rPr>
        <w:t>Le mouvement des « 12 Apôtres » a été fondé par Rodrigue Joseph Prudence Mayte, dit « Kerembesse » — dont la page Facebook « Kerembesse Govossango » est devenue, selon les termes mêmes des sources judiciaires françaises, « la plateforme des propos malveillants, des injures ou diffamations, des atteintes graves à la vie d'autres Centrafricains ». La structure du mouvement ressemble à une franchise de la désinformation : Kerembesse est le « Manager général » ; ses « disciples » ont pour tâche de partager ses publications, de commenter avec des insultes et de s'en prendre à tous les Centrafricains proches du gouvernement de Bangui. L'appartenance au groupe exige une « solidarité dans le mal » — les membres eux-mêmes ont des démêlés judiciaires avec les autorités de leur pays d'origine, ce qui constitue leur ciment idéologique.</w:t>
      </w:r>
    </w:p>
    <w:p>
      <w:pPr>
        <w:spacing w:line="312" w:lineRule="auto"/>
      </w:pPr>
      <w:r>
        <w:rPr>
          <w:rFonts w:ascii="FreeSerif" w:hAnsi="FreeSerif"/>
          <w:sz w:val="22"/>
        </w:rPr>
        <w:t>La réponse judiciaire est venue non de Bangui mais de Nantes. Le 21 décembre 2023, le Tribunal correctionnel de Nantes, 6e chambre section B, a condamné Lilly Blanche Koulaninga et Larissa Adina Tomte — alias « Parfaite champagne », toutes deux membres actives du mouvement — à une amende délictuelle de 1 500 euros avec sursis pour « diffamation envers un particulier par parole, écrit, image ou moyen de communication au public sur Facebook ». La victime était le Dr Martial Pabandji, homme d'affaires et enseignant-chercheur à l'Université de Bangui, traité de « faux docteur, d'escroc et de voleur qui traîne une ribambelle de casseroles derrière lui » dans des publications des 2 et 4 janvier 2023. Devant le tribunal, dame Koulaninga — proche parent et directrice de cabinet de l'opposant Dologuélé — n'a présenté aucune preuve de ses allégations. Le juge a en outre ordonné le retrait immédiat des injures sous astreinte de cent euros par jour de retard et l'octroi de dommages et intérêts à la victime.</w:t>
      </w:r>
    </w:p>
    <w:p>
      <w:pPr>
        <w:spacing w:line="312" w:lineRule="auto"/>
      </w:pPr>
      <w:r>
        <w:rPr>
          <w:rFonts w:ascii="FreeSerif" w:hAnsi="FreeSerif"/>
          <w:sz w:val="22"/>
        </w:rPr>
        <w:t>La portée dépasse l'anecdote. Trois constats s'imposent. Premier constat : depuis 2017, ce réseau a systématiquement pris pour cibles des autorités centrafricaines — sans preuves, sans vérification des faits, avec une mécanique répétitive que la procédure pénale française a qualifiée de délictuelle. Deuxième constat : le tribunal français a rejeté l'intégralité des demandes de nullité des prévenues, infirmant la thèse selon laquelle la liberté d'expression couvrirait les attaques nominales non étayées contre des particuliers. Troisième constat : les deux condamnées ont annoncé leur intention de faire appel le jour de Noël 2023, lors d'un livestream avec les « 12 Apôtres » — prouvant que la condamnation n'entame pas la dynamique du réseau mais en dévoile la mécanique pour qui veut la voir.</w:t>
      </w:r>
    </w:p>
    <w:p>
      <w:pPr>
        <w:spacing w:line="312" w:lineRule="auto"/>
      </w:pPr>
      <w:r>
        <w:rPr>
          <w:rFonts w:ascii="FreeSerif" w:hAnsi="FreeSerif"/>
          <w:sz w:val="22"/>
        </w:rPr>
        <w:t>Ce précédent judiciaire ouvre une voie que d'autres victimes commencent à emprunter. La citation directe en correctionnelle — contournant la lenteur des procédures classiques — devient un outil accessible pour qui dispose des moyens de l'activer. La bataille de l'information se joue désormais aussi dans les prétoires européens, où les réseaux de désinformation diasporique affrontent une justice qui, pour une fois, n'a pas distingué selon la couleur du prévenu ou de la victime.</w:t>
      </w:r>
    </w:p>
    <w:p>
      <w:pPr>
        <w:spacing w:before="200" w:after="80"/>
      </w:pPr>
      <w:r>
        <w:rPr>
          <w:rFonts w:ascii="FreeSerif" w:hAnsi="FreeSerif"/>
          <w:b/>
          <w:color w:val="2C3A4A"/>
          <w:sz w:val="20"/>
        </w:rPr>
        <w:t>De Facebook à La Haye : la guerre judiciaire exportée</w:t>
      </w:r>
    </w:p>
    <w:p>
      <w:pPr>
        <w:spacing w:line="312" w:lineRule="auto"/>
      </w:pPr>
      <w:r>
        <w:rPr>
          <w:rFonts w:ascii="FreeSerif" w:hAnsi="FreeSerif"/>
          <w:sz w:val="22"/>
        </w:rPr>
        <w:t>La condamnation de Nantes n'a pas mis fin à la stratégie du réseau. En octobre 2025, Kerembessé — de son vrai nom Rodrigo Maïté, ancien militant du Kwa na Kwa (KNK), le parti de François Bozizé — a franchi une nouvelle étape. Le collectif des « 12 Apôtres », en association avec l'avocat canadien Maître Philippe Larochelle, a déposé auprès de la Cour pénale internationale une communication au titre de l'article 15 du Statut de Rome visant le président Faustin Archange Touadéra et les instructeurs russes présents en RCA.</w:t>
      </w:r>
    </w:p>
    <w:p>
      <w:pPr>
        <w:spacing w:line="312" w:lineRule="auto"/>
      </w:pPr>
      <w:r>
        <w:rPr>
          <w:rFonts w:ascii="FreeSerif" w:hAnsi="FreeSerif"/>
          <w:sz w:val="22"/>
        </w:rPr>
        <w:t xml:space="preserve">La cohérence politique du dispositif est avouée sans détour. Kerembessé lui-même a formulé l'alternative sans ambiguïté : </w:t>
      </w:r>
      <w:r>
        <w:rPr>
          <w:rFonts w:ascii="FreeSerif" w:hAnsi="FreeSerif"/>
          <w:i/>
          <w:sz w:val="22"/>
        </w:rPr>
        <w:t>« Deux options pour écarter Touadéra : le coup d'État ou la CPI. »</w:t>
      </w:r>
      <w:r>
        <w:rPr>
          <w:rFonts w:ascii="FreeSerif" w:hAnsi="FreeSerif"/>
          <w:sz w:val="22"/>
        </w:rPr>
        <w:t xml:space="preserve"> Quand la CPI est présentée ouvertement comme l'alternative d'un putsch, la cause n'est plus celle des droits humains — c'est celle du changement de régime par d'autres moyens.</w:t>
      </w:r>
    </w:p>
    <w:p>
      <w:pPr>
        <w:spacing w:line="312" w:lineRule="auto"/>
      </w:pPr>
      <w:r>
        <w:rPr>
          <w:rFonts w:ascii="FreeSerif" w:hAnsi="FreeSerif"/>
          <w:sz w:val="22"/>
        </w:rPr>
        <w:t>Le profil de l'avocat choisi complète le tableau. Philippe Larochelle n'est pas inconnu à la CPI : il a défendu Maxime Mokome, chef anti-balaka poursuivi pour crimes contre l'humanité et crimes de guerre en RCA. Qu'un avocat de la défense d'un milicien se retrouve, quelques années plus tard, à accuser le pouvoir central des mêmes types de crimes, n'est pas illégal en soi — mais le contraste interroge la géométrie des indignations. Larochelle fustige le « régime Touadéra » en reléguant systématiquement les violences des groupes armés au second plan ; or depuis 2013, c'est la Séléka et les anti-balaka qui ont ravagé la Centrafrique, et la CPC de Bozizé qui, en 2020, a rallumé le brasier d'attaques et de pillages après son échec putschiste.</w:t>
      </w:r>
    </w:p>
    <w:p>
      <w:pPr>
        <w:spacing w:line="312" w:lineRule="auto"/>
      </w:pPr>
      <w:r>
        <w:rPr>
          <w:rFonts w:ascii="FreeSerif" w:hAnsi="FreeSerif"/>
          <w:sz w:val="22"/>
        </w:rPr>
        <w:t>L'architecture est limpide : échec militaire de 2020 → stratégie judiciaire exportée vers La Haye → même réseau, même objectif, même financement. La « communication » à la CPI est construite comme un produit médiatique : témoignages anonymes, fragments agrégés, collecte numérique, emballement en ligne. La justice internationale, rappelons-le, exige des témoins à visage découvert et des preuves vérifiables — critères incompatibles avec les livestreams rageurs qui constituent le socle probatoire du collectif. La même fragilité qui a valu à Koulaninga et Adina Tomte leur condamnation à Nantes mine la crédibilité de la saisine internationale.</w:t>
      </w:r>
    </w:p>
    <w:p>
      <w:pPr>
        <w:spacing w:line="312" w:lineRule="auto"/>
      </w:pPr>
      <w:r>
        <w:rPr>
          <w:rFonts w:ascii="FreeSerif" w:hAnsi="FreeSerif"/>
          <w:sz w:val="22"/>
        </w:rPr>
        <w:t>Le fil conducteur — Kerembessé, Bozizé, Larochelle — n'est pas celui d'une quête de justice. C'est celui d'une structure diasporique politisée qui recycle un échec militaire en croisade judiciaire, en utilisant successivement Facebook, les prétoires français et la CPI comme terrains de la même guerre. La frontière entre droit international et propagande politique disparaît quand l'un des camps pose lui-même l'équivalence : « le putsch ou La Haye ».</w:t>
      </w:r>
    </w:p>
    <w:p>
      <w:pPr>
        <w:spacing w:line="312" w:lineRule="auto"/>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line="312" w:lineRule="auto"/>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line="312" w:lineRule="auto"/>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line="312" w:lineRule="auto"/>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line="312" w:lineRule="auto"/>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line="312" w:lineRule="auto"/>
      </w:pPr>
      <w:r>
        <w:rPr>
          <w:rFonts w:ascii="FreeSerif" w:hAnsi="FreeSerif"/>
          <w:sz w:val="22"/>
        </w:rPr>
        <w:t>C'est ce même travail parlementaire qui a établi le décompte des interventions militaires — la cinquantième depuis les indépendances, on l'a vu au chapitre 13.</w:t>
      </w:r>
    </w:p>
    <w:p>
      <w:pPr>
        <w:spacing w:line="312" w:lineRule="auto"/>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line="312" w:lineRule="auto"/>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line="312" w:lineRule="auto"/>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line="312" w:lineRule="auto"/>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line="312" w:lineRule="auto"/>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line="312" w:lineRule="auto"/>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line="312" w:lineRule="auto"/>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line="312" w:lineRule="auto"/>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line="312" w:lineRule="auto"/>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line="312" w:lineRule="auto"/>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line="312" w:lineRule="auto"/>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line="312" w:lineRule="auto"/>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line="312" w:lineRule="auto"/>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line="312" w:lineRule="auto"/>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line="312" w:lineRule="auto"/>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line="312" w:lineRule="auto"/>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line="312" w:lineRule="auto"/>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line="312" w:lineRule="auto"/>
      </w:pPr>
      <w:r>
        <w:rPr>
          <w:rFonts w:ascii="FreeSerif" w:hAnsi="FreeSerif"/>
          <w:sz w:val="22"/>
        </w:rPr>
        <w:t>La France a perdu le Mali, le Burkina Faso, le Niger. Juillet ne prétend pas que ce soit récupérable à court terme. Il pivote vers deux zones prioritaires :</w:t>
      </w:r>
    </w:p>
    <w:p>
      <w:pPr>
        <w:spacing w:line="312" w:lineRule="auto"/>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line="312" w:lineRule="auto"/>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line="312" w:lineRule="auto"/>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line="312" w:lineRule="auto"/>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line="312" w:lineRule="auto"/>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line="312" w:lineRule="auto"/>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line="312" w:lineRule="auto"/>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line="312" w:lineRule="auto"/>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line="312" w:lineRule="auto"/>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line="312" w:lineRule="auto"/>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line="312" w:lineRule="auto"/>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line="312" w:lineRule="auto"/>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line="312" w:lineRule="auto"/>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line="312" w:lineRule="auto"/>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line="312" w:lineRule="auto"/>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line="312" w:lineRule="auto"/>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line="312" w:lineRule="auto"/>
      </w:pPr>
      <w:r>
        <w:rPr>
          <w:rFonts w:ascii="FreeSerif" w:hAnsi="FreeSerif"/>
          <w:sz w:val="22"/>
        </w:rPr>
        <w:t>L'entretien dresse une cartographie précise des concurrents. Juillet ne s'indigne pas de leur présence — il l'analyse froidement.</w:t>
      </w:r>
    </w:p>
    <w:p>
      <w:pPr>
        <w:spacing w:line="312" w:lineRule="auto"/>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line="312" w:lineRule="auto"/>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line="312" w:lineRule="auto"/>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line="312" w:lineRule="auto"/>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line="312" w:lineRule="auto"/>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line="312" w:lineRule="auto"/>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line="312" w:lineRule="auto"/>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line="312" w:lineRule="auto"/>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line="312" w:lineRule="auto"/>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line="312" w:lineRule="auto"/>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La France vaincue à la table des vainqueurs</w:t>
      </w:r>
    </w:p>
    <w:p>
      <w:pPr>
        <w:spacing w:line="312" w:lineRule="auto"/>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qu'une fraction de la puissance militaire des Alliés.</w:t>
      </w:r>
    </w:p>
    <w:p>
      <w:pPr>
        <w:spacing w:line="312" w:lineRule="auto"/>
      </w:pPr>
      <w:r>
        <w:rPr>
          <w:rFonts w:ascii="FreeSerif" w:hAnsi="FreeSerif"/>
          <w:sz w:val="22"/>
        </w:rPr>
        <w:t>La véritable force qui a libéré la France est américaine, britannique et canadienne — débarquement de Normandie, juin 1944. Les armées soviétiques ont mobilisé l'essentiel de la puissance de feu nazie sur le front de l'Est. Ce sont les États-Unis, l'Union soviétique et le Royaume-Uni qui ont gagné la guerre. La France, elle, a été libérée de l'extérieur.</w:t>
      </w:r>
    </w:p>
    <w:p>
      <w:pPr>
        <w:spacing w:line="312" w:lineRule="auto"/>
      </w:pPr>
      <w:r>
        <w:rPr>
          <w:rFonts w:ascii="FreeSerif" w:hAnsi="FreeSerif"/>
          <w:sz w:val="22"/>
        </w:rPr>
        <w:t>Pourtant, en 1945, lors de la fondation de l'ONU, la France obtient l'un des cinq sièges permanents. Comment ? 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line="312" w:lineRule="auto"/>
      </w:pPr>
      <w:r>
        <w:rPr>
          <w:rFonts w:ascii="FreeSerif" w:hAnsi="FreeSerif"/>
          <w:sz w:val="22"/>
        </w:rPr>
        <w:t>Un triomphe diplomatique sans équivalent dans l'histoire moderne. Et la fondation d'une anomalie institutionnelle qui dure depuis quatre-vingts ans. Ce coup de force de 1945 conditionne encore aujourd'hui la vie de 1,5 milliard d'Africains.</w:t>
      </w:r>
    </w:p>
    <w:p>
      <w:pPr>
        <w:spacing w:before="200" w:after="80"/>
      </w:pPr>
      <w:r>
        <w:rPr>
          <w:rFonts w:ascii="FreeSerif" w:hAnsi="FreeSerif"/>
          <w:b/>
          <w:color w:val="2C3A4A"/>
          <w:sz w:val="20"/>
        </w:rPr>
        <w:t>Le rapport de force de 1945 figé pour l'éternité</w:t>
      </w:r>
    </w:p>
    <w:p>
      <w:pPr>
        <w:spacing w:line="312" w:lineRule="auto"/>
      </w:pPr>
      <w:r>
        <w:rPr>
          <w:rFonts w:ascii="FreeSerif" w:hAnsi="FreeSerif"/>
          <w:sz w:val="22"/>
        </w:rPr>
        <w:t>Le Conseil de sécurité de 1945 reflète le rapport de force de 1945. Le monde compte alors 51 États membres de l'ONU. En 2026, il en compte 193. L'Afrique — qui comptait moins de dix États indépendants en 1945 — en compte aujourd'hui 54 : plus du quart de l'Assemblée générale. Elle n'a toujours pas de siège permanent au Conseil de sécurité.</w:t>
      </w:r>
    </w:p>
    <w:p>
      <w:pPr>
        <w:spacing w:line="312" w:lineRule="auto"/>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line="312" w:lineRule="auto"/>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line="312" w:lineRule="auto"/>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line="312" w:lineRule="auto"/>
      </w:pPr>
      <w:r>
        <w:rPr>
          <w:rFonts w:ascii="FreeSerif" w:hAnsi="FreeSerif"/>
          <w:sz w:val="22"/>
        </w:rPr>
        <w:t>Dans le contexte africain, ce mécanisme a été utilisé de manière systématique pour protéger les intérêts français.</w:t>
      </w:r>
    </w:p>
    <w:p>
      <w:pPr>
        <w:spacing w:line="312" w:lineRule="auto"/>
      </w:pPr>
      <w:r>
        <w:rPr>
          <w:rFonts w:ascii="FreeSerif" w:hAnsi="FreeSerif"/>
          <w:b/>
          <w:sz w:val="22"/>
        </w:rPr>
        <w:t>Mali — MINUSMA</w:t>
      </w:r>
      <w:r>
        <w:rPr>
          <w:rFonts w:ascii="FreeSerif" w:hAnsi="FreeSerif"/>
          <w:sz w:val="22"/>
        </w:rPr>
        <w:t xml:space="preserve"> : La MINUSMA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 Lorsque les autorités de transition maliennes ont demandé le retrait de la MINUSMA en 2023, Paris a tenté de conditionner ce retrait. Juge et partie, à perpétuité.</w:t>
      </w:r>
    </w:p>
    <w:p>
      <w:pPr>
        <w:spacing w:line="312" w:lineRule="auto"/>
      </w:pPr>
      <w:r>
        <w:rPr>
          <w:rFonts w:ascii="FreeSerif" w:hAnsi="FreeSerif"/>
          <w:b/>
          <w:sz w:val="22"/>
        </w:rPr>
        <w:t>Centrafrique — MINUSCA</w:t>
      </w:r>
      <w:r>
        <w:rPr>
          <w:rFonts w:ascii="FreeSerif" w:hAnsi="FreeSerif"/>
          <w:sz w:val="22"/>
        </w:rPr>
        <w:t xml:space="preserve"> : Les mandats de la MINUSCA ont été régulièrement renégociés avec des dispositions qui protégeaient certains acteurs locaux proches de Paris contre des enquêtes trop intrusives sur les violations des droits humains. Nommer les exactions françaises de la même période obligeait à comparer.</w:t>
      </w:r>
    </w:p>
    <w:p>
      <w:pPr>
        <w:spacing w:line="312" w:lineRule="auto"/>
      </w:pPr>
      <w:r>
        <w:rPr>
          <w:rFonts w:ascii="FreeSerif" w:hAnsi="FreeSerif"/>
          <w:b/>
          <w:sz w:val="22"/>
        </w:rPr>
        <w:t>Niger — 2023, le boomerang</w:t>
      </w:r>
      <w:r>
        <w:rPr>
          <w:rFonts w:ascii="FreeSerif" w:hAnsi="FreeSerif"/>
          <w:sz w:val="22"/>
        </w:rPr>
        <w:t xml:space="preserve"> : Après le coup d'État du 26 juillet 2023, la France a tenté d'utiliser le Conseil de sécurité pour légitimer une éventuelle intervention militaire via la CEDEAO. La résolution nécessaire n'a jamais été adoptée. La Russie et la Chine ont invoqué — symétriquement — la non-ingérence dans les affaires internes des États souverains. 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80"/>
      </w:pPr>
      <w:r>
        <w:rPr>
          <w:rFonts w:ascii="FreeSerif" w:hAnsi="FreeSerif"/>
          <w:b/>
          <w:color w:val="2C3A4A"/>
          <w:sz w:val="20"/>
        </w:rPr>
        <w:t>Nucléaire et siège P5 : le lien circulaire</w:t>
      </w:r>
    </w:p>
    <w:p>
      <w:pPr>
        <w:spacing w:line="312" w:lineRule="auto"/>
      </w:pPr>
      <w:r>
        <w:rPr>
          <w:rFonts w:ascii="FreeSerif" w:hAnsi="FreeSerif"/>
          <w:sz w:val="22"/>
        </w:rPr>
        <w:t>Juillet reprend l'argument que les présidents français répètent depuis de Gaulle : la France est membre permanent du Conseil de sécurité parce qu'elle est une puissance nucléaire, et elle maintient sa dissuasion nucléaire parce qu'elle est membre permanent. Les deux se renforcent mutuellement dans une logique circulaire.</w:t>
      </w:r>
    </w:p>
    <w:p>
      <w:pPr>
        <w:spacing w:line="312" w:lineRule="auto"/>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line="312" w:lineRule="auto"/>
      </w:pPr>
      <w:r>
        <w:rPr>
          <w:rFonts w:ascii="FreeSerif" w:hAnsi="FreeSerif"/>
          <w:sz w:val="22"/>
        </w:rPr>
        <w:t>Ce qui est réel : en 2026, la France peut menacer de représailles nucléaires tout en bénéficiant d'une immunité diplomatique au Conseil de sécurité. Cette combinaison lui confère une position que peu d'États dans le monde peuvent disputer.</w:t>
      </w:r>
    </w:p>
    <w:p>
      <w:pPr>
        <w:spacing w:line="312" w:lineRule="auto"/>
      </w:pPr>
      <w:r>
        <w:rPr>
          <w:rFonts w:ascii="FreeSerif" w:hAnsi="FreeSerif"/>
          <w:sz w:val="22"/>
        </w:rPr>
        <w:t>Et quand la France intervient militairement quelque part, elle peut invoquer — même rétrospectivement, même par des contorsions interprétatives — une résolution du Conseil de sécurité pour habiller l'opération d'un vernis multilatéral. Serval au Mali en 2013 a ainsi été présenté comme implicitement couvert par la résolution 2085 adoptée quelques semaines plus tôt — qui autorisait une force africaine sous mandat CEDEAO et non une intervention française unilatérale. Un détail que la communication de guerre pouvait dissimuler.</w:t>
      </w:r>
    </w:p>
    <w:p>
      <w:pPr>
        <w:spacing w:line="312" w:lineRule="auto"/>
      </w:pPr>
      <w:r>
        <w:rPr>
          <w:rFonts w:ascii="FreeSerif" w:hAnsi="FreeSerif"/>
          <w:sz w:val="22"/>
        </w:rPr>
        <w:t>Sans siège permanent, sans veto, la France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80"/>
      </w:pPr>
      <w:r>
        <w:rPr>
          <w:rFonts w:ascii="FreeSerif" w:hAnsi="FreeSerif"/>
          <w:b/>
          <w:color w:val="2C3A4A"/>
          <w:sz w:val="20"/>
        </w:rPr>
        <w:t>La demande africaine : vingt ans d'attente</w:t>
      </w:r>
    </w:p>
    <w:p>
      <w:pPr>
        <w:spacing w:line="312" w:lineRule="auto"/>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w:t>
      </w:r>
    </w:p>
    <w:p>
      <w:pPr>
        <w:spacing w:line="312" w:lineRule="auto"/>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line="312" w:lineRule="auto"/>
      </w:pPr>
      <w:r>
        <w:rPr>
          <w:rFonts w:ascii="FreeSerif" w:hAnsi="FreeSerif"/>
          <w:sz w:val="22"/>
        </w:rPr>
        <w:t>Pour l'AES spécifiquement, la réforme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w:t>
      </w:r>
    </w:p>
    <w:p>
      <w:pPr>
        <w:spacing w:before="200" w:after="80"/>
      </w:pPr>
      <w:r>
        <w:rPr>
          <w:rFonts w:ascii="FreeSerif" w:hAnsi="FreeSerif"/>
          <w:b/>
          <w:color w:val="2C3A4A"/>
          <w:sz w:val="20"/>
        </w:rPr>
        <w:t>La résistance française : protéger la rente</w:t>
      </w:r>
    </w:p>
    <w:p>
      <w:pPr>
        <w:spacing w:line="312" w:lineRule="auto"/>
      </w:pPr>
      <w:r>
        <w:rPr>
          <w:rFonts w:ascii="FreeSerif" w:hAnsi="FreeSerif"/>
          <w:sz w:val="22"/>
        </w:rPr>
        <w:t>La France est l'un des opposants les plus constants à toute réforme qui ajouterait des membres permanents avec droit de veto. La position officielle varie selon les gouvernements — parfois une ouverture rhétorique vers des sièges sans veto — mais sur le fond, aucun gouvernement français n'a jamais soutenu activement l'attribution d'un veto à un nouveau membre.</w:t>
      </w:r>
    </w:p>
    <w:p>
      <w:pPr>
        <w:spacing w:line="312" w:lineRule="auto"/>
      </w:pPr>
      <w:r>
        <w:rPr>
          <w:rFonts w:ascii="FreeSerif" w:hAnsi="FreeSerif"/>
          <w:sz w:val="22"/>
        </w:rPr>
        <w:t>La raison est simple : chaque nouveau veto accordé à un État réduit mécaniquement la valeur du veto français. Si l'Inde, le Brésil et deux États africains obtiennent des sièges permanents avec droit de veto, la France n'est plus une puissance unique — elle devient une puissance parmi huit ou neuf. Sa capacité à orienter les décisions du Conseil diminue. Sa monnaie d'échange diplomatique se dévalue.</w:t>
      </w:r>
    </w:p>
    <w:p>
      <w:pPr>
        <w:spacing w:line="312" w:lineRule="auto"/>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 Ce multilatéralisme sélectif est exactement ce que les gouvernements de l'AES ont désigné comme hypocrisie structurelle dans leurs discours de rupture.</w:t>
      </w:r>
    </w:p>
    <w:p>
      <w:pPr>
        <w:spacing w:line="312" w:lineRule="auto"/>
      </w:pPr>
      <w:r>
        <w:rPr>
          <w:rFonts w:ascii="FreeSerif" w:hAnsi="FreeSerif"/>
          <w:sz w:val="22"/>
        </w:rPr>
        <w:t>Le colonel Goïta, le capitaine Traoré, le général Tiani n'ont pas rejeté le droit international en général. Ils ont rejeté spécifiquement un ordre international dans lequel la France dispose d'un veto et l'Afrique non. Et pour eux, le siège permanent n'est pas une preuve de légitimité — c'est une preuve d'injustice institutionnalisée. La durée n'est pas la justice.</w:t>
      </w:r>
    </w:p>
    <w:p>
      <w:pPr>
        <w:spacing w:before="200" w:after="80"/>
      </w:pPr>
      <w:r>
        <w:rPr>
          <w:rFonts w:ascii="FreeSerif" w:hAnsi="FreeSerif"/>
          <w:b/>
          <w:color w:val="2C3A4A"/>
          <w:sz w:val="20"/>
        </w:rPr>
        <w:t>Ce que l'AES doit exiger</w:t>
      </w:r>
    </w:p>
    <w:p>
      <w:pPr>
        <w:spacing w:line="312" w:lineRule="auto"/>
      </w:pPr>
      <w:r>
        <w:rPr>
          <w:rFonts w:ascii="FreeSerif" w:hAnsi="FreeSerif"/>
          <w:sz w:val="22"/>
        </w:rPr>
        <w:t>Imaginons un Conseil de sécurité réformé comprenant deux sièges africains permanents avec droit de veto — scénario que l'UA défend depuis vingt ans. Qu'est-ce que cela changerait concrètement ?</w:t>
      </w:r>
    </w:p>
    <w:p>
      <w:pPr>
        <w:pStyle w:val="ListBullet"/>
      </w:pPr>
      <w:r>
        <w:rPr>
          <w:rFonts w:ascii="FreeSerif" w:hAnsi="FreeSerif"/>
          <w:b/>
          <w:sz w:val="21"/>
        </w:rPr>
        <w:t>Sur les opérations militaires</w:t>
      </w:r>
      <w:r>
        <w:rPr>
          <w:rFonts w:ascii="FreeSerif" w:hAnsi="FreeSerif"/>
          <w:sz w:val="21"/>
        </w:rPr>
        <w:t xml:space="preserve"> : toute résolution autorisant une intervention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pStyle w:val="ListBullet"/>
      </w:pPr>
      <w:r>
        <w:rPr>
          <w:rFonts w:ascii="FreeSerif" w:hAnsi="FreeSerif"/>
          <w:b/>
          <w:sz w:val="21"/>
        </w:rPr>
        <w:t>Sur les mandats des missions de paix</w:t>
      </w:r>
      <w:r>
        <w:rPr>
          <w:rFonts w:ascii="FreeSerif" w:hAnsi="FreeSerif"/>
          <w:sz w:val="21"/>
        </w:rPr>
        <w:t xml:space="preserve"> : leur définition ne pourrait plus être rédigée à Paris et présentée à New York. Elle devrait être négociée avec des partenaires disposant d'une capacité de blocage réelle.</w:t>
      </w:r>
    </w:p>
    <w:p>
      <w:pPr>
        <w:pStyle w:val="ListBullet"/>
      </w:pPr>
      <w:r>
        <w:rPr>
          <w:rFonts w:ascii="FreeSerif" w:hAnsi="FreeSerif"/>
          <w:b/>
          <w:sz w:val="21"/>
        </w:rPr>
        <w:t>Sur les sanctions</w:t>
      </w:r>
      <w:r>
        <w:rPr>
          <w:rFonts w:ascii="FreeSerif" w:hAnsi="FreeSerif"/>
          <w:sz w:val="21"/>
        </w:rPr>
        <w:t xml:space="preserve"> : les régimes de sanctions contre des États ou individus africains — dont la France est souvent l'initiatrice — seraient soumis à un filtre africain.</w:t>
      </w:r>
    </w:p>
    <w:p>
      <w:pPr>
        <w:pStyle w:val="ListBullet"/>
      </w:pPr>
      <w:r>
        <w:rPr>
          <w:rFonts w:ascii="FreeSerif" w:hAnsi="FreeSerif"/>
          <w:b/>
          <w:sz w:val="21"/>
        </w:rPr>
        <w:t>Sur la comptabilité des forces</w:t>
      </w:r>
      <w:r>
        <w:rPr>
          <w:rFonts w:ascii="FreeSerif" w:hAnsi="FreeSerif"/>
          <w:sz w:val="21"/>
        </w:rPr>
        <w:t xml:space="preserve"> : la capacité d'enquêter sur des violations, de demander des comptes sur des opérations, serait entre les mains d'États africains, non pas d'États ayant des intérêts à protéger dans ces opérations.</w:t>
      </w:r>
    </w:p>
    <w:p>
      <w:pPr>
        <w:spacing w:line="312" w:lineRule="auto"/>
      </w:pPr>
      <w:r>
        <w:rPr>
          <w:rFonts w:ascii="FreeSerif" w:hAnsi="FreeSerif"/>
          <w:sz w:val="22"/>
        </w:rPr>
        <w:t>Cette convergence réformatrice existe. L'Inde, le Brésil, l'Allemagne, le Japon portent depuis vingt ans le projet du G4. L'Union africaine le porte depuis le Consensus d'Ezulwini. La modification de la Charte de l'ONU exige l'accord des cinq membres permanents — chacun dispose d'un veto sur sa propre dépossession. Mais la pression s'accumule. Dans un monde multipolaire, la légitimité du statu quo s'érode.</w:t>
      </w:r>
    </w:p>
    <w:p>
      <w:pPr>
        <w:spacing w:line="312" w:lineRule="auto"/>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line="312" w:lineRule="auto"/>
      </w:pPr>
      <w:r>
        <w:rPr>
          <w:rFonts w:ascii="FreeSerif" w:hAnsi="FreeSerif"/>
          <w:sz w:val="22"/>
        </w:rPr>
        <w:t>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line="312" w:lineRule="auto"/>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line="312" w:lineRule="auto"/>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line="312" w:lineRule="auto"/>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line="312" w:lineRule="auto"/>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line="312" w:lineRule="auto"/>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line="312" w:lineRule="auto"/>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line="312" w:lineRule="auto"/>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line="312" w:lineRule="auto"/>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line="312" w:lineRule="auto"/>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line="312" w:lineRule="auto"/>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line="312" w:lineRule="auto"/>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line="312" w:lineRule="auto"/>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line="312" w:lineRule="auto"/>
      </w:pPr>
      <w:r>
        <w:rPr>
          <w:rFonts w:ascii="FreeSerif" w:hAnsi="FreeSerif"/>
          <w:i/>
          <w:sz w:val="22"/>
        </w:rPr>
        <w:t>PARTIE IV — LA RÉVOLUTION DE LA SOUVERAINETÉ</w:t>
      </w:r>
    </w:p>
    <w:p>
      <w:pPr>
        <w:spacing w:line="312" w:lineRule="auto"/>
      </w:pPr>
      <w:r>
        <w:rPr>
          <w:rFonts w:ascii="FreeSerif" w:hAnsi="FreeSerif"/>
          <w:sz w:val="22"/>
        </w:rPr>
        <w:t>Trois capitales. Trois nuits. Trois ruptures.</w:t>
      </w:r>
    </w:p>
    <w:p>
      <w:pPr>
        <w:spacing w:line="312" w:lineRule="auto"/>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line="312" w:lineRule="auto"/>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line="312" w:lineRule="auto"/>
      </w:pPr>
      <w:r>
        <w:rPr>
          <w:rFonts w:ascii="FreeSerif" w:hAnsi="FreeSerif"/>
          <w:sz w:val="22"/>
        </w:rPr>
        <w:t>Tout commence à Kati, dans une caserne malienne, à quatre heures du matin.</w:t>
      </w:r>
    </w:p>
    <w:p>
      <w:pPr>
        <w:spacing w:line="312" w:lineRule="auto"/>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line="312" w:lineRule="auto"/>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line="312" w:lineRule="auto"/>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line="312" w:lineRule="auto"/>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line="312" w:lineRule="auto"/>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line="312" w:lineRule="auto"/>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line="312" w:lineRule="auto"/>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line="312" w:lineRule="auto"/>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line="312" w:lineRule="auto"/>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line="312" w:lineRule="auto"/>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line="312" w:lineRule="auto"/>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line="312" w:lineRule="auto"/>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line="312" w:lineRule="auto"/>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line="312" w:lineRule="auto"/>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line="312" w:lineRule="auto"/>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line="312" w:lineRule="auto"/>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line="312" w:lineRule="auto"/>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line="312" w:lineRule="auto"/>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line="312" w:lineRule="auto"/>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line="312" w:lineRule="auto"/>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line="312" w:lineRule="auto"/>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line="312" w:lineRule="auto"/>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line="312" w:lineRule="auto"/>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line="312" w:lineRule="auto"/>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line="312" w:lineRule="auto"/>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line="312" w:lineRule="auto"/>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line="312" w:lineRule="auto"/>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line="312" w:lineRule="auto"/>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line="312" w:lineRule="auto"/>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line="312" w:lineRule="auto"/>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line="312" w:lineRule="auto"/>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line="312" w:lineRule="auto"/>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line="312" w:lineRule="auto"/>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line="312" w:lineRule="auto"/>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line="312" w:lineRule="auto"/>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line="312" w:lineRule="auto"/>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line="312" w:lineRule="auto"/>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line="312" w:lineRule="auto"/>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line="312" w:lineRule="auto"/>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line="312" w:lineRule="auto"/>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line="312" w:lineRule="auto"/>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line="312" w:lineRule="auto"/>
      </w:pPr>
      <w:r>
        <w:rPr>
          <w:rFonts w:ascii="FreeSerif" w:hAnsi="FreeSerif"/>
          <w:sz w:val="22"/>
        </w:rPr>
        <w:t>Ce n'est pas un lapsus. C'est le programme — dit en huis clos devant le Sénat, le même jour que la MINUSMA commence à saboter son propre retrait.</w:t>
      </w:r>
    </w:p>
    <w:p>
      <w:pPr>
        <w:spacing w:line="312" w:lineRule="auto"/>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line="312" w:lineRule="auto"/>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line="312" w:lineRule="auto"/>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line="312" w:lineRule="auto"/>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line="312" w:lineRule="auto"/>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line="312" w:lineRule="auto"/>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line="312" w:lineRule="auto"/>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line="312" w:lineRule="auto"/>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line="312" w:lineRule="auto"/>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line="312" w:lineRule="auto"/>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line="312" w:lineRule="auto"/>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line="312" w:lineRule="auto"/>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line="312" w:lineRule="auto"/>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line="312" w:lineRule="auto"/>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line="312" w:lineRule="auto"/>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line="312" w:lineRule="auto"/>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line="312" w:lineRule="auto"/>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line="312" w:lineRule="auto"/>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line="312" w:lineRule="auto"/>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line="312" w:lineRule="auto"/>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line="312" w:lineRule="auto"/>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line="312" w:lineRule="auto"/>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line="312" w:lineRule="auto"/>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line="312" w:lineRule="auto"/>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line="312" w:lineRule="auto"/>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line="312" w:lineRule="auto"/>
      </w:pPr>
      <w:r>
        <w:rPr>
          <w:rFonts w:ascii="FreeSerif" w:hAnsi="FreeSerif"/>
          <w:sz w:val="22"/>
        </w:rPr>
        <w:t>Le 25 avril 2026, à l'aube, des attaques coordonnées frappent simultanément Bamako, Kati, Kidal, Gao et Sévaré.</w:t>
      </w:r>
    </w:p>
    <w:p>
      <w:pPr>
        <w:spacing w:line="312" w:lineRule="auto"/>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line="312" w:lineRule="auto"/>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line="312" w:lineRule="auto"/>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line="312" w:lineRule="auto"/>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line="312" w:lineRule="auto"/>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line="312" w:lineRule="auto"/>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line="312" w:lineRule="auto"/>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line="312" w:lineRule="auto"/>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line="312" w:lineRule="auto"/>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line="312" w:lineRule="auto"/>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line="312" w:lineRule="auto"/>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line="312" w:lineRule="auto"/>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line="312" w:lineRule="auto"/>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line="312" w:lineRule="auto"/>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line="312" w:lineRule="auto"/>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line="312" w:lineRule="auto"/>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line="312" w:lineRule="auto"/>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line="312" w:lineRule="auto"/>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line="312" w:lineRule="auto"/>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line="312" w:lineRule="auto"/>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line="312" w:lineRule="auto"/>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line="312" w:lineRule="auto"/>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line="312" w:lineRule="auto"/>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line="312" w:lineRule="auto"/>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line="312" w:lineRule="auto"/>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line="312" w:lineRule="auto"/>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line="312" w:lineRule="auto"/>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line="312" w:lineRule="auto"/>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line="312" w:lineRule="auto"/>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line="312" w:lineRule="auto"/>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line="312" w:lineRule="auto"/>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line="312" w:lineRule="auto"/>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line="312" w:lineRule="auto"/>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line="312" w:lineRule="auto"/>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line="312" w:lineRule="auto"/>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line="312" w:lineRule="auto"/>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line="312" w:lineRule="auto"/>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line="312" w:lineRule="auto"/>
      </w:pPr>
      <w:r>
        <w:rPr>
          <w:rFonts w:ascii="FreeSerif" w:hAnsi="FreeSerif"/>
          <w:sz w:val="22"/>
        </w:rPr>
        <w:t>Ce détail doit être gravé dans les mémoires, car il réduit à néant toute autorité morale de Gomart sur le sujet du terrorisme au Sahel.</w:t>
      </w:r>
    </w:p>
    <w:p>
      <w:pPr>
        <w:spacing w:line="312" w:lineRule="auto"/>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line="312" w:lineRule="auto"/>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line="312" w:lineRule="auto"/>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line="312" w:lineRule="auto"/>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line="312" w:lineRule="auto"/>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line="312" w:lineRule="auto"/>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line="312" w:lineRule="auto"/>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line="312" w:lineRule="auto"/>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line="312" w:lineRule="auto"/>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line="312" w:lineRule="auto"/>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line="312" w:lineRule="auto"/>
      </w:pPr>
      <w:r>
        <w:rPr>
          <w:rFonts w:ascii="FreeSerif" w:hAnsi="FreeSerif"/>
          <w:b/>
          <w:sz w:val="22"/>
        </w:rPr>
        <w:t>Issa Diawara</w:t>
      </w:r>
      <w:r>
        <w:rPr>
          <w:rFonts w:ascii="FreeSerif" w:hAnsi="FreeSerif"/>
          <w:sz w:val="22"/>
        </w:rPr>
        <w:t>, analyste burkinabè,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line="312" w:lineRule="auto"/>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line="312" w:lineRule="auto"/>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line="312" w:lineRule="auto"/>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line="312" w:lineRule="auto"/>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line="312" w:lineRule="auto"/>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line="312" w:lineRule="auto"/>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line="312" w:lineRule="auto"/>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line="312" w:lineRule="auto"/>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line="312" w:lineRule="auto"/>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line="312" w:lineRule="auto"/>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line="312" w:lineRule="auto"/>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line="312" w:lineRule="auto"/>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line="312" w:lineRule="auto"/>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line="312" w:lineRule="auto"/>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line="312" w:lineRule="auto"/>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line="312" w:lineRule="auto"/>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line="312" w:lineRule="auto"/>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line="312" w:lineRule="auto"/>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Grief</w:t>
            </w:r>
          </w:p>
        </w:tc>
        <w:tc>
          <w:tcPr>
            <w:tcW w:type="dxa" w:w="4703"/>
            <w:shd w:val="clear" w:color="auto" w:fill="2C3A4A"/>
          </w:tcPr>
          <w:p>
            <w:pPr>
              <w:ind w:left="85"/>
            </w:pPr>
            <w:r>
              <w:rPr>
                <w:rFonts w:ascii="FreeSerif" w:hAnsi="FreeSerif"/>
                <w:b/>
                <w:color w:val="FFFFFF"/>
                <w:sz w:val="19"/>
              </w:rPr>
              <w:t>Formulation du communiqué</w:t>
            </w:r>
          </w:p>
        </w:tc>
      </w:tr>
      <w:tr>
        <w:tc>
          <w:tcPr>
            <w:tcW w:type="dxa" w:w="4703"/>
            <w:shd w:val="clear" w:color="auto" w:fill="F4EFE4"/>
          </w:tcPr>
          <w:p>
            <w:pPr>
              <w:ind w:left="85"/>
            </w:pPr>
            <w:r>
              <w:rPr>
                <w:rFonts w:ascii="FreeSerif" w:hAnsi="FreeSerif"/>
                <w:color w:val="3C3C3C"/>
                <w:sz w:val="18"/>
              </w:rPr>
              <w:t>Hostilité active</w:t>
            </w:r>
          </w:p>
        </w:tc>
        <w:tc>
          <w:tcPr>
            <w:tcW w:type="dxa" w:w="4703"/>
            <w:shd w:val="clear" w:color="auto" w:fill="F4EFE4"/>
          </w:tcPr>
          <w:p>
            <w:pPr>
              <w:ind w:left="85"/>
            </w:pPr>
            <w:r>
              <w:rPr>
                <w:rFonts w:ascii="FreeSerif" w:hAnsi="FreeSerif"/>
                <w:color w:val="3C3C3C"/>
                <w:sz w:val="18"/>
              </w:rPr>
              <w:t>« Un activisme incessant du régime en place en France contre les intérêts du Burkina Faso »</w:t>
            </w:r>
          </w:p>
        </w:tc>
      </w:tr>
      <w:tr>
        <w:tc>
          <w:tcPr>
            <w:tcW w:type="dxa" w:w="4703"/>
            <w:shd w:val="clear" w:color="auto" w:fill="F4EFE4"/>
          </w:tcPr>
          <w:p>
            <w:pPr>
              <w:ind w:left="85"/>
            </w:pPr>
            <w:r>
              <w:rPr>
                <w:rFonts w:ascii="FreeSerif" w:hAnsi="FreeSerif"/>
                <w:color w:val="3C3C3C"/>
                <w:sz w:val="18"/>
              </w:rPr>
              <w:t>Ambition néocoloniale</w:t>
            </w:r>
          </w:p>
        </w:tc>
        <w:tc>
          <w:tcPr>
            <w:tcW w:type="dxa" w:w="4703"/>
            <w:shd w:val="clear" w:color="auto" w:fill="F4EFE4"/>
          </w:tcPr>
          <w:p>
            <w:pPr>
              <w:ind w:left="85"/>
            </w:pPr>
            <w:r>
              <w:rPr>
                <w:rFonts w:ascii="FreeSerif" w:hAnsi="FreeSerif"/>
                <w:color w:val="3C3C3C"/>
                <w:sz w:val="18"/>
              </w:rPr>
              <w:t>« Des ambitions néocoloniales affichées »</w:t>
            </w:r>
          </w:p>
        </w:tc>
      </w:tr>
      <w:tr>
        <w:tc>
          <w:tcPr>
            <w:tcW w:type="dxa" w:w="4703"/>
            <w:shd w:val="clear" w:color="auto" w:fill="F4EFE4"/>
          </w:tcPr>
          <w:p>
            <w:pPr>
              <w:ind w:left="85"/>
            </w:pPr>
            <w:r>
              <w:rPr>
                <w:rFonts w:ascii="FreeSerif" w:hAnsi="FreeSerif"/>
                <w:color w:val="3C3C3C"/>
                <w:sz w:val="18"/>
              </w:rPr>
              <w:t>Soutien au terrorisme</w:t>
            </w:r>
          </w:p>
        </w:tc>
        <w:tc>
          <w:tcPr>
            <w:tcW w:type="dxa" w:w="4703"/>
            <w:shd w:val="clear" w:color="auto" w:fill="F4EFE4"/>
          </w:tcPr>
          <w:p>
            <w:pPr>
              <w:ind w:left="85"/>
            </w:pPr>
            <w:r>
              <w:rPr>
                <w:rFonts w:ascii="FreeSerif" w:hAnsi="FreeSerif"/>
                <w:color w:val="3C3C3C"/>
                <w:sz w:val="18"/>
              </w:rPr>
              <w:t>« Le soutien actif à des réseaux subversifs et aux terroristes qui endeuillent notre pays et le Sahel »</w:t>
            </w:r>
          </w:p>
        </w:tc>
      </w:tr>
      <w:tr>
        <w:tc>
          <w:tcPr>
            <w:tcW w:type="dxa" w:w="4703"/>
            <w:shd w:val="clear" w:color="auto" w:fill="F4EFE4"/>
          </w:tcPr>
          <w:p>
            <w:pPr>
              <w:ind w:left="85"/>
            </w:pPr>
            <w:r>
              <w:rPr>
                <w:rFonts w:ascii="FreeSerif" w:hAnsi="FreeSerif"/>
                <w:color w:val="3C3C3C"/>
                <w:sz w:val="18"/>
              </w:rPr>
              <w:t>Guerre informationnelle</w:t>
            </w:r>
          </w:p>
        </w:tc>
        <w:tc>
          <w:tcPr>
            <w:tcW w:type="dxa" w:w="4703"/>
            <w:shd w:val="clear" w:color="auto" w:fill="F4EFE4"/>
          </w:tcPr>
          <w:p>
            <w:pPr>
              <w:ind w:left="85"/>
            </w:pPr>
            <w:r>
              <w:rPr>
                <w:rFonts w:ascii="FreeSerif" w:hAnsi="FreeSerif"/>
                <w:color w:val="3C3C3C"/>
                <w:sz w:val="18"/>
              </w:rPr>
              <w:t>« La perfidie et la partialité des discours et des opinions sur notre pays pour en faire un paria de la communauté internationale »</w:t>
            </w:r>
          </w:p>
        </w:tc>
      </w:tr>
    </w:tbl>
    <w:p/>
    <w:p>
      <w:pPr>
        <w:spacing w:line="312" w:lineRule="auto"/>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line="312" w:lineRule="auto"/>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line="312" w:lineRule="auto"/>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line="312" w:lineRule="auto"/>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line="312" w:lineRule="auto"/>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line="312" w:lineRule="auto"/>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line="312" w:lineRule="auto"/>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line="312" w:lineRule="auto"/>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line="312" w:lineRule="auto"/>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line="312" w:lineRule="auto"/>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line="312" w:lineRule="auto"/>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Dispositif</w:t>
            </w:r>
          </w:p>
        </w:tc>
        <w:tc>
          <w:tcPr>
            <w:tcW w:type="dxa" w:w="4703"/>
            <w:shd w:val="clear" w:color="auto" w:fill="2C3A4A"/>
          </w:tcPr>
          <w:p>
            <w:pPr>
              <w:ind w:left="85"/>
            </w:pPr>
            <w:r>
              <w:rPr>
                <w:rFonts w:ascii="FreeSerif" w:hAnsi="FreeSerif"/>
                <w:b/>
                <w:color w:val="FFFFFF"/>
                <w:sz w:val="19"/>
              </w:rPr>
              <w:t>Détail</w:t>
            </w:r>
          </w:p>
        </w:tc>
      </w:tr>
      <w:tr>
        <w:tc>
          <w:tcPr>
            <w:tcW w:type="dxa" w:w="4703"/>
            <w:shd w:val="clear" w:color="auto" w:fill="F4EFE4"/>
          </w:tcPr>
          <w:p>
            <w:pPr>
              <w:ind w:left="85"/>
            </w:pPr>
            <w:r>
              <w:rPr>
                <w:rFonts w:ascii="FreeSerif" w:hAnsi="FreeSerif"/>
                <w:color w:val="3C3C3C"/>
                <w:sz w:val="18"/>
              </w:rPr>
              <w:t>Base aérienne de Niamey</w:t>
            </w:r>
          </w:p>
        </w:tc>
        <w:tc>
          <w:tcPr>
            <w:tcW w:type="dxa" w:w="4703"/>
            <w:shd w:val="clear" w:color="auto" w:fill="F4EFE4"/>
          </w:tcPr>
          <w:p>
            <w:pPr>
              <w:ind w:left="85"/>
            </w:pPr>
            <w:r>
              <w:rPr>
                <w:rFonts w:ascii="FreeSerif" w:hAnsi="FreeSerif"/>
                <w:color w:val="3C3C3C"/>
                <w:sz w:val="18"/>
              </w:rPr>
              <w:t>Environ 1 500 soldats français</w:t>
            </w:r>
          </w:p>
        </w:tc>
      </w:tr>
      <w:tr>
        <w:tc>
          <w:tcPr>
            <w:tcW w:type="dxa" w:w="4703"/>
            <w:shd w:val="clear" w:color="auto" w:fill="F4EFE4"/>
          </w:tcPr>
          <w:p>
            <w:pPr>
              <w:ind w:left="85"/>
            </w:pPr>
            <w:r>
              <w:rPr>
                <w:rFonts w:ascii="FreeSerif" w:hAnsi="FreeSerif"/>
                <w:color w:val="3C3C3C"/>
                <w:sz w:val="18"/>
              </w:rPr>
              <w:t>Base 201 d'Agadez</w:t>
            </w:r>
          </w:p>
        </w:tc>
        <w:tc>
          <w:tcPr>
            <w:tcW w:type="dxa" w:w="4703"/>
            <w:shd w:val="clear" w:color="auto" w:fill="F4EFE4"/>
          </w:tcPr>
          <w:p>
            <w:pPr>
              <w:ind w:left="85"/>
            </w:pPr>
            <w:r>
              <w:rPr>
                <w:rFonts w:ascii="FreeSerif" w:hAnsi="FreeSerif"/>
                <w:color w:val="3C3C3C"/>
                <w:sz w:val="18"/>
              </w:rPr>
              <w:t>Environ 1 000 soldats américains, drones Reaper MQ-9</w:t>
            </w:r>
          </w:p>
        </w:tc>
      </w:tr>
      <w:tr>
        <w:tc>
          <w:tcPr>
            <w:tcW w:type="dxa" w:w="4703"/>
            <w:shd w:val="clear" w:color="auto" w:fill="F4EFE4"/>
          </w:tcPr>
          <w:p>
            <w:pPr>
              <w:ind w:left="85"/>
            </w:pPr>
            <w:r>
              <w:rPr>
                <w:rFonts w:ascii="FreeSerif" w:hAnsi="FreeSerif"/>
                <w:color w:val="3C3C3C"/>
                <w:sz w:val="18"/>
              </w:rPr>
              <w:t>Uranium</w:t>
            </w:r>
          </w:p>
        </w:tc>
        <w:tc>
          <w:tcPr>
            <w:tcW w:type="dxa" w:w="4703"/>
            <w:shd w:val="clear" w:color="auto" w:fill="F4EFE4"/>
          </w:tcPr>
          <w:p>
            <w:pPr>
              <w:ind w:left="85"/>
            </w:pPr>
            <w:r>
              <w:rPr>
                <w:rFonts w:ascii="FreeSerif" w:hAnsi="FreeSerif"/>
                <w:color w:val="3C3C3C"/>
                <w:sz w:val="18"/>
              </w:rPr>
              <w:t>35 % des importations françaises d'uranium concentré (2020)</w:t>
            </w:r>
          </w:p>
        </w:tc>
      </w:tr>
      <w:tr>
        <w:tc>
          <w:tcPr>
            <w:tcW w:type="dxa" w:w="4703"/>
            <w:shd w:val="clear" w:color="auto" w:fill="F4EFE4"/>
          </w:tcPr>
          <w:p>
            <w:pPr>
              <w:ind w:left="85"/>
            </w:pPr>
            <w:r>
              <w:rPr>
                <w:rFonts w:ascii="FreeSerif" w:hAnsi="FreeSerif"/>
                <w:color w:val="3C3C3C"/>
                <w:sz w:val="18"/>
              </w:rPr>
              <w:t>Accord UE-Niger 2015</w:t>
            </w:r>
          </w:p>
        </w:tc>
        <w:tc>
          <w:tcPr>
            <w:tcW w:type="dxa" w:w="4703"/>
            <w:shd w:val="clear" w:color="auto" w:fill="F4EFE4"/>
          </w:tcPr>
          <w:p>
            <w:pPr>
              <w:ind w:left="85"/>
            </w:pPr>
            <w:r>
              <w:rPr>
                <w:rFonts w:ascii="FreeSerif" w:hAnsi="FreeSerif"/>
                <w:color w:val="3C3C3C"/>
                <w:sz w:val="18"/>
              </w:rPr>
              <w:t>Verrou migratoire transsaharien de l'Europe</w:t>
            </w:r>
          </w:p>
        </w:tc>
      </w:tr>
      <w:tr>
        <w:tc>
          <w:tcPr>
            <w:tcW w:type="dxa" w:w="4703"/>
            <w:shd w:val="clear" w:color="auto" w:fill="F4EFE4"/>
          </w:tcPr>
          <w:p>
            <w:pPr>
              <w:ind w:left="85"/>
            </w:pPr>
            <w:r>
              <w:rPr>
                <w:rFonts w:ascii="FreeSerif" w:hAnsi="FreeSerif"/>
                <w:color w:val="3C3C3C"/>
                <w:sz w:val="18"/>
              </w:rPr>
              <w:t>Position stratégique</w:t>
            </w:r>
          </w:p>
        </w:tc>
        <w:tc>
          <w:tcPr>
            <w:tcW w:type="dxa" w:w="4703"/>
            <w:shd w:val="clear" w:color="auto" w:fill="F4EFE4"/>
          </w:tcPr>
          <w:p>
            <w:pPr>
              <w:ind w:left="85"/>
            </w:pPr>
            <w:r>
              <w:rPr>
                <w:rFonts w:ascii="FreeSerif" w:hAnsi="FreeSerif"/>
                <w:color w:val="3C3C3C"/>
                <w:sz w:val="18"/>
              </w:rPr>
              <w:t>Dernière grande base arrière occidentale au Sahel</w:t>
            </w:r>
          </w:p>
        </w:tc>
      </w:tr>
    </w:tbl>
    <w:p/>
    <w:p>
      <w:pPr>
        <w:spacing w:line="312" w:lineRule="auto"/>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line="312" w:lineRule="auto"/>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line="312" w:lineRule="auto"/>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line="312" w:lineRule="auto"/>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line="312" w:lineRule="auto"/>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line="312" w:lineRule="auto"/>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line="312" w:lineRule="auto"/>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line="312" w:lineRule="auto"/>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line="312" w:lineRule="auto"/>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line="312" w:lineRule="auto"/>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line="312" w:lineRule="auto"/>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line="312" w:lineRule="auto"/>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line="312" w:lineRule="auto"/>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line="312" w:lineRule="auto"/>
      </w:pPr>
      <w:r>
        <w:rPr>
          <w:rFonts w:ascii="FreeSerif" w:hAnsi="FreeSerif"/>
          <w:sz w:val="22"/>
        </w:rPr>
        <w:t>Avant de s'interroger sur pourquoi l'ultimatum a échoué, il faut nommer ce que l'on prétendait restaurer.</w:t>
      </w:r>
    </w:p>
    <w:p>
      <w:pPr>
        <w:spacing w:line="312" w:lineRule="auto"/>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line="312" w:lineRule="auto"/>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line="312" w:lineRule="auto"/>
      </w:pPr>
      <w:r>
        <w:rPr>
          <w:rFonts w:ascii="FreeSerif" w:hAnsi="FreeSerif"/>
          <w:sz w:val="22"/>
        </w:rPr>
        <w:t>Le patron reconnaît la logique de rente. Le client la nie. Ce seul fait dit tout sur la relation entre Paris et Bazoum.</w:t>
      </w:r>
    </w:p>
    <w:p>
      <w:pPr>
        <w:spacing w:line="312" w:lineRule="auto"/>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line="312" w:lineRule="auto"/>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line="312" w:lineRule="auto"/>
      </w:pPr>
      <w:r>
        <w:rPr>
          <w:rFonts w:ascii="FreeSerif" w:hAnsi="FreeSerif"/>
          <w:sz w:val="22"/>
        </w:rPr>
        <w:t>Pourquoi l'ultimatum a-t-il échoué ?</w:t>
      </w:r>
    </w:p>
    <w:p>
      <w:pPr>
        <w:spacing w:line="312" w:lineRule="auto"/>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line="312" w:lineRule="auto"/>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line="312" w:lineRule="auto"/>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line="312" w:lineRule="auto"/>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line="312" w:lineRule="auto"/>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line="312" w:lineRule="auto"/>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line="312" w:lineRule="auto"/>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line="312" w:lineRule="auto"/>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line="312" w:lineRule="auto"/>
      </w:pPr>
      <w:r>
        <w:rPr>
          <w:rFonts w:ascii="FreeSerif" w:hAnsi="FreeSerif"/>
          <w:sz w:val="22"/>
        </w:rPr>
        <w:t>L'argument est moralement présentable. Il s'effondre dès qu'on le confronte à la réalité de la justice pénale internationale telle qu'elle s'exerce.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Acteur</w:t>
            </w:r>
          </w:p>
        </w:tc>
        <w:tc>
          <w:tcPr>
            <w:tcW w:type="dxa" w:w="3135"/>
            <w:shd w:val="clear" w:color="auto" w:fill="2C3A4A"/>
          </w:tcPr>
          <w:p>
            <w:pPr>
              <w:ind w:left="85"/>
            </w:pPr>
            <w:r>
              <w:rPr>
                <w:rFonts w:ascii="FreeSerif" w:hAnsi="FreeSerif"/>
                <w:b/>
                <w:color w:val="FFFFFF"/>
                <w:sz w:val="19"/>
              </w:rPr>
              <w:t>Statut CPI</w:t>
            </w:r>
          </w:p>
        </w:tc>
        <w:tc>
          <w:tcPr>
            <w:tcW w:type="dxa" w:w="3135"/>
            <w:shd w:val="clear" w:color="auto" w:fill="2C3A4A"/>
          </w:tcPr>
          <w:p>
            <w:pPr>
              <w:ind w:left="85"/>
            </w:pPr>
            <w:r>
              <w:rPr>
                <w:rFonts w:ascii="FreeSerif" w:hAnsi="FreeSerif"/>
                <w:b/>
                <w:color w:val="FFFFFF"/>
                <w:sz w:val="19"/>
              </w:rPr>
              <w:t>Pression internationale</w:t>
            </w:r>
          </w:p>
        </w:tc>
      </w:tr>
      <w:tr>
        <w:tc>
          <w:tcPr>
            <w:tcW w:type="dxa" w:w="3135"/>
            <w:shd w:val="clear" w:color="auto" w:fill="F4EFE4"/>
          </w:tcPr>
          <w:p>
            <w:pPr>
              <w:ind w:left="85"/>
            </w:pPr>
            <w:r>
              <w:rPr>
                <w:rFonts w:ascii="FreeSerif" w:hAnsi="FreeSerif"/>
                <w:color w:val="3C3C3C"/>
                <w:sz w:val="18"/>
              </w:rPr>
              <w:t>Niger (retrait 2026)</w:t>
            </w:r>
          </w:p>
        </w:tc>
        <w:tc>
          <w:tcPr>
            <w:tcW w:type="dxa" w:w="3135"/>
            <w:shd w:val="clear" w:color="auto" w:fill="F4EFE4"/>
          </w:tcPr>
          <w:p>
            <w:pPr>
              <w:ind w:left="85"/>
            </w:pPr>
            <w:r>
              <w:rPr>
                <w:rFonts w:ascii="FreeSerif" w:hAnsi="FreeSerif"/>
                <w:color w:val="3C3C3C"/>
                <w:sz w:val="18"/>
              </w:rPr>
              <w:t>Sommé de revenir, campagne HRW</w:t>
            </w:r>
          </w:p>
        </w:tc>
        <w:tc>
          <w:tcPr>
            <w:tcW w:type="dxa" w:w="3135"/>
            <w:shd w:val="clear" w:color="auto" w:fill="F4EFE4"/>
          </w:tcPr>
          <w:p>
            <w:pPr>
              <w:ind w:left="85"/>
            </w:pPr>
            <w:r>
              <w:rPr>
                <w:rFonts w:ascii="FreeSerif" w:hAnsi="FreeSerif"/>
                <w:color w:val="3C3C3C"/>
                <w:sz w:val="18"/>
              </w:rPr>
              <w:t>Forte, immédiate</w:t>
            </w:r>
          </w:p>
        </w:tc>
      </w:tr>
      <w:tr>
        <w:tc>
          <w:tcPr>
            <w:tcW w:type="dxa" w:w="3135"/>
            <w:shd w:val="clear" w:color="auto" w:fill="F4EFE4"/>
          </w:tcPr>
          <w:p>
            <w:pPr>
              <w:ind w:left="85"/>
            </w:pPr>
            <w:r>
              <w:rPr>
                <w:rFonts w:ascii="FreeSerif" w:hAnsi="FreeSerif"/>
                <w:color w:val="3C3C3C"/>
                <w:sz w:val="18"/>
              </w:rPr>
              <w:t>États-Unis</w:t>
            </w:r>
          </w:p>
        </w:tc>
        <w:tc>
          <w:tcPr>
            <w:tcW w:type="dxa" w:w="3135"/>
            <w:shd w:val="clear" w:color="auto" w:fill="F4EFE4"/>
          </w:tcPr>
          <w:p>
            <w:pPr>
              <w:ind w:left="85"/>
            </w:pPr>
            <w:r>
              <w:rPr>
                <w:rFonts w:ascii="FreeSerif" w:hAnsi="FreeSerif"/>
                <w:color w:val="3C3C3C"/>
                <w:sz w:val="18"/>
              </w:rPr>
              <w:t>Jamais partie au Statut de Rome</w:t>
            </w:r>
          </w:p>
        </w:tc>
        <w:tc>
          <w:tcPr>
            <w:tcW w:type="dxa" w:w="3135"/>
            <w:shd w:val="clear" w:color="auto" w:fill="F4EFE4"/>
          </w:tcPr>
          <w:p>
            <w:pPr>
              <w:ind w:left="85"/>
            </w:pPr>
            <w:r>
              <w:rPr>
                <w:rFonts w:ascii="FreeSerif" w:hAnsi="FreeSerif"/>
                <w:color w:val="3C3C3C"/>
                <w:sz w:val="18"/>
              </w:rPr>
              <w:t>Inexistante</w:t>
            </w:r>
          </w:p>
        </w:tc>
      </w:tr>
      <w:tr>
        <w:tc>
          <w:tcPr>
            <w:tcW w:type="dxa" w:w="3135"/>
            <w:shd w:val="clear" w:color="auto" w:fill="F4EFE4"/>
          </w:tcPr>
          <w:p>
            <w:pPr>
              <w:ind w:left="85"/>
            </w:pPr>
            <w:r>
              <w:rPr>
                <w:rFonts w:ascii="FreeSerif" w:hAnsi="FreeSerif"/>
                <w:color w:val="3C3C3C"/>
                <w:sz w:val="18"/>
              </w:rPr>
              <w:t>Russie, Chine</w:t>
            </w:r>
          </w:p>
        </w:tc>
        <w:tc>
          <w:tcPr>
            <w:tcW w:type="dxa" w:w="3135"/>
            <w:shd w:val="clear" w:color="auto" w:fill="F4EFE4"/>
          </w:tcPr>
          <w:p>
            <w:pPr>
              <w:ind w:left="85"/>
            </w:pPr>
            <w:r>
              <w:rPr>
                <w:rFonts w:ascii="FreeSerif" w:hAnsi="FreeSerif"/>
                <w:color w:val="3C3C3C"/>
                <w:sz w:val="18"/>
              </w:rPr>
              <w:t>Non parties</w:t>
            </w:r>
          </w:p>
        </w:tc>
        <w:tc>
          <w:tcPr>
            <w:tcW w:type="dxa" w:w="3135"/>
            <w:shd w:val="clear" w:color="auto" w:fill="F4EFE4"/>
          </w:tcPr>
          <w:p>
            <w:pPr>
              <w:ind w:left="85"/>
            </w:pPr>
            <w:r>
              <w:rPr>
                <w:rFonts w:ascii="FreeSerif" w:hAnsi="FreeSerif"/>
                <w:color w:val="3C3C3C"/>
                <w:sz w:val="18"/>
              </w:rPr>
              <w:t>Aucune campagne comparable</w:t>
            </w:r>
          </w:p>
        </w:tc>
      </w:tr>
      <w:tr>
        <w:tc>
          <w:tcPr>
            <w:tcW w:type="dxa" w:w="3135"/>
            <w:shd w:val="clear" w:color="auto" w:fill="F4EFE4"/>
          </w:tcPr>
          <w:p>
            <w:pPr>
              <w:ind w:left="85"/>
            </w:pPr>
            <w:r>
              <w:rPr>
                <w:rFonts w:ascii="FreeSerif" w:hAnsi="FreeSerif"/>
                <w:color w:val="3C3C3C"/>
                <w:sz w:val="18"/>
              </w:rPr>
              <w:t>Israël</w:t>
            </w:r>
          </w:p>
        </w:tc>
        <w:tc>
          <w:tcPr>
            <w:tcW w:type="dxa" w:w="3135"/>
            <w:shd w:val="clear" w:color="auto" w:fill="F4EFE4"/>
          </w:tcPr>
          <w:p>
            <w:pPr>
              <w:ind w:left="85"/>
            </w:pPr>
            <w:r>
              <w:rPr>
                <w:rFonts w:ascii="FreeSerif" w:hAnsi="FreeSerif"/>
                <w:color w:val="3C3C3C"/>
                <w:sz w:val="18"/>
              </w:rPr>
              <w:t>Non partie ; mandats contestés</w:t>
            </w:r>
          </w:p>
        </w:tc>
        <w:tc>
          <w:tcPr>
            <w:tcW w:type="dxa" w:w="3135"/>
            <w:shd w:val="clear" w:color="auto" w:fill="F4EFE4"/>
          </w:tcPr>
          <w:p>
            <w:pPr>
              <w:ind w:left="85"/>
            </w:pPr>
            <w:r>
              <w:rPr>
                <w:rFonts w:ascii="FreeSerif" w:hAnsi="FreeSerif"/>
                <w:color w:val="3C3C3C"/>
                <w:sz w:val="18"/>
              </w:rPr>
              <w:t>Pressions inverses pour protéger</w:t>
            </w:r>
          </w:p>
        </w:tc>
      </w:tr>
    </w:tbl>
    <w:p/>
    <w:p>
      <w:pPr>
        <w:spacing w:line="312" w:lineRule="auto"/>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line="312" w:lineRule="auto"/>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line="312" w:lineRule="auto"/>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line="312" w:lineRule="auto"/>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line="312" w:lineRule="auto"/>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line="312" w:lineRule="auto"/>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line="312" w:lineRule="auto"/>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line="312" w:lineRule="auto"/>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line="312" w:lineRule="auto"/>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line="312" w:lineRule="auto"/>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line="312" w:lineRule="auto"/>
      </w:pPr>
      <w:r>
        <w:rPr>
          <w:rFonts w:ascii="FreeSerif" w:hAnsi="FreeSerif"/>
          <w:sz w:val="22"/>
        </w:rPr>
        <w:t>CHARTE DU LIPTAKO-GOURMA — DISPOSITIONS ESSENTIELLES</w:t>
      </w:r>
    </w:p>
    <w:p>
      <w:pPr>
        <w:spacing w:line="312" w:lineRule="auto"/>
      </w:pPr>
      <w:r>
        <w:rPr>
          <w:rFonts w:ascii="FreeSerif" w:hAnsi="FreeSerif"/>
          <w:sz w:val="22"/>
        </w:rPr>
        <w:t>Article 1 : toute agression contre l'un des membres est une agression contre tous</w:t>
      </w:r>
    </w:p>
    <w:p>
      <w:pPr>
        <w:spacing w:line="312" w:lineRule="auto"/>
      </w:pPr>
      <w:r>
        <w:rPr>
          <w:rFonts w:ascii="FreeSerif" w:hAnsi="FreeSerif"/>
          <w:sz w:val="22"/>
        </w:rPr>
        <w:t>Souveraineté pleine sur les ressources naturelles nationales</w:t>
      </w:r>
    </w:p>
    <w:p>
      <w:pPr>
        <w:spacing w:line="312" w:lineRule="auto"/>
      </w:pPr>
      <w:r>
        <w:rPr>
          <w:rFonts w:ascii="FreeSerif" w:hAnsi="FreeSerif"/>
          <w:sz w:val="22"/>
        </w:rPr>
        <w:t>Droit de choisir ses partenaires militaires et diplomatiques sans tutelle extérieure</w:t>
      </w:r>
    </w:p>
    <w:p>
      <w:pPr>
        <w:spacing w:line="312" w:lineRule="auto"/>
      </w:pPr>
      <w:r>
        <w:rPr>
          <w:rFonts w:ascii="FreeSerif" w:hAnsi="FreeSerif"/>
          <w:sz w:val="22"/>
        </w:rPr>
        <w:t>Libre circulation des personnes entre les trois États membres</w:t>
      </w:r>
    </w:p>
    <w:p>
      <w:pPr>
        <w:spacing w:line="312" w:lineRule="auto"/>
      </w:pPr>
      <w:r>
        <w:rPr>
          <w:rFonts w:ascii="FreeSerif" w:hAnsi="FreeSerif"/>
          <w:sz w:val="22"/>
        </w:rPr>
        <w:t>Création d'une Force unifiée de l'AES, installée le 21 décembre 2025</w:t>
      </w:r>
    </w:p>
    <w:p>
      <w:pPr>
        <w:spacing w:line="312" w:lineRule="auto"/>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line="312" w:lineRule="auto"/>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line="312" w:lineRule="auto"/>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line="312" w:lineRule="auto"/>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line="312" w:lineRule="auto"/>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line="312" w:lineRule="auto"/>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line="312" w:lineRule="auto"/>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line="312" w:lineRule="auto"/>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line="312" w:lineRule="auto"/>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line="312" w:lineRule="auto"/>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line="312" w:lineRule="auto"/>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line="312" w:lineRule="auto"/>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line="312" w:lineRule="auto"/>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line="312" w:lineRule="auto"/>
      </w:pPr>
      <w:r>
        <w:rPr>
          <w:rFonts w:ascii="FreeSerif" w:hAnsi="FreeSerif"/>
          <w:sz w:val="22"/>
        </w:rPr>
        <w:t>Le Centrafrique est, dans ce tableau, le précédent fondateur à double titre : militaire et diplomatique.</w:t>
      </w:r>
    </w:p>
    <w:p>
      <w:pPr>
        <w:spacing w:line="312" w:lineRule="auto"/>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line="312" w:lineRule="auto"/>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line="312" w:lineRule="auto"/>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line="312" w:lineRule="auto"/>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line="312" w:lineRule="auto"/>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line="312" w:lineRule="auto"/>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line="312" w:lineRule="auto"/>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line="312" w:lineRule="auto"/>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line="312" w:lineRule="auto"/>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line="312" w:lineRule="auto"/>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line="312" w:lineRule="auto"/>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line="312" w:lineRule="auto"/>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line="312" w:lineRule="auto"/>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line="312" w:lineRule="auto"/>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line="312" w:lineRule="auto"/>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line="312" w:lineRule="auto"/>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line="312" w:lineRule="auto"/>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line="312" w:lineRule="auto"/>
      </w:pPr>
      <w:r>
        <w:rPr>
          <w:rFonts w:ascii="FreeSerif" w:hAnsi="FreeSerif"/>
          <w:sz w:val="22"/>
        </w:rPr>
        <w:t>CHRONOLOGIE AUTOUR DU 25 AVRIL 2026</w:t>
      </w:r>
    </w:p>
    <w:p>
      <w:pPr>
        <w:spacing w:line="312" w:lineRule="auto"/>
      </w:pPr>
      <w:r>
        <w:rPr>
          <w:rFonts w:ascii="FreeSerif" w:hAnsi="FreeSerif"/>
          <w:sz w:val="22"/>
        </w:rPr>
        <w:t>22-23 avril : victoires des FAMa contre les groupes armés — non relayées par les médias occidentaux (Jules Domche, Vox Africa)</w:t>
      </w:r>
    </w:p>
    <w:p>
      <w:pPr>
        <w:spacing w:line="312" w:lineRule="auto"/>
      </w:pPr>
      <w:r>
        <w:rPr>
          <w:rFonts w:ascii="FreeSerif" w:hAnsi="FreeSerif"/>
          <w:sz w:val="22"/>
        </w:rPr>
        <w:t>23 avril : le Conseil de l'UE finalise 90 milliards d'euros pour l'Ukraine, dont 60 pour la défense, avec « dérogations ciblées »</w:t>
      </w:r>
    </w:p>
    <w:p>
      <w:pPr>
        <w:spacing w:line="312" w:lineRule="auto"/>
      </w:pPr>
      <w:r>
        <w:rPr>
          <w:rFonts w:ascii="FreeSerif" w:hAnsi="FreeSerif"/>
          <w:sz w:val="22"/>
        </w:rPr>
        <w:t>25 avril : attaques coordonnées sur Bamako, Kati, Kidal, Gao, Sévaré ; mort du général Sadio Camara ; le FLA reprend temporairement Kidal</w:t>
      </w:r>
    </w:p>
    <w:p>
      <w:pPr>
        <w:spacing w:line="312" w:lineRule="auto"/>
      </w:pPr>
      <w:r>
        <w:rPr>
          <w:rFonts w:ascii="FreeSerif" w:hAnsi="FreeSerif"/>
          <w:sz w:val="22"/>
        </w:rPr>
        <w:t>28 avril : discours de Goïta ; 1er mai : 800 citernes de carburant nigériennes vers le Mali</w:t>
      </w:r>
    </w:p>
    <w:p>
      <w:pPr>
        <w:spacing w:line="312" w:lineRule="auto"/>
      </w:pPr>
      <w:r>
        <w:rPr>
          <w:rFonts w:ascii="FreeSerif" w:hAnsi="FreeSerif"/>
          <w:sz w:val="22"/>
        </w:rPr>
        <w:t>8 mai : le Niger suspend dix médias français ; la HAC malienne bannit Al Arabiya</w:t>
      </w:r>
    </w:p>
    <w:p>
      <w:pPr>
        <w:spacing w:line="312" w:lineRule="auto"/>
      </w:pPr>
      <w:r>
        <w:rPr>
          <w:rFonts w:ascii="FreeSerif" w:hAnsi="FreeSerif"/>
          <w:sz w:val="22"/>
        </w:rPr>
        <w:t>9 mai : RTL — les révélations Malbruno ; 10 mai : Goïta reprend le portefeuille de la Défense</w:t>
      </w:r>
    </w:p>
    <w:p>
      <w:pPr>
        <w:spacing w:line="312" w:lineRule="auto"/>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line="312" w:lineRule="auto"/>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line="312" w:lineRule="auto"/>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line="312" w:lineRule="auto"/>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line="312" w:lineRule="auto"/>
      </w:pPr>
      <w:r>
        <w:rPr>
          <w:rFonts w:ascii="FreeSerif" w:hAnsi="FreeSerif"/>
          <w:sz w:val="22"/>
        </w:rPr>
        <w:t>La résilience n'est pas que militaire. Sur le terrain humain, le Mali avance silencieusement.</w:t>
      </w:r>
    </w:p>
    <w:p>
      <w:pPr>
        <w:spacing w:line="312" w:lineRule="auto"/>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line="312" w:lineRule="auto"/>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line="312" w:lineRule="auto"/>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line="312" w:lineRule="auto"/>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line="312" w:lineRule="auto"/>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line="312" w:lineRule="auto"/>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line="312" w:lineRule="auto"/>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line="312" w:lineRule="auto"/>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line="312" w:lineRule="auto"/>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line="312" w:lineRule="auto"/>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line="312" w:lineRule="auto"/>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line="312" w:lineRule="auto"/>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line="312" w:lineRule="auto"/>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line="312" w:lineRule="auto"/>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line="312" w:lineRule="auto"/>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line="312" w:lineRule="auto"/>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line="312" w:lineRule="auto"/>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line="312" w:lineRule="auto"/>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line="312" w:lineRule="auto"/>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line="312" w:lineRule="auto"/>
      </w:pPr>
      <w:r>
        <w:rPr>
          <w:rFonts w:ascii="FreeSerif" w:hAnsi="FreeSerif"/>
          <w:sz w:val="22"/>
        </w:rPr>
        <w:t>La Centrafrique illustre ce que l'AES évite de devenir en évitant les erreurs qui l'ont précédée.</w:t>
      </w:r>
    </w:p>
    <w:p>
      <w:pPr>
        <w:spacing w:line="312" w:lineRule="auto"/>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line="312" w:lineRule="auto"/>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line="312" w:lineRule="auto"/>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line="312" w:lineRule="auto"/>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line="312" w:lineRule="auto"/>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line="312" w:lineRule="auto"/>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line="312" w:lineRule="auto"/>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line="312" w:lineRule="auto"/>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line="312" w:lineRule="auto"/>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line="312" w:lineRule="auto"/>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line="312" w:lineRule="auto"/>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line="312" w:lineRule="auto"/>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line="312" w:lineRule="auto"/>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line="312" w:lineRule="auto"/>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line="312" w:lineRule="auto"/>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line="312" w:lineRule="auto"/>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line="312" w:lineRule="auto"/>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line="312" w:lineRule="auto"/>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line="312" w:lineRule="auto"/>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line="312" w:lineRule="auto"/>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line="312" w:lineRule="auto"/>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Théâtre</w:t>
            </w:r>
          </w:p>
        </w:tc>
        <w:tc>
          <w:tcPr>
            <w:tcW w:type="dxa" w:w="3135"/>
            <w:shd w:val="clear" w:color="auto" w:fill="2C3A4A"/>
          </w:tcPr>
          <w:p>
            <w:pPr>
              <w:ind w:left="85"/>
            </w:pPr>
            <w:r>
              <w:rPr>
                <w:rFonts w:ascii="FreeSerif" w:hAnsi="FreeSerif"/>
                <w:b/>
                <w:color w:val="FFFFFF"/>
                <w:sz w:val="19"/>
              </w:rPr>
              <w:t>Action émiratie documentée</w:t>
            </w:r>
          </w:p>
        </w:tc>
        <w:tc>
          <w:tcPr>
            <w:tcW w:type="dxa" w:w="3135"/>
            <w:shd w:val="clear" w:color="auto" w:fill="2C3A4A"/>
          </w:tcPr>
          <w:p>
            <w:pPr>
              <w:ind w:left="85"/>
            </w:pPr>
            <w:r>
              <w:rPr>
                <w:rFonts w:ascii="FreeSerif" w:hAnsi="FreeSerif"/>
                <w:b/>
                <w:color w:val="FFFFFF"/>
                <w:sz w:val="19"/>
              </w:rPr>
              <w:t>Conséquence</w:t>
            </w:r>
          </w:p>
        </w:tc>
      </w:tr>
      <w:tr>
        <w:tc>
          <w:tcPr>
            <w:tcW w:type="dxa" w:w="3135"/>
            <w:shd w:val="clear" w:color="auto" w:fill="F4EFE4"/>
          </w:tcPr>
          <w:p>
            <w:pPr>
              <w:ind w:left="85"/>
            </w:pPr>
            <w:r>
              <w:rPr>
                <w:rFonts w:ascii="FreeSerif" w:hAnsi="FreeSerif"/>
                <w:color w:val="3C3C3C"/>
                <w:sz w:val="18"/>
              </w:rPr>
              <w:t>Soudan</w:t>
            </w:r>
          </w:p>
        </w:tc>
        <w:tc>
          <w:tcPr>
            <w:tcW w:type="dxa" w:w="3135"/>
            <w:shd w:val="clear" w:color="auto" w:fill="F4EFE4"/>
          </w:tcPr>
          <w:p>
            <w:pPr>
              <w:ind w:left="85"/>
            </w:pPr>
            <w:r>
              <w:rPr>
                <w:rFonts w:ascii="FreeSerif" w:hAnsi="FreeSerif"/>
                <w:color w:val="3C3C3C"/>
                <w:sz w:val="18"/>
              </w:rPr>
              <w:t>Principal soutien militaire, logistique et financier des FSR de Hemeti</w:t>
            </w:r>
          </w:p>
        </w:tc>
        <w:tc>
          <w:tcPr>
            <w:tcW w:type="dxa" w:w="3135"/>
            <w:shd w:val="clear" w:color="auto" w:fill="F4EFE4"/>
          </w:tcPr>
          <w:p>
            <w:pPr>
              <w:ind w:left="85"/>
            </w:pPr>
            <w:r>
              <w:rPr>
                <w:rFonts w:ascii="FreeSerif" w:hAnsi="FreeSerif"/>
                <w:color w:val="3C3C3C"/>
                <w:sz w:val="18"/>
              </w:rPr>
              <w:t>33,7 millions de personnes dépendantes de l'aide (ONU) ; signes de génocide à El-Fasher (oct. 2025)</w:t>
            </w:r>
          </w:p>
        </w:tc>
      </w:tr>
      <w:tr>
        <w:tc>
          <w:tcPr>
            <w:tcW w:type="dxa" w:w="3135"/>
            <w:shd w:val="clear" w:color="auto" w:fill="F4EFE4"/>
          </w:tcPr>
          <w:p>
            <w:pPr>
              <w:ind w:left="85"/>
            </w:pPr>
            <w:r>
              <w:rPr>
                <w:rFonts w:ascii="FreeSerif" w:hAnsi="FreeSerif"/>
                <w:color w:val="3C3C3C"/>
                <w:sz w:val="18"/>
              </w:rPr>
              <w:t>Éthiopie</w:t>
            </w:r>
          </w:p>
        </w:tc>
        <w:tc>
          <w:tcPr>
            <w:tcW w:type="dxa" w:w="3135"/>
            <w:shd w:val="clear" w:color="auto" w:fill="F4EFE4"/>
          </w:tcPr>
          <w:p>
            <w:pPr>
              <w:ind w:left="85"/>
            </w:pPr>
            <w:r>
              <w:rPr>
                <w:rFonts w:ascii="FreeSerif" w:hAnsi="FreeSerif"/>
                <w:color w:val="3C3C3C"/>
                <w:sz w:val="18"/>
              </w:rPr>
              <w:t>Camp d'entraînement FSR au Benishangul-Gumuz ; mercenaires colombiens formant des enfants</w:t>
            </w:r>
          </w:p>
        </w:tc>
        <w:tc>
          <w:tcPr>
            <w:tcW w:type="dxa" w:w="3135"/>
            <w:shd w:val="clear" w:color="auto" w:fill="F4EFE4"/>
          </w:tcPr>
          <w:p>
            <w:pPr>
              <w:ind w:left="85"/>
            </w:pPr>
            <w:r>
              <w:rPr>
                <w:rFonts w:ascii="FreeSerif" w:hAnsi="FreeSerif"/>
                <w:color w:val="3C3C3C"/>
                <w:sz w:val="18"/>
              </w:rPr>
              <w:t>Criminalité de guerre documentée</w:t>
            </w:r>
          </w:p>
        </w:tc>
      </w:tr>
      <w:tr>
        <w:tc>
          <w:tcPr>
            <w:tcW w:type="dxa" w:w="3135"/>
            <w:shd w:val="clear" w:color="auto" w:fill="F4EFE4"/>
          </w:tcPr>
          <w:p>
            <w:pPr>
              <w:ind w:left="85"/>
            </w:pPr>
            <w:r>
              <w:rPr>
                <w:rFonts w:ascii="FreeSerif" w:hAnsi="FreeSerif"/>
                <w:color w:val="3C3C3C"/>
                <w:sz w:val="18"/>
              </w:rPr>
              <w:t>Libye</w:t>
            </w:r>
          </w:p>
        </w:tc>
        <w:tc>
          <w:tcPr>
            <w:tcW w:type="dxa" w:w="3135"/>
            <w:shd w:val="clear" w:color="auto" w:fill="F4EFE4"/>
          </w:tcPr>
          <w:p>
            <w:pPr>
              <w:ind w:left="85"/>
            </w:pPr>
            <w:r>
              <w:rPr>
                <w:rFonts w:ascii="FreeSerif" w:hAnsi="FreeSerif"/>
                <w:color w:val="3C3C3C"/>
                <w:sz w:val="18"/>
              </w:rPr>
              <w:t>458 vols cargo militaires depuis aéroports émiratis vers Libye orientale (oct. 2024–fin 2025) dont 239 vers Kufra</w:t>
            </w:r>
          </w:p>
        </w:tc>
        <w:tc>
          <w:tcPr>
            <w:tcW w:type="dxa" w:w="3135"/>
            <w:shd w:val="clear" w:color="auto" w:fill="F4EFE4"/>
          </w:tcPr>
          <w:p>
            <w:pPr>
              <w:ind w:left="85"/>
            </w:pPr>
            <w:r>
              <w:rPr>
                <w:rFonts w:ascii="FreeSerif" w:hAnsi="FreeSerif"/>
                <w:color w:val="3C3C3C"/>
                <w:sz w:val="18"/>
              </w:rPr>
              <w:t>Violation d'embargos ONU ; armement de Haftar depuis 2014</w:t>
            </w:r>
          </w:p>
        </w:tc>
      </w:tr>
      <w:tr>
        <w:tc>
          <w:tcPr>
            <w:tcW w:type="dxa" w:w="3135"/>
            <w:shd w:val="clear" w:color="auto" w:fill="F4EFE4"/>
          </w:tcPr>
          <w:p>
            <w:pPr>
              <w:ind w:left="85"/>
            </w:pPr>
            <w:r>
              <w:rPr>
                <w:rFonts w:ascii="FreeSerif" w:hAnsi="FreeSerif"/>
                <w:color w:val="3C3C3C"/>
                <w:sz w:val="18"/>
              </w:rPr>
              <w:t>Tchad</w:t>
            </w:r>
          </w:p>
        </w:tc>
        <w:tc>
          <w:tcPr>
            <w:tcW w:type="dxa" w:w="3135"/>
            <w:shd w:val="clear" w:color="auto" w:fill="F4EFE4"/>
          </w:tcPr>
          <w:p>
            <w:pPr>
              <w:ind w:left="85"/>
            </w:pPr>
            <w:r>
              <w:rPr>
                <w:rFonts w:ascii="FreeSerif" w:hAnsi="FreeSerif"/>
                <w:color w:val="3C3C3C"/>
                <w:sz w:val="18"/>
              </w:rPr>
              <w:t>Prêt de 1,5 milliard de dollars (juin 2023)</w:t>
            </w:r>
          </w:p>
        </w:tc>
        <w:tc>
          <w:tcPr>
            <w:tcW w:type="dxa" w:w="3135"/>
            <w:shd w:val="clear" w:color="auto" w:fill="F4EFE4"/>
          </w:tcPr>
          <w:p>
            <w:pPr>
              <w:ind w:left="85"/>
            </w:pPr>
            <w:r>
              <w:rPr>
                <w:rFonts w:ascii="FreeSerif" w:hAnsi="FreeSerif"/>
                <w:color w:val="3C3C3C"/>
                <w:sz w:val="18"/>
              </w:rPr>
              <w:t>Contrôle du corridor logistique nord-africain</w:t>
            </w:r>
          </w:p>
        </w:tc>
      </w:tr>
      <w:tr>
        <w:tc>
          <w:tcPr>
            <w:tcW w:type="dxa" w:w="3135"/>
            <w:shd w:val="clear" w:color="auto" w:fill="F4EFE4"/>
          </w:tcPr>
          <w:p>
            <w:pPr>
              <w:ind w:left="85"/>
            </w:pPr>
            <w:r>
              <w:rPr>
                <w:rFonts w:ascii="FreeSerif" w:hAnsi="FreeSerif"/>
                <w:color w:val="3C3C3C"/>
                <w:sz w:val="18"/>
              </w:rPr>
              <w:t>UE</w:t>
            </w:r>
          </w:p>
        </w:tc>
        <w:tc>
          <w:tcPr>
            <w:tcW w:type="dxa" w:w="3135"/>
            <w:shd w:val="clear" w:color="auto" w:fill="F4EFE4"/>
          </w:tcPr>
          <w:p>
            <w:pPr>
              <w:ind w:left="85"/>
            </w:pPr>
            <w:r>
              <w:rPr>
                <w:rFonts w:ascii="FreeSerif" w:hAnsi="FreeSerif"/>
                <w:color w:val="3C3C3C"/>
                <w:sz w:val="18"/>
              </w:rPr>
              <w:t>Lobbying : 4 jours de Lana Nusseibeh à Bruxelles (nov. 2025)</w:t>
            </w:r>
          </w:p>
        </w:tc>
        <w:tc>
          <w:tcPr>
            <w:tcW w:type="dxa" w:w="3135"/>
            <w:shd w:val="clear" w:color="auto" w:fill="F4EFE4"/>
          </w:tcPr>
          <w:p>
            <w:pPr>
              <w:ind w:left="85"/>
            </w:pPr>
            <w:r>
              <w:rPr>
                <w:rFonts w:ascii="FreeSerif" w:hAnsi="FreeSerif"/>
                <w:color w:val="3C3C3C"/>
                <w:sz w:val="18"/>
              </w:rPr>
              <w:t>Résolution PE sur Soudan adoptée sans mentionner le soutien aux FSR</w:t>
            </w:r>
          </w:p>
        </w:tc>
      </w:tr>
    </w:tbl>
    <w:p/>
    <w:p>
      <w:pPr>
        <w:spacing w:line="312" w:lineRule="auto"/>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line="312" w:lineRule="auto"/>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line="312" w:lineRule="auto"/>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line="312" w:lineRule="auto"/>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line="312" w:lineRule="auto"/>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line="312" w:lineRule="auto"/>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line="312" w:lineRule="auto"/>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line="312" w:lineRule="auto"/>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line="312" w:lineRule="auto"/>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line="312" w:lineRule="auto"/>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line="312" w:lineRule="auto"/>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line="312" w:lineRule="auto"/>
      </w:pPr>
      <w:r>
        <w:rPr>
          <w:rFonts w:ascii="FreeSerif" w:hAnsi="FreeSerif"/>
          <w:sz w:val="22"/>
        </w:rPr>
        <w:t>La trajectoire de Guillaume Soro mérite une attention particulière — parce qu'elle relie directement la crise ivoirienne à l'insécurité sahélienne.</w:t>
      </w:r>
    </w:p>
    <w:p>
      <w:pPr>
        <w:spacing w:line="312" w:lineRule="auto"/>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line="312" w:lineRule="auto"/>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line="312" w:lineRule="auto"/>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line="312" w:lineRule="auto"/>
      </w:pPr>
      <w:r>
        <w:rPr>
          <w:rFonts w:ascii="FreeSerif" w:hAnsi="FreeSerif"/>
          <w:sz w:val="22"/>
        </w:rPr>
        <w:t>Cette connexion n'est pas seulement historique. Elle est opérationnelle en juin 2026.</w:t>
      </w:r>
    </w:p>
    <w:p>
      <w:pPr>
        <w:spacing w:line="312" w:lineRule="auto"/>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line="312" w:lineRule="auto"/>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line="312" w:lineRule="auto"/>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line="312" w:lineRule="auto"/>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line="312" w:lineRule="auto"/>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line="312" w:lineRule="auto"/>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line="312" w:lineRule="auto"/>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line="312" w:lineRule="auto"/>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line="312" w:lineRule="auto"/>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line="312" w:lineRule="auto"/>
      </w:pPr>
      <w:r>
        <w:rPr>
          <w:rFonts w:ascii="FreeSerif" w:hAnsi="FreeSerif"/>
          <w:sz w:val="22"/>
        </w:rPr>
        <w:t>La réponse se lit dans un schéma répété trois fois en trente ans, en cinq phases identiques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Phase</w:t>
            </w:r>
          </w:p>
        </w:tc>
        <w:tc>
          <w:tcPr>
            <w:tcW w:type="dxa" w:w="3135"/>
            <w:shd w:val="clear" w:color="auto" w:fill="2C3A4A"/>
          </w:tcPr>
          <w:p>
            <w:pPr>
              <w:ind w:left="85"/>
            </w:pPr>
            <w:r>
              <w:rPr>
                <w:rFonts w:ascii="FreeSerif" w:hAnsi="FreeSerif"/>
                <w:b/>
                <w:color w:val="FFFFFF"/>
                <w:sz w:val="19"/>
              </w:rPr>
              <w:t>Description</w:t>
            </w:r>
          </w:p>
        </w:tc>
        <w:tc>
          <w:tcPr>
            <w:tcW w:type="dxa" w:w="3135"/>
            <w:shd w:val="clear" w:color="auto" w:fill="2C3A4A"/>
          </w:tcPr>
          <w:p>
            <w:pPr>
              <w:ind w:left="85"/>
            </w:pPr>
            <w:r>
              <w:rPr>
                <w:rFonts w:ascii="FreeSerif" w:hAnsi="FreeSerif"/>
                <w:b/>
                <w:color w:val="FFFFFF"/>
                <w:sz w:val="19"/>
              </w:rPr>
              <w:t>Exemple concret</w:t>
            </w:r>
          </w:p>
        </w:tc>
      </w:tr>
      <w:tr>
        <w:tc>
          <w:tcPr>
            <w:tcW w:type="dxa" w:w="3135"/>
            <w:shd w:val="clear" w:color="auto" w:fill="F4EFE4"/>
          </w:tcPr>
          <w:p>
            <w:pPr>
              <w:ind w:left="85"/>
            </w:pPr>
            <w:r>
              <w:rPr>
                <w:rFonts w:ascii="FreeSerif" w:hAnsi="FreeSerif"/>
                <w:color w:val="3C3C3C"/>
                <w:sz w:val="18"/>
              </w:rPr>
              <w:t>1</w:t>
            </w:r>
          </w:p>
        </w:tc>
        <w:tc>
          <w:tcPr>
            <w:tcW w:type="dxa" w:w="3135"/>
            <w:shd w:val="clear" w:color="auto" w:fill="F4EFE4"/>
          </w:tcPr>
          <w:p>
            <w:pPr>
              <w:ind w:left="85"/>
            </w:pPr>
            <w:r>
              <w:rPr>
                <w:rFonts w:ascii="FreeSerif" w:hAnsi="FreeSerif"/>
                <w:color w:val="3C3C3C"/>
                <w:sz w:val="18"/>
              </w:rPr>
              <w:t>Crise réelle — justification morale et médiatique</w:t>
            </w:r>
          </w:p>
        </w:tc>
        <w:tc>
          <w:tcPr>
            <w:tcW w:type="dxa" w:w="3135"/>
            <w:shd w:val="clear" w:color="auto" w:fill="F4EFE4"/>
          </w:tcPr>
          <w:p>
            <w:pPr>
              <w:ind w:left="85"/>
            </w:pPr>
            <w:r>
              <w:rPr>
                <w:rFonts w:ascii="FreeSerif" w:hAnsi="FreeSerif"/>
                <w:color w:val="3C3C3C"/>
                <w:sz w:val="18"/>
              </w:rPr>
              <w:t>Ébola (Kenya) ; guerre civile (Somalie) ; Kony (Ouganda) ; typhon Haiyan (Philippines)</w:t>
            </w:r>
          </w:p>
        </w:tc>
      </w:tr>
      <w:tr>
        <w:tc>
          <w:tcPr>
            <w:tcW w:type="dxa" w:w="3135"/>
            <w:shd w:val="clear" w:color="auto" w:fill="F4EFE4"/>
          </w:tcPr>
          <w:p>
            <w:pPr>
              <w:ind w:left="85"/>
            </w:pPr>
            <w:r>
              <w:rPr>
                <w:rFonts w:ascii="FreeSerif" w:hAnsi="FreeSerif"/>
                <w:color w:val="3C3C3C"/>
                <w:sz w:val="18"/>
              </w:rPr>
              <w:t>2</w:t>
            </w:r>
          </w:p>
        </w:tc>
        <w:tc>
          <w:tcPr>
            <w:tcW w:type="dxa" w:w="3135"/>
            <w:shd w:val="clear" w:color="auto" w:fill="F4EFE4"/>
          </w:tcPr>
          <w:p>
            <w:pPr>
              <w:ind w:left="85"/>
            </w:pPr>
            <w:r>
              <w:rPr>
                <w:rFonts w:ascii="FreeSerif" w:hAnsi="FreeSerif"/>
                <w:color w:val="3C3C3C"/>
                <w:sz w:val="18"/>
              </w:rPr>
              <w:t>Infrastructure construite par l'armée américaine, « temporaire »</w:t>
            </w:r>
          </w:p>
        </w:tc>
        <w:tc>
          <w:tcPr>
            <w:tcW w:type="dxa" w:w="3135"/>
            <w:shd w:val="clear" w:color="auto" w:fill="F4EFE4"/>
          </w:tcPr>
          <w:p>
            <w:pPr>
              <w:ind w:left="85"/>
            </w:pPr>
            <w:r>
              <w:rPr>
                <w:rFonts w:ascii="FreeSerif" w:hAnsi="FreeSerif"/>
                <w:color w:val="3C3C3C"/>
                <w:sz w:val="18"/>
              </w:rPr>
              <w:t>Site de quarantaine à Laikipia ; pistes d'atterrissage Ouganda/RDC</w:t>
            </w:r>
          </w:p>
        </w:tc>
      </w:tr>
      <w:tr>
        <w:tc>
          <w:tcPr>
            <w:tcW w:type="dxa" w:w="3135"/>
            <w:shd w:val="clear" w:color="auto" w:fill="F4EFE4"/>
          </w:tcPr>
          <w:p>
            <w:pPr>
              <w:ind w:left="85"/>
            </w:pPr>
            <w:r>
              <w:rPr>
                <w:rFonts w:ascii="FreeSerif" w:hAnsi="FreeSerif"/>
                <w:color w:val="3C3C3C"/>
                <w:sz w:val="18"/>
              </w:rPr>
              <w:t>3</w:t>
            </w:r>
          </w:p>
        </w:tc>
        <w:tc>
          <w:tcPr>
            <w:tcW w:type="dxa" w:w="3135"/>
            <w:shd w:val="clear" w:color="auto" w:fill="F4EFE4"/>
          </w:tcPr>
          <w:p>
            <w:pPr>
              <w:ind w:left="85"/>
            </w:pPr>
            <w:r>
              <w:rPr>
                <w:rFonts w:ascii="FreeSerif" w:hAnsi="FreeSerif"/>
                <w:color w:val="3C3C3C"/>
                <w:sz w:val="18"/>
              </w:rPr>
              <w:t>Personnel américain sur place, intégration dans les réseaux administratifs</w:t>
            </w:r>
          </w:p>
        </w:tc>
        <w:tc>
          <w:tcPr>
            <w:tcW w:type="dxa" w:w="3135"/>
            <w:shd w:val="clear" w:color="auto" w:fill="F4EFE4"/>
          </w:tcPr>
          <w:p>
            <w:pPr>
              <w:ind w:left="85"/>
            </w:pPr>
            <w:r>
              <w:rPr>
                <w:rFonts w:ascii="FreeSerif" w:hAnsi="FreeSerif"/>
                <w:color w:val="3C3C3C"/>
                <w:sz w:val="18"/>
              </w:rPr>
              <w:t>Médecins US Public Health Service + militaires US Army</w:t>
            </w:r>
          </w:p>
        </w:tc>
      </w:tr>
      <w:tr>
        <w:tc>
          <w:tcPr>
            <w:tcW w:type="dxa" w:w="3135"/>
            <w:shd w:val="clear" w:color="auto" w:fill="F4EFE4"/>
          </w:tcPr>
          <w:p>
            <w:pPr>
              <w:ind w:left="85"/>
            </w:pPr>
            <w:r>
              <w:rPr>
                <w:rFonts w:ascii="FreeSerif" w:hAnsi="FreeSerif"/>
                <w:color w:val="3C3C3C"/>
                <w:sz w:val="18"/>
              </w:rPr>
              <w:t>4</w:t>
            </w:r>
          </w:p>
        </w:tc>
        <w:tc>
          <w:tcPr>
            <w:tcW w:type="dxa" w:w="3135"/>
            <w:shd w:val="clear" w:color="auto" w:fill="F4EFE4"/>
          </w:tcPr>
          <w:p>
            <w:pPr>
              <w:ind w:left="85"/>
            </w:pPr>
            <w:r>
              <w:rPr>
                <w:rFonts w:ascii="FreeSerif" w:hAnsi="FreeSerif"/>
                <w:color w:val="3C3C3C"/>
                <w:sz w:val="18"/>
              </w:rPr>
              <w:t>Normalisation progressive — financements, reconductions, améliorations</w:t>
            </w:r>
          </w:p>
        </w:tc>
        <w:tc>
          <w:tcPr>
            <w:tcW w:type="dxa" w:w="3135"/>
            <w:shd w:val="clear" w:color="auto" w:fill="F4EFE4"/>
          </w:tcPr>
          <w:p>
            <w:pPr>
              <w:ind w:left="85"/>
            </w:pPr>
            <w:r>
              <w:rPr>
                <w:rFonts w:ascii="FreeSerif" w:hAnsi="FreeSerif"/>
                <w:color w:val="3C3C3C"/>
                <w:sz w:val="18"/>
              </w:rPr>
              <w:t>13,5 M$ Kenya ; 200 hectares équipés à Djibouti</w:t>
            </w:r>
          </w:p>
        </w:tc>
      </w:tr>
      <w:tr>
        <w:tc>
          <w:tcPr>
            <w:tcW w:type="dxa" w:w="3135"/>
            <w:shd w:val="clear" w:color="auto" w:fill="F4EFE4"/>
          </w:tcPr>
          <w:p>
            <w:pPr>
              <w:ind w:left="85"/>
            </w:pPr>
            <w:r>
              <w:rPr>
                <w:rFonts w:ascii="FreeSerif" w:hAnsi="FreeSerif"/>
                <w:color w:val="3C3C3C"/>
                <w:sz w:val="18"/>
              </w:rPr>
              <w:t>5</w:t>
            </w:r>
          </w:p>
        </w:tc>
        <w:tc>
          <w:tcPr>
            <w:tcW w:type="dxa" w:w="3135"/>
            <w:shd w:val="clear" w:color="auto" w:fill="F4EFE4"/>
          </w:tcPr>
          <w:p>
            <w:pPr>
              <w:ind w:left="85"/>
            </w:pPr>
            <w:r>
              <w:rPr>
                <w:rFonts w:ascii="FreeSerif" w:hAnsi="FreeSerif"/>
                <w:color w:val="3C3C3C"/>
                <w:sz w:val="18"/>
              </w:rPr>
              <w:t>Permanence assumée</w:t>
            </w:r>
          </w:p>
        </w:tc>
        <w:tc>
          <w:tcPr>
            <w:tcW w:type="dxa" w:w="3135"/>
            <w:shd w:val="clear" w:color="auto" w:fill="F4EFE4"/>
          </w:tcPr>
          <w:p>
            <w:pPr>
              <w:ind w:left="85"/>
            </w:pPr>
            <w:r>
              <w:rPr>
                <w:rFonts w:ascii="FreeSerif" w:hAnsi="FreeSerif"/>
                <w:color w:val="3C3C3C"/>
                <w:sz w:val="18"/>
              </w:rPr>
              <w:t>Camp Lemonnier (Djibouti, 2002) : 3 500–5 000 personnels aujourd'hui</w:t>
            </w:r>
          </w:p>
        </w:tc>
      </w:tr>
    </w:tbl>
    <w:p/>
    <w:p>
      <w:pPr>
        <w:spacing w:line="312" w:lineRule="auto"/>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line="312" w:lineRule="auto"/>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line="312" w:lineRule="auto"/>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line="312" w:lineRule="auto"/>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line="312" w:lineRule="auto"/>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line="312" w:lineRule="auto"/>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Année</w:t>
            </w:r>
          </w:p>
        </w:tc>
        <w:tc>
          <w:tcPr>
            <w:tcW w:type="dxa" w:w="3135"/>
            <w:shd w:val="clear" w:color="auto" w:fill="2C3A4A"/>
          </w:tcPr>
          <w:p>
            <w:pPr>
              <w:ind w:left="85"/>
            </w:pPr>
            <w:r>
              <w:rPr>
                <w:rFonts w:ascii="FreeSerif" w:hAnsi="FreeSerif"/>
                <w:b/>
                <w:color w:val="FFFFFF"/>
                <w:sz w:val="19"/>
              </w:rPr>
              <w:t>Action</w:t>
            </w:r>
          </w:p>
        </w:tc>
        <w:tc>
          <w:tcPr>
            <w:tcW w:type="dxa" w:w="3135"/>
            <w:shd w:val="clear" w:color="auto" w:fill="2C3A4A"/>
          </w:tcPr>
          <w:p>
            <w:pPr>
              <w:ind w:left="85"/>
            </w:pPr>
            <w:r>
              <w:rPr>
                <w:rFonts w:ascii="FreeSerif" w:hAnsi="FreeSerif"/>
                <w:b/>
                <w:color w:val="FFFFFF"/>
                <w:sz w:val="19"/>
              </w:rPr>
              <w:t>Commanditaires identifiés</w:t>
            </w:r>
          </w:p>
        </w:tc>
      </w:tr>
      <w:tr>
        <w:tc>
          <w:tcPr>
            <w:tcW w:type="dxa" w:w="3135"/>
            <w:shd w:val="clear" w:color="auto" w:fill="F4EFE4"/>
          </w:tcPr>
          <w:p>
            <w:pPr>
              <w:ind w:left="85"/>
            </w:pPr>
            <w:r>
              <w:rPr>
                <w:rFonts w:ascii="FreeSerif" w:hAnsi="FreeSerif"/>
                <w:color w:val="3C3C3C"/>
                <w:sz w:val="18"/>
              </w:rPr>
              <w:t>1982</w:t>
            </w:r>
          </w:p>
        </w:tc>
        <w:tc>
          <w:tcPr>
            <w:tcW w:type="dxa" w:w="3135"/>
            <w:shd w:val="clear" w:color="auto" w:fill="F4EFE4"/>
          </w:tcPr>
          <w:p>
            <w:pPr>
              <w:ind w:left="85"/>
            </w:pPr>
            <w:r>
              <w:rPr>
                <w:rFonts w:ascii="FreeSerif" w:hAnsi="FreeSerif"/>
                <w:color w:val="3C3C3C"/>
                <w:sz w:val="18"/>
              </w:rPr>
              <w:t>Première tentative de coup d'État</w:t>
            </w:r>
          </w:p>
        </w:tc>
        <w:tc>
          <w:tcPr>
            <w:tcW w:type="dxa" w:w="3135"/>
            <w:shd w:val="clear" w:color="auto" w:fill="F4EFE4"/>
          </w:tcPr>
          <w:p>
            <w:pPr>
              <w:ind w:left="85"/>
            </w:pPr>
            <w:r>
              <w:rPr>
                <w:rFonts w:ascii="FreeSerif" w:hAnsi="FreeSerif"/>
                <w:color w:val="3C3C3C"/>
                <w:sz w:val="18"/>
              </w:rPr>
              <w:t>Réseau Françafrique, soutien indirect</w:t>
            </w:r>
          </w:p>
        </w:tc>
      </w:tr>
      <w:tr>
        <w:tc>
          <w:tcPr>
            <w:tcW w:type="dxa" w:w="3135"/>
            <w:shd w:val="clear" w:color="auto" w:fill="F4EFE4"/>
          </w:tcPr>
          <w:p>
            <w:pPr>
              <w:ind w:left="85"/>
            </w:pPr>
            <w:r>
              <w:rPr>
                <w:rFonts w:ascii="FreeSerif" w:hAnsi="FreeSerif"/>
                <w:color w:val="3C3C3C"/>
                <w:sz w:val="18"/>
              </w:rPr>
              <w:t>2003</w:t>
            </w:r>
          </w:p>
        </w:tc>
        <w:tc>
          <w:tcPr>
            <w:tcW w:type="dxa" w:w="3135"/>
            <w:shd w:val="clear" w:color="auto" w:fill="F4EFE4"/>
          </w:tcPr>
          <w:p>
            <w:pPr>
              <w:ind w:left="85"/>
            </w:pPr>
            <w:r>
              <w:rPr>
                <w:rFonts w:ascii="FreeSerif" w:hAnsi="FreeSerif"/>
                <w:color w:val="3C3C3C"/>
                <w:sz w:val="18"/>
              </w:rPr>
              <w:t>Prise du pouvoir (renversement Patassé)</w:t>
            </w:r>
          </w:p>
        </w:tc>
        <w:tc>
          <w:tcPr>
            <w:tcW w:type="dxa" w:w="3135"/>
            <w:shd w:val="clear" w:color="auto" w:fill="F4EFE4"/>
          </w:tcPr>
          <w:p>
            <w:pPr>
              <w:ind w:left="85"/>
            </w:pPr>
            <w:r>
              <w:rPr>
                <w:rFonts w:ascii="FreeSerif" w:hAnsi="FreeSerif"/>
                <w:color w:val="3C3C3C"/>
                <w:sz w:val="18"/>
              </w:rPr>
              <w:t>Idriss Déby (Tchad), financement extérieur</w:t>
            </w:r>
          </w:p>
        </w:tc>
      </w:tr>
      <w:tr>
        <w:tc>
          <w:tcPr>
            <w:tcW w:type="dxa" w:w="3135"/>
            <w:shd w:val="clear" w:color="auto" w:fill="F4EFE4"/>
          </w:tcPr>
          <w:p>
            <w:pPr>
              <w:ind w:left="85"/>
            </w:pPr>
            <w:r>
              <w:rPr>
                <w:rFonts w:ascii="FreeSerif" w:hAnsi="FreeSerif"/>
                <w:color w:val="3C3C3C"/>
                <w:sz w:val="18"/>
              </w:rPr>
              <w:t>2013</w:t>
            </w:r>
          </w:p>
        </w:tc>
        <w:tc>
          <w:tcPr>
            <w:tcW w:type="dxa" w:w="3135"/>
            <w:shd w:val="clear" w:color="auto" w:fill="F4EFE4"/>
          </w:tcPr>
          <w:p>
            <w:pPr>
              <w:ind w:left="85"/>
            </w:pPr>
            <w:r>
              <w:rPr>
                <w:rFonts w:ascii="FreeSerif" w:hAnsi="FreeSerif"/>
                <w:color w:val="3C3C3C"/>
                <w:sz w:val="18"/>
              </w:rPr>
              <w:t>Renversé par la Séléka</w:t>
            </w:r>
          </w:p>
        </w:tc>
        <w:tc>
          <w:tcPr>
            <w:tcW w:type="dxa" w:w="3135"/>
            <w:shd w:val="clear" w:color="auto" w:fill="F4EFE4"/>
          </w:tcPr>
          <w:p>
            <w:pPr>
              <w:ind w:left="85"/>
            </w:pPr>
            <w:r>
              <w:rPr>
                <w:rFonts w:ascii="FreeSerif" w:hAnsi="FreeSerif"/>
                <w:color w:val="3C3C3C"/>
                <w:sz w:val="18"/>
              </w:rPr>
              <w:t>Coalition centrafricaine + dynamiques régionales</w:t>
            </w:r>
          </w:p>
        </w:tc>
      </w:tr>
      <w:tr>
        <w:tc>
          <w:tcPr>
            <w:tcW w:type="dxa" w:w="3135"/>
            <w:shd w:val="clear" w:color="auto" w:fill="F4EFE4"/>
          </w:tcPr>
          <w:p>
            <w:pPr>
              <w:ind w:left="85"/>
            </w:pPr>
            <w:r>
              <w:rPr>
                <w:rFonts w:ascii="FreeSerif" w:hAnsi="FreeSerif"/>
                <w:color w:val="3C3C3C"/>
                <w:sz w:val="18"/>
              </w:rPr>
              <w:t>2020</w:t>
            </w:r>
          </w:p>
        </w:tc>
        <w:tc>
          <w:tcPr>
            <w:tcW w:type="dxa" w:w="3135"/>
            <w:shd w:val="clear" w:color="auto" w:fill="F4EFE4"/>
          </w:tcPr>
          <w:p>
            <w:pPr>
              <w:ind w:left="85"/>
            </w:pPr>
            <w:r>
              <w:rPr>
                <w:rFonts w:ascii="FreeSerif" w:hAnsi="FreeSerif"/>
                <w:color w:val="3C3C3C"/>
                <w:sz w:val="18"/>
              </w:rPr>
              <w:t>Coalition des Patriotes pour le Changement (CPC)</w:t>
            </w:r>
          </w:p>
        </w:tc>
        <w:tc>
          <w:tcPr>
            <w:tcW w:type="dxa" w:w="3135"/>
            <w:shd w:val="clear" w:color="auto" w:fill="F4EFE4"/>
          </w:tcPr>
          <w:p>
            <w:pPr>
              <w:ind w:left="85"/>
            </w:pPr>
            <w:r>
              <w:rPr>
                <w:rFonts w:ascii="FreeSerif" w:hAnsi="FreeSerif"/>
                <w:color w:val="3C3C3C"/>
                <w:sz w:val="18"/>
              </w:rPr>
              <w:t>Base Paris, appuis régionaux</w:t>
            </w:r>
          </w:p>
        </w:tc>
      </w:tr>
    </w:tbl>
    <w:p/>
    <w:p>
      <w:pPr>
        <w:spacing w:line="312" w:lineRule="auto"/>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line="312" w:lineRule="auto"/>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line="312" w:lineRule="auto"/>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line="312" w:lineRule="auto"/>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line="312" w:lineRule="auto"/>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line="312" w:lineRule="auto"/>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line="312" w:lineRule="auto"/>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line="312" w:lineRule="auto"/>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line="312" w:lineRule="auto"/>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line="312" w:lineRule="auto"/>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Article constitutionnel</w:t>
            </w:r>
          </w:p>
        </w:tc>
        <w:tc>
          <w:tcPr>
            <w:tcW w:type="dxa" w:w="3135"/>
            <w:shd w:val="clear" w:color="auto" w:fill="2C3A4A"/>
          </w:tcPr>
          <w:p>
            <w:pPr>
              <w:ind w:left="85"/>
            </w:pPr>
            <w:r>
              <w:rPr>
                <w:rFonts w:ascii="FreeSerif" w:hAnsi="FreeSerif"/>
                <w:b/>
                <w:color w:val="FFFFFF"/>
                <w:sz w:val="19"/>
              </w:rPr>
              <w:t>Disposition Sangocoin</w:t>
            </w:r>
          </w:p>
        </w:tc>
        <w:tc>
          <w:tcPr>
            <w:tcW w:type="dxa" w:w="3135"/>
            <w:shd w:val="clear" w:color="auto" w:fill="2C3A4A"/>
          </w:tcPr>
          <w:p>
            <w:pPr>
              <w:ind w:left="85"/>
            </w:pPr>
            <w:r>
              <w:rPr>
                <w:rFonts w:ascii="FreeSerif" w:hAnsi="FreeSerif"/>
                <w:b/>
                <w:color w:val="FFFFFF"/>
                <w:sz w:val="19"/>
              </w:rPr>
              <w:t>Décision</w:t>
            </w:r>
          </w:p>
        </w:tc>
      </w:tr>
      <w:tr>
        <w:tc>
          <w:tcPr>
            <w:tcW w:type="dxa" w:w="3135"/>
            <w:shd w:val="clear" w:color="auto" w:fill="F4EFE4"/>
          </w:tcPr>
          <w:p>
            <w:pPr>
              <w:ind w:left="85"/>
            </w:pPr>
            <w:r>
              <w:rPr>
                <w:rFonts w:ascii="FreeSerif" w:hAnsi="FreeSerif"/>
                <w:color w:val="3C3C3C"/>
                <w:sz w:val="18"/>
              </w:rPr>
              <w:t>Art. 80</w:t>
            </w:r>
          </w:p>
        </w:tc>
        <w:tc>
          <w:tcPr>
            <w:tcW w:type="dxa" w:w="3135"/>
            <w:shd w:val="clear" w:color="auto" w:fill="F4EFE4"/>
          </w:tcPr>
          <w:p>
            <w:pPr>
              <w:ind w:left="85"/>
            </w:pPr>
            <w:r>
              <w:rPr>
                <w:rFonts w:ascii="FreeSerif" w:hAnsi="FreeSerif"/>
                <w:color w:val="3C3C3C"/>
                <w:sz w:val="18"/>
              </w:rPr>
              <w:t>Nationalités accordées aux détenteurs de passeports numériques</w:t>
            </w:r>
          </w:p>
        </w:tc>
        <w:tc>
          <w:tcPr>
            <w:tcW w:type="dxa" w:w="3135"/>
            <w:shd w:val="clear" w:color="auto" w:fill="F4EFE4"/>
          </w:tcPr>
          <w:p>
            <w:pPr>
              <w:ind w:left="85"/>
            </w:pPr>
            <w:r>
              <w:rPr>
                <w:rFonts w:ascii="FreeSerif" w:hAnsi="FreeSerif"/>
                <w:b/>
                <w:color w:val="3C3C3C"/>
                <w:sz w:val="18"/>
              </w:rPr>
              <w:t>Inconstitutionnel</w:t>
            </w:r>
          </w:p>
        </w:tc>
      </w:tr>
      <w:tr>
        <w:tc>
          <w:tcPr>
            <w:tcW w:type="dxa" w:w="3135"/>
            <w:shd w:val="clear" w:color="auto" w:fill="F4EFE4"/>
          </w:tcPr>
          <w:p>
            <w:pPr>
              <w:ind w:left="85"/>
            </w:pPr>
            <w:r>
              <w:rPr>
                <w:rFonts w:ascii="FreeSerif" w:hAnsi="FreeSerif"/>
                <w:color w:val="3C3C3C"/>
                <w:sz w:val="18"/>
              </w:rPr>
              <w:t>Art. 80</w:t>
            </w:r>
          </w:p>
        </w:tc>
        <w:tc>
          <w:tcPr>
            <w:tcW w:type="dxa" w:w="3135"/>
            <w:shd w:val="clear" w:color="auto" w:fill="F4EFE4"/>
          </w:tcPr>
          <w:p>
            <w:pPr>
              <w:ind w:left="85"/>
            </w:pPr>
            <w:r>
              <w:rPr>
                <w:rFonts w:ascii="FreeSerif" w:hAnsi="FreeSerif"/>
                <w:color w:val="3C3C3C"/>
                <w:sz w:val="18"/>
              </w:rPr>
              <w:t>Statut de « e-résident » avec droits assimilés</w:t>
            </w:r>
          </w:p>
        </w:tc>
        <w:tc>
          <w:tcPr>
            <w:tcW w:type="dxa" w:w="3135"/>
            <w:shd w:val="clear" w:color="auto" w:fill="F4EFE4"/>
          </w:tcPr>
          <w:p>
            <w:pPr>
              <w:ind w:left="85"/>
            </w:pPr>
            <w:r>
              <w:rPr>
                <w:rFonts w:ascii="FreeSerif" w:hAnsi="FreeSerif"/>
                <w:b/>
                <w:color w:val="3C3C3C"/>
                <w:sz w:val="18"/>
              </w:rPr>
              <w:t>Inconstitutionnel</w:t>
            </w:r>
          </w:p>
        </w:tc>
      </w:tr>
      <w:tr>
        <w:tc>
          <w:tcPr>
            <w:tcW w:type="dxa" w:w="3135"/>
            <w:shd w:val="clear" w:color="auto" w:fill="F4EFE4"/>
          </w:tcPr>
          <w:p>
            <w:pPr>
              <w:ind w:left="85"/>
            </w:pPr>
            <w:r>
              <w:rPr>
                <w:rFonts w:ascii="FreeSerif" w:hAnsi="FreeSerif"/>
                <w:color w:val="3C3C3C"/>
                <w:sz w:val="18"/>
              </w:rPr>
              <w:t>Art. 60</w:t>
            </w:r>
          </w:p>
        </w:tc>
        <w:tc>
          <w:tcPr>
            <w:tcW w:type="dxa" w:w="3135"/>
            <w:shd w:val="clear" w:color="auto" w:fill="F4EFE4"/>
          </w:tcPr>
          <w:p>
            <w:pPr>
              <w:ind w:left="85"/>
            </w:pPr>
            <w:r>
              <w:rPr>
                <w:rFonts w:ascii="FreeSerif" w:hAnsi="FreeSerif"/>
                <w:color w:val="3C3C3C"/>
                <w:sz w:val="18"/>
              </w:rPr>
              <w:t>Cession de droits sur les ressources naturelles à des acteurs privés</w:t>
            </w:r>
          </w:p>
        </w:tc>
        <w:tc>
          <w:tcPr>
            <w:tcW w:type="dxa" w:w="3135"/>
            <w:shd w:val="clear" w:color="auto" w:fill="F4EFE4"/>
          </w:tcPr>
          <w:p>
            <w:pPr>
              <w:ind w:left="85"/>
            </w:pPr>
            <w:r>
              <w:rPr>
                <w:rFonts w:ascii="FreeSerif" w:hAnsi="FreeSerif"/>
                <w:b/>
                <w:color w:val="3C3C3C"/>
                <w:sz w:val="18"/>
              </w:rPr>
              <w:t>Inconstitutionnel</w:t>
            </w:r>
          </w:p>
        </w:tc>
      </w:tr>
      <w:tr>
        <w:tc>
          <w:tcPr>
            <w:tcW w:type="dxa" w:w="3135"/>
            <w:shd w:val="clear" w:color="auto" w:fill="F4EFE4"/>
          </w:tcPr>
          <w:p>
            <w:pPr>
              <w:ind w:left="85"/>
            </w:pPr>
            <w:r>
              <w:rPr>
                <w:rFonts w:ascii="FreeSerif" w:hAnsi="FreeSerif"/>
                <w:color w:val="3C3C3C"/>
                <w:sz w:val="18"/>
              </w:rPr>
              <w:t>Art. 24</w:t>
            </w:r>
          </w:p>
        </w:tc>
        <w:tc>
          <w:tcPr>
            <w:tcW w:type="dxa" w:w="3135"/>
            <w:shd w:val="clear" w:color="auto" w:fill="F4EFE4"/>
          </w:tcPr>
          <w:p>
            <w:pPr>
              <w:ind w:left="85"/>
            </w:pPr>
            <w:r>
              <w:rPr>
                <w:rFonts w:ascii="FreeSerif" w:hAnsi="FreeSerif"/>
                <w:color w:val="3C3C3C"/>
                <w:sz w:val="18"/>
              </w:rPr>
              <w:t>Documentation uniquement en anglais (non conforme à la langue officielle)</w:t>
            </w:r>
          </w:p>
        </w:tc>
        <w:tc>
          <w:tcPr>
            <w:tcW w:type="dxa" w:w="3135"/>
            <w:shd w:val="clear" w:color="auto" w:fill="F4EFE4"/>
          </w:tcPr>
          <w:p>
            <w:pPr>
              <w:ind w:left="85"/>
            </w:pPr>
            <w:r>
              <w:rPr>
                <w:rFonts w:ascii="FreeSerif" w:hAnsi="FreeSerif"/>
                <w:b/>
                <w:color w:val="3C3C3C"/>
                <w:sz w:val="18"/>
              </w:rPr>
              <w:t>Non conforme</w:t>
            </w:r>
          </w:p>
        </w:tc>
      </w:tr>
    </w:tbl>
    <w:p/>
    <w:p>
      <w:pPr>
        <w:spacing w:line="312" w:lineRule="auto"/>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line="312" w:lineRule="auto"/>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line="312" w:lineRule="auto"/>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la guerre qui vient</w:t>
      </w:r>
    </w:p>
    <w:p>
      <w:pPr>
        <w:spacing w:line="312" w:lineRule="auto"/>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line="312" w:lineRule="auto"/>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351"/>
        <w:gridCol w:w="2351"/>
        <w:gridCol w:w="2351"/>
        <w:gridCol w:w="2351"/>
      </w:tblGrid>
      <w:tr>
        <w:tc>
          <w:tcPr>
            <w:tcW w:type="dxa" w:w="2351"/>
            <w:shd w:val="clear" w:color="auto" w:fill="2C3A4A"/>
          </w:tcPr>
          <w:p>
            <w:pPr>
              <w:ind w:left="85"/>
            </w:pPr>
            <w:r>
              <w:rPr>
                <w:rFonts w:ascii="FreeSerif" w:hAnsi="FreeSerif"/>
                <w:b/>
                <w:color w:val="FFFFFF"/>
                <w:sz w:val="19"/>
              </w:rPr>
              <w:t>Axe</w:t>
            </w:r>
          </w:p>
        </w:tc>
        <w:tc>
          <w:tcPr>
            <w:tcW w:type="dxa" w:w="2351"/>
            <w:shd w:val="clear" w:color="auto" w:fill="2C3A4A"/>
          </w:tcPr>
          <w:p>
            <w:pPr>
              <w:ind w:left="85"/>
            </w:pPr>
            <w:r>
              <w:rPr>
                <w:rFonts w:ascii="FreeSerif" w:hAnsi="FreeSerif"/>
                <w:b/>
                <w:color w:val="FFFFFF"/>
                <w:sz w:val="19"/>
              </w:rPr>
              <w:t>Acteur principal</w:t>
            </w:r>
          </w:p>
        </w:tc>
        <w:tc>
          <w:tcPr>
            <w:tcW w:type="dxa" w:w="2351"/>
            <w:shd w:val="clear" w:color="auto" w:fill="2C3A4A"/>
          </w:tcPr>
          <w:p>
            <w:pPr>
              <w:ind w:left="85"/>
            </w:pPr>
            <w:r>
              <w:rPr>
                <w:rFonts w:ascii="FreeSerif" w:hAnsi="FreeSerif"/>
                <w:b/>
                <w:color w:val="FFFFFF"/>
                <w:sz w:val="19"/>
              </w:rPr>
              <w:t>Financement</w:t>
            </w:r>
          </w:p>
        </w:tc>
        <w:tc>
          <w:tcPr>
            <w:tcW w:type="dxa" w:w="2351"/>
            <w:shd w:val="clear" w:color="auto" w:fill="2C3A4A"/>
          </w:tcPr>
          <w:p>
            <w:pPr>
              <w:ind w:left="85"/>
            </w:pPr>
            <w:r>
              <w:rPr>
                <w:rFonts w:ascii="FreeSerif" w:hAnsi="FreeSerif"/>
                <w:b/>
                <w:color w:val="FFFFFF"/>
                <w:sz w:val="19"/>
              </w:rPr>
              <w:t>Cible</w:t>
            </w:r>
          </w:p>
        </w:tc>
      </w:tr>
      <w:tr>
        <w:tc>
          <w:tcPr>
            <w:tcW w:type="dxa" w:w="2351"/>
            <w:shd w:val="clear" w:color="auto" w:fill="F4EFE4"/>
          </w:tcPr>
          <w:p>
            <w:pPr>
              <w:ind w:left="85"/>
            </w:pPr>
            <w:r>
              <w:rPr>
                <w:rFonts w:ascii="FreeSerif" w:hAnsi="FreeSerif"/>
                <w:color w:val="3C3C3C"/>
                <w:sz w:val="18"/>
              </w:rPr>
              <w:t>Nord</w:t>
            </w:r>
          </w:p>
        </w:tc>
        <w:tc>
          <w:tcPr>
            <w:tcW w:type="dxa" w:w="2351"/>
            <w:shd w:val="clear" w:color="auto" w:fill="F4EFE4"/>
          </w:tcPr>
          <w:p>
            <w:pPr>
              <w:ind w:left="85"/>
            </w:pPr>
            <w:r>
              <w:rPr>
                <w:rFonts w:ascii="FreeSerif" w:hAnsi="FreeSerif"/>
                <w:color w:val="3C3C3C"/>
                <w:sz w:val="18"/>
              </w:rPr>
              <w:t>Nouredine Adam (mandat CPI)</w:t>
            </w:r>
          </w:p>
        </w:tc>
        <w:tc>
          <w:tcPr>
            <w:tcW w:type="dxa" w:w="2351"/>
            <w:shd w:val="clear" w:color="auto" w:fill="F4EFE4"/>
          </w:tcPr>
          <w:p>
            <w:pPr>
              <w:ind w:left="85"/>
            </w:pPr>
            <w:r>
              <w:rPr>
                <w:rFonts w:ascii="FreeSerif" w:hAnsi="FreeSerif"/>
                <w:color w:val="3C3C3C"/>
                <w:sz w:val="18"/>
              </w:rPr>
              <w:t>Bourhan + Mahamat Déby</w:t>
            </w:r>
          </w:p>
        </w:tc>
        <w:tc>
          <w:tcPr>
            <w:tcW w:type="dxa" w:w="2351"/>
            <w:shd w:val="clear" w:color="auto" w:fill="F4EFE4"/>
          </w:tcPr>
          <w:p>
            <w:pPr>
              <w:ind w:left="85"/>
            </w:pPr>
            <w:r>
              <w:rPr>
                <w:rFonts w:ascii="FreeSerif" w:hAnsi="FreeSerif"/>
                <w:color w:val="3C3C3C"/>
                <w:sz w:val="18"/>
              </w:rPr>
              <w:t>Déstabilisation frontalière</w:t>
            </w:r>
          </w:p>
        </w:tc>
      </w:tr>
      <w:tr>
        <w:tc>
          <w:tcPr>
            <w:tcW w:type="dxa" w:w="2351"/>
            <w:shd w:val="clear" w:color="auto" w:fill="F4EFE4"/>
          </w:tcPr>
          <w:p>
            <w:pPr>
              <w:ind w:left="85"/>
            </w:pPr>
            <w:r>
              <w:rPr>
                <w:rFonts w:ascii="FreeSerif" w:hAnsi="FreeSerif"/>
                <w:color w:val="3C3C3C"/>
                <w:sz w:val="18"/>
              </w:rPr>
              <w:t>Est</w:t>
            </w:r>
          </w:p>
        </w:tc>
        <w:tc>
          <w:tcPr>
            <w:tcW w:type="dxa" w:w="2351"/>
            <w:shd w:val="clear" w:color="auto" w:fill="F4EFE4"/>
          </w:tcPr>
          <w:p>
            <w:pPr>
              <w:ind w:left="85"/>
            </w:pPr>
            <w:r>
              <w:rPr>
                <w:rFonts w:ascii="FreeSerif" w:hAnsi="FreeSerif"/>
                <w:color w:val="3C3C3C"/>
                <w:sz w:val="18"/>
              </w:rPr>
              <w:t>Groupe Aka-Gé</w:t>
            </w:r>
          </w:p>
        </w:tc>
        <w:tc>
          <w:tcPr>
            <w:tcW w:type="dxa" w:w="2351"/>
            <w:shd w:val="clear" w:color="auto" w:fill="F4EFE4"/>
          </w:tcPr>
          <w:p>
            <w:pPr>
              <w:ind w:left="85"/>
            </w:pPr>
            <w:r>
              <w:rPr>
                <w:rFonts w:ascii="FreeSerif" w:hAnsi="FreeSerif"/>
                <w:color w:val="3C3C3C"/>
                <w:sz w:val="18"/>
              </w:rPr>
              <w:t>Réseaux Bozizé</w:t>
            </w:r>
          </w:p>
        </w:tc>
        <w:tc>
          <w:tcPr>
            <w:tcW w:type="dxa" w:w="2351"/>
            <w:shd w:val="clear" w:color="auto" w:fill="F4EFE4"/>
          </w:tcPr>
          <w:p>
            <w:pPr>
              <w:ind w:left="85"/>
            </w:pPr>
            <w:r>
              <w:rPr>
                <w:rFonts w:ascii="FreeSerif" w:hAnsi="FreeSerif"/>
                <w:color w:val="3C3C3C"/>
                <w:sz w:val="18"/>
              </w:rPr>
              <w:t>Incursions territoriales</w:t>
            </w:r>
          </w:p>
        </w:tc>
      </w:tr>
      <w:tr>
        <w:tc>
          <w:tcPr>
            <w:tcW w:type="dxa" w:w="2351"/>
            <w:shd w:val="clear" w:color="auto" w:fill="F4EFE4"/>
          </w:tcPr>
          <w:p>
            <w:pPr>
              <w:ind w:left="85"/>
            </w:pPr>
            <w:r>
              <w:rPr>
                <w:rFonts w:ascii="FreeSerif" w:hAnsi="FreeSerif"/>
                <w:color w:val="3C3C3C"/>
                <w:sz w:val="18"/>
              </w:rPr>
              <w:t>Ombre</w:t>
            </w:r>
          </w:p>
        </w:tc>
        <w:tc>
          <w:tcPr>
            <w:tcW w:type="dxa" w:w="2351"/>
            <w:shd w:val="clear" w:color="auto" w:fill="F4EFE4"/>
          </w:tcPr>
          <w:p>
            <w:pPr>
              <w:ind w:left="85"/>
            </w:pPr>
            <w:r>
              <w:rPr>
                <w:rFonts w:ascii="FreeSerif" w:hAnsi="FreeSerif"/>
                <w:color w:val="3C3C3C"/>
                <w:sz w:val="18"/>
              </w:rPr>
              <w:t>Rento (mercenaires colombiens via Hemedti)</w:t>
            </w:r>
          </w:p>
        </w:tc>
        <w:tc>
          <w:tcPr>
            <w:tcW w:type="dxa" w:w="2351"/>
            <w:shd w:val="clear" w:color="auto" w:fill="F4EFE4"/>
          </w:tcPr>
          <w:p>
            <w:pPr>
              <w:ind w:left="85"/>
            </w:pPr>
            <w:r>
              <w:rPr>
                <w:rFonts w:ascii="FreeSerif" w:hAnsi="FreeSerif"/>
                <w:color w:val="3C3C3C"/>
                <w:sz w:val="18"/>
              </w:rPr>
              <w:t>EAU / Soudan RSF</w:t>
            </w:r>
          </w:p>
        </w:tc>
        <w:tc>
          <w:tcPr>
            <w:tcW w:type="dxa" w:w="2351"/>
            <w:shd w:val="clear" w:color="auto" w:fill="F4EFE4"/>
          </w:tcPr>
          <w:p>
            <w:pPr>
              <w:ind w:left="85"/>
            </w:pPr>
            <w:r>
              <w:rPr>
                <w:rFonts w:ascii="FreeSerif" w:hAnsi="FreeSerif"/>
                <w:color w:val="3C3C3C"/>
                <w:sz w:val="18"/>
              </w:rPr>
              <w:t>Opérations clandestines</w:t>
            </w:r>
          </w:p>
        </w:tc>
      </w:tr>
    </w:tbl>
    <w:p/>
    <w:p>
      <w:pPr>
        <w:spacing w:line="312" w:lineRule="auto"/>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line="312" w:lineRule="auto"/>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line="312" w:lineRule="auto"/>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line="312" w:lineRule="auto"/>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line="312" w:lineRule="auto"/>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line="312" w:lineRule="auto"/>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line="312" w:lineRule="auto"/>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line="312" w:lineRule="auto"/>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line="312" w:lineRule="auto"/>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line="312" w:lineRule="auto"/>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line="312" w:lineRule="auto"/>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line="312" w:lineRule="auto"/>
      </w:pPr>
      <w:r>
        <w:rPr>
          <w:rFonts w:ascii="FreeSerif" w:hAnsi="FreeSerif"/>
          <w:sz w:val="22"/>
        </w:rPr>
        <w:t>La CEDEAO a raté son ultimatum du 6 août 2023. Elle a également raté sa crédibilité. Les raisons de cet échec méritent d'être analysées, pas seulement constatées.</w:t>
      </w:r>
    </w:p>
    <w:p>
      <w:pPr>
        <w:spacing w:line="312" w:lineRule="auto"/>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line="312" w:lineRule="auto"/>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line="312" w:lineRule="auto"/>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line="312" w:lineRule="auto"/>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line="312" w:lineRule="auto"/>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line="312" w:lineRule="auto"/>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line="312" w:lineRule="auto"/>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line="312" w:lineRule="auto"/>
      </w:pPr>
      <w:r>
        <w:rPr>
          <w:rFonts w:ascii="FreeSerif" w:hAnsi="FreeSerif"/>
          <w:sz w:val="22"/>
        </w:rPr>
        <w:t>La stratégie de l'étranglement ne vise pas seulement les États — elle vise aussi les individus qui leur donnent une voix.</w:t>
      </w:r>
    </w:p>
    <w:p>
      <w:pPr>
        <w:spacing w:line="312" w:lineRule="auto"/>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line="312" w:lineRule="auto"/>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démonétisé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line="312" w:lineRule="auto"/>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line="312" w:lineRule="auto"/>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line="312" w:lineRule="auto"/>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line="312" w:lineRule="auto"/>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line="312" w:lineRule="auto"/>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line="312" w:lineRule="auto"/>
      </w:pPr>
      <w:r>
        <w:rPr>
          <w:rFonts w:ascii="FreeSerif" w:hAnsi="FreeSerif"/>
          <w:sz w:val="22"/>
        </w:rPr>
        <w:t>La géopolitique est rarement une guerre entre États. C'est presque toujours une guerre entre classes dirigeantes vendues et peuples qui refusent d'être vendus.</w:t>
      </w:r>
    </w:p>
    <w:p>
      <w:pPr>
        <w:spacing w:line="312" w:lineRule="auto"/>
      </w:pPr>
      <w:r>
        <w:rPr>
          <w:rFonts w:ascii="FreeSerif" w:hAnsi="FreeSerif"/>
          <w:sz w:val="22"/>
        </w:rPr>
        <w:t>PARTIE V — LE RÉVEIL PANAFRICAIN</w:t>
      </w:r>
    </w:p>
    <w:p>
      <w:pPr>
        <w:spacing w:line="312" w:lineRule="auto"/>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line="312" w:lineRule="auto"/>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line="312" w:lineRule="auto"/>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line="312" w:lineRule="auto"/>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line="312" w:lineRule="auto"/>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line="312" w:lineRule="auto"/>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line="312" w:lineRule="auto"/>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line="312" w:lineRule="auto"/>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line="312" w:lineRule="auto"/>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line="312" w:lineRule="auto"/>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line="312" w:lineRule="auto"/>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line="312" w:lineRule="auto"/>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line="312" w:lineRule="auto"/>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line="312" w:lineRule="auto"/>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line="312" w:lineRule="auto"/>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line="312" w:lineRule="auto"/>
      </w:pPr>
      <w:r>
        <w:rPr>
          <w:rFonts w:ascii="FreeSerif" w:hAnsi="FreeSerif"/>
          <w:sz w:val="22"/>
        </w:rPr>
        <w:t>LA PREMIÈRE VAGUE — CHRONOLOGIE D'UNE ÉLIMINATION</w:t>
      </w:r>
    </w:p>
    <w:p>
      <w:pPr>
        <w:spacing w:line="312" w:lineRule="auto"/>
      </w:pPr>
      <w:r>
        <w:rPr>
          <w:rFonts w:ascii="FreeSerif" w:hAnsi="FreeSerif"/>
          <w:sz w:val="22"/>
        </w:rPr>
        <w:t>6 mars 1957 : indépendance du Ghana, Nkrumah appelle à la libération totale du continent</w:t>
      </w:r>
    </w:p>
    <w:p>
      <w:pPr>
        <w:spacing w:line="312" w:lineRule="auto"/>
      </w:pPr>
      <w:r>
        <w:rPr>
          <w:rFonts w:ascii="FreeSerif" w:hAnsi="FreeSerif"/>
          <w:sz w:val="22"/>
        </w:rPr>
        <w:t>Novembre 1958 : Union Ghana-Guinée, élargie au Mali en 1961</w:t>
      </w:r>
    </w:p>
    <w:p>
      <w:pPr>
        <w:spacing w:line="312" w:lineRule="auto"/>
      </w:pPr>
      <w:r>
        <w:rPr>
          <w:rFonts w:ascii="FreeSerif" w:hAnsi="FreeSerif"/>
          <w:sz w:val="22"/>
        </w:rPr>
        <w:t>30 juin 1960 : indépendance du Congo, discours de Lumumba devant Baudouin</w:t>
      </w:r>
    </w:p>
    <w:p>
      <w:pPr>
        <w:spacing w:line="312" w:lineRule="auto"/>
      </w:pPr>
      <w:r>
        <w:rPr>
          <w:rFonts w:ascii="FreeSerif" w:hAnsi="FreeSerif"/>
          <w:sz w:val="22"/>
        </w:rPr>
        <w:t>17 janvier 1961 : Lumumba assassiné au Katanga, à 35 ans</w:t>
      </w:r>
    </w:p>
    <w:p>
      <w:pPr>
        <w:spacing w:line="312" w:lineRule="auto"/>
      </w:pPr>
      <w:r>
        <w:rPr>
          <w:rFonts w:ascii="FreeSerif" w:hAnsi="FreeSerif"/>
          <w:sz w:val="22"/>
        </w:rPr>
        <w:t>1er juillet 1962 : Modibo Keïta crée le franc malien et sort de la zone franc</w:t>
      </w:r>
    </w:p>
    <w:p>
      <w:pPr>
        <w:spacing w:line="312" w:lineRule="auto"/>
      </w:pPr>
      <w:r>
        <w:rPr>
          <w:rFonts w:ascii="FreeSerif" w:hAnsi="FreeSerif"/>
          <w:sz w:val="22"/>
        </w:rPr>
        <w:t>13 janvier 1963 : Sylvanus Olympio, créateur du franc togolais, assassiné à Lomé</w:t>
      </w:r>
    </w:p>
    <w:p>
      <w:pPr>
        <w:spacing w:line="312" w:lineRule="auto"/>
      </w:pPr>
      <w:r>
        <w:rPr>
          <w:rFonts w:ascii="FreeSerif" w:hAnsi="FreeSerif"/>
          <w:sz w:val="22"/>
        </w:rPr>
        <w:t>Mai 1963 : à Addis-Abeba, le plan continental de Nkrumah est rejeté</w:t>
      </w:r>
    </w:p>
    <w:p>
      <w:pPr>
        <w:spacing w:line="312" w:lineRule="auto"/>
      </w:pPr>
      <w:r>
        <w:rPr>
          <w:rFonts w:ascii="FreeSerif" w:hAnsi="FreeSerif"/>
          <w:sz w:val="22"/>
        </w:rPr>
        <w:t>24 février 1966 : Nkrumah renversé pendant un voyage à l'étranger</w:t>
      </w:r>
    </w:p>
    <w:p>
      <w:pPr>
        <w:spacing w:line="312" w:lineRule="auto"/>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line="312" w:lineRule="auto"/>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line="312" w:lineRule="auto"/>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line="312" w:lineRule="auto"/>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line="312" w:lineRule="auto"/>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line="312" w:lineRule="auto"/>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line="312" w:lineRule="auto"/>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line="312" w:lineRule="auto"/>
      </w:pPr>
      <w:r>
        <w:rPr>
          <w:rFonts w:ascii="FreeSerif" w:hAnsi="FreeSerif"/>
          <w:sz w:val="22"/>
        </w:rPr>
        <w:t>LE BILAN DES QUATRE ANS (1983-1987)</w:t>
      </w:r>
    </w:p>
    <w:p>
      <w:pPr>
        <w:spacing w:line="312" w:lineRule="auto"/>
      </w:pPr>
      <w:r>
        <w:rPr>
          <w:rFonts w:ascii="FreeSerif" w:hAnsi="FreeSerif"/>
          <w:sz w:val="22"/>
        </w:rPr>
        <w:t>2,5 millions d'enfants vaccinés contre la rougeole, la méningite et la fièvre jaune</w:t>
      </w:r>
    </w:p>
    <w:p>
      <w:pPr>
        <w:spacing w:line="312" w:lineRule="auto"/>
      </w:pPr>
      <w:r>
        <w:rPr>
          <w:rFonts w:ascii="FreeSerif" w:hAnsi="FreeSerif"/>
          <w:sz w:val="22"/>
        </w:rPr>
        <w:t>10 millions d'arbres plantés contre l'avancée du désert</w:t>
      </w:r>
    </w:p>
    <w:p>
      <w:pPr>
        <w:spacing w:line="312" w:lineRule="auto"/>
      </w:pPr>
      <w:r>
        <w:rPr>
          <w:rFonts w:ascii="FreeSerif" w:hAnsi="FreeSerif"/>
          <w:sz w:val="22"/>
        </w:rPr>
        <w:t>Routes et chemin de fer construits sans aide extérieure</w:t>
      </w:r>
    </w:p>
    <w:p>
      <w:pPr>
        <w:spacing w:line="312" w:lineRule="auto"/>
      </w:pPr>
      <w:r>
        <w:rPr>
          <w:rFonts w:ascii="FreeSerif" w:hAnsi="FreeSerif"/>
          <w:sz w:val="22"/>
        </w:rPr>
        <w:t>Budget de l'État équilibré, salaire du président réduit, train de vie des ministres rogné</w:t>
      </w:r>
    </w:p>
    <w:p>
      <w:pPr>
        <w:spacing w:line="312" w:lineRule="auto"/>
      </w:pPr>
      <w:r>
        <w:rPr>
          <w:rFonts w:ascii="FreeSerif" w:hAnsi="FreeSerif"/>
          <w:sz w:val="22"/>
        </w:rPr>
        <w:t>La dette ? Remboursable, disait-il, à condition que les créanciers viennent au Burkina expliquer eux-mêmes comment elle a été contractée</w:t>
      </w:r>
    </w:p>
    <w:p>
      <w:pPr>
        <w:spacing w:line="312" w:lineRule="auto"/>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line="312" w:lineRule="auto"/>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line="312" w:lineRule="auto"/>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line="312" w:lineRule="auto"/>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line="312" w:lineRule="auto"/>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line="312" w:lineRule="auto"/>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line="312" w:lineRule="auto"/>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line="312" w:lineRule="auto"/>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line="312" w:lineRule="auto"/>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line="312" w:lineRule="auto"/>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line="312" w:lineRule="auto"/>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line="312" w:lineRule="auto"/>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line="312" w:lineRule="auto"/>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line="312" w:lineRule="auto"/>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line="312" w:lineRule="auto"/>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line="312" w:lineRule="auto"/>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line="312" w:lineRule="auto"/>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line="312" w:lineRule="auto"/>
      </w:pPr>
      <w:r>
        <w:rPr>
          <w:rFonts w:ascii="FreeSerif" w:hAnsi="FreeSerif"/>
          <w:sz w:val="22"/>
        </w:rPr>
        <w:t>JEUNESSE ET DIASPORA EN CHIFFRES</w:t>
      </w:r>
    </w:p>
    <w:p>
      <w:pPr>
        <w:spacing w:line="312" w:lineRule="auto"/>
      </w:pPr>
      <w:r>
        <w:rPr>
          <w:rFonts w:ascii="FreeSerif" w:hAnsi="FreeSerif"/>
          <w:sz w:val="22"/>
        </w:rPr>
        <w:t>Médiane d'âge au Sahel : moins de 18 ans (données ONU)</w:t>
      </w:r>
    </w:p>
    <w:p>
      <w:pPr>
        <w:spacing w:line="312" w:lineRule="auto"/>
      </w:pPr>
      <w:r>
        <w:rPr>
          <w:rFonts w:ascii="FreeSerif" w:hAnsi="FreeSerif"/>
          <w:sz w:val="22"/>
        </w:rPr>
        <w:t>Plus de 60 % des Africains ont moins de 25 ans</w:t>
      </w:r>
    </w:p>
    <w:p>
      <w:pPr>
        <w:spacing w:line="312" w:lineRule="auto"/>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line="312" w:lineRule="auto"/>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line="312" w:lineRule="auto"/>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line="312" w:lineRule="auto"/>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line="312" w:lineRule="auto"/>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line="312" w:lineRule="auto"/>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line="312" w:lineRule="auto"/>
      </w:pPr>
      <w:r>
        <w:rPr>
          <w:rFonts w:ascii="FreeSerif" w:hAnsi="FreeSerif"/>
          <w:sz w:val="22"/>
        </w:rPr>
        <w:t>La voix la plus utile dans la liesse de juin 2026 n'est pas celle d'un contradicteur de l'AES. C'est celle d'une de ses alliées les plus constantes, Nathalie Yamb :</w:t>
      </w:r>
    </w:p>
    <w:p>
      <w:pPr>
        <w:spacing w:line="312" w:lineRule="auto"/>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line="312" w:lineRule="auto"/>
      </w:pPr>
      <w:r>
        <w:rPr>
          <w:rFonts w:ascii="FreeSerif" w:hAnsi="FreeSerif"/>
          <w:sz w:val="22"/>
        </w:rPr>
        <w:t>— Nathalie Yamb, juin 2026</w:t>
      </w:r>
    </w:p>
    <w:p>
      <w:pPr>
        <w:spacing w:line="312" w:lineRule="auto"/>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line="312" w:lineRule="auto"/>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line="312" w:lineRule="auto"/>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line="312" w:lineRule="auto"/>
      </w:pPr>
      <w:r>
        <w:rPr>
          <w:rFonts w:ascii="FreeSerif" w:hAnsi="FreeSerif"/>
          <w:sz w:val="22"/>
        </w:rPr>
        <w:t>Venons-en à la question la plus difficile pour tout observateur honnête de l'AES — celle que ce livre a différée jusqu'ici pour la traiter une fois, entièrement.</w:t>
      </w:r>
    </w:p>
    <w:p>
      <w:pPr>
        <w:spacing w:line="312" w:lineRule="auto"/>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line="312" w:lineRule="auto"/>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line="312" w:lineRule="auto"/>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line="312" w:lineRule="auto"/>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line="312" w:lineRule="auto"/>
      </w:pPr>
      <w:r>
        <w:rPr>
          <w:rFonts w:ascii="FreeSerif" w:hAnsi="FreeSerif"/>
          <w:sz w:val="22"/>
        </w:rPr>
        <w:t>LES CINQ AVEUX INVOLONTAIRES DE BAZOUM (INTERVIEW RFI/FRANCE 24)</w:t>
      </w:r>
    </w:p>
    <w:p>
      <w:pPr>
        <w:spacing w:line="312" w:lineRule="auto"/>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line="312" w:lineRule="auto"/>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line="312" w:lineRule="auto"/>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line="312" w:lineRule="auto"/>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line="312" w:lineRule="auto"/>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line="312" w:lineRule="auto"/>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line="312" w:lineRule="auto"/>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line="312" w:lineRule="auto"/>
      </w:pPr>
      <w:r>
        <w:rPr>
          <w:rFonts w:ascii="FreeSerif" w:hAnsi="FreeSerif"/>
          <w:sz w:val="22"/>
        </w:rPr>
        <w:t>Alors, à quoi juger l'AES ? À trois questions — pas une de moins, pas une de plus.</w:t>
      </w:r>
    </w:p>
    <w:p>
      <w:pPr>
        <w:spacing w:line="312" w:lineRule="auto"/>
      </w:pPr>
      <w:r>
        <w:rPr>
          <w:rFonts w:ascii="FreeSerif" w:hAnsi="FreeSerif"/>
          <w:sz w:val="22"/>
        </w:rPr>
        <w:t>LE CRITÈRE DES TROIS QUESTIONS</w:t>
      </w:r>
    </w:p>
    <w:p>
      <w:pPr>
        <w:spacing w:line="312" w:lineRule="auto"/>
      </w:pPr>
      <w:r>
        <w:rPr>
          <w:rFonts w:ascii="FreeSerif" w:hAnsi="FreeSerif"/>
          <w:sz w:val="22"/>
        </w:rPr>
        <w:t>Les transitions produisent-elles des institutions, ou des règnes personnels ?</w:t>
      </w:r>
    </w:p>
    <w:p>
      <w:pPr>
        <w:spacing w:line="312" w:lineRule="auto"/>
      </w:pPr>
      <w:r>
        <w:rPr>
          <w:rFonts w:ascii="FreeSerif" w:hAnsi="FreeSerif"/>
          <w:sz w:val="22"/>
        </w:rPr>
        <w:t>Les droits fondamentaux sont-ils respectés en dehors des discours ?</w:t>
      </w:r>
    </w:p>
    <w:p>
      <w:pPr>
        <w:spacing w:line="312" w:lineRule="auto"/>
      </w:pPr>
      <w:r>
        <w:rPr>
          <w:rFonts w:ascii="FreeSerif" w:hAnsi="FreeSerif"/>
          <w:sz w:val="22"/>
        </w:rPr>
        <w:t>Les minorités sont-elles protégées ?</w:t>
      </w:r>
    </w:p>
    <w:p>
      <w:pPr>
        <w:spacing w:line="312" w:lineRule="auto"/>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line="312" w:lineRule="auto"/>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line="312" w:lineRule="auto"/>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line="312" w:lineRule="auto"/>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line="312" w:lineRule="auto"/>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Pays</w:t>
            </w:r>
          </w:p>
        </w:tc>
        <w:tc>
          <w:tcPr>
            <w:tcW w:type="dxa" w:w="3135"/>
            <w:shd w:val="clear" w:color="auto" w:fill="2C3A4A"/>
          </w:tcPr>
          <w:p>
            <w:pPr>
              <w:ind w:left="85"/>
            </w:pPr>
            <w:r>
              <w:rPr>
                <w:rFonts w:ascii="FreeSerif" w:hAnsi="FreeSerif"/>
                <w:b/>
                <w:color w:val="FFFFFF"/>
                <w:sz w:val="19"/>
              </w:rPr>
              <w:t>Action engagée</w:t>
            </w:r>
          </w:p>
        </w:tc>
        <w:tc>
          <w:tcPr>
            <w:tcW w:type="dxa" w:w="3135"/>
            <w:shd w:val="clear" w:color="auto" w:fill="2C3A4A"/>
          </w:tcPr>
          <w:p>
            <w:pPr>
              <w:ind w:left="85"/>
            </w:pPr>
            <w:r>
              <w:rPr>
                <w:rFonts w:ascii="FreeSerif" w:hAnsi="FreeSerif"/>
                <w:b/>
                <w:color w:val="FFFFFF"/>
                <w:sz w:val="19"/>
              </w:rPr>
              <w:t>Statut</w:t>
            </w:r>
          </w:p>
        </w:tc>
      </w:tr>
      <w:tr>
        <w:tc>
          <w:tcPr>
            <w:tcW w:type="dxa" w:w="3135"/>
            <w:shd w:val="clear" w:color="auto" w:fill="F4EFE4"/>
          </w:tcPr>
          <w:p>
            <w:pPr>
              <w:ind w:left="85"/>
            </w:pPr>
            <w:r>
              <w:rPr>
                <w:rFonts w:ascii="FreeSerif" w:hAnsi="FreeSerif"/>
                <w:color w:val="3C3C3C"/>
                <w:sz w:val="18"/>
              </w:rPr>
              <w:t>Allemagne</w:t>
            </w:r>
          </w:p>
        </w:tc>
        <w:tc>
          <w:tcPr>
            <w:tcW w:type="dxa" w:w="3135"/>
            <w:shd w:val="clear" w:color="auto" w:fill="F4EFE4"/>
          </w:tcPr>
          <w:p>
            <w:pPr>
              <w:ind w:left="85"/>
            </w:pPr>
            <w:r>
              <w:rPr>
                <w:rFonts w:ascii="FreeSerif" w:hAnsi="FreeSerif"/>
                <w:color w:val="3C3C3C"/>
                <w:sz w:val="18"/>
              </w:rPr>
              <w:t>Restitution de biens culturels pillés</w:t>
            </w:r>
          </w:p>
        </w:tc>
        <w:tc>
          <w:tcPr>
            <w:tcW w:type="dxa" w:w="3135"/>
            <w:shd w:val="clear" w:color="auto" w:fill="F4EFE4"/>
          </w:tcPr>
          <w:p>
            <w:pPr>
              <w:ind w:left="85"/>
            </w:pPr>
            <w:r>
              <w:rPr>
                <w:rFonts w:ascii="FreeSerif" w:hAnsi="FreeSerif"/>
                <w:color w:val="3C3C3C"/>
                <w:sz w:val="18"/>
              </w:rPr>
              <w:t>Engagée</w:t>
            </w:r>
          </w:p>
        </w:tc>
      </w:tr>
      <w:tr>
        <w:tc>
          <w:tcPr>
            <w:tcW w:type="dxa" w:w="3135"/>
            <w:shd w:val="clear" w:color="auto" w:fill="F4EFE4"/>
          </w:tcPr>
          <w:p>
            <w:pPr>
              <w:ind w:left="85"/>
            </w:pPr>
            <w:r>
              <w:rPr>
                <w:rFonts w:ascii="FreeSerif" w:hAnsi="FreeSerif"/>
                <w:color w:val="3C3C3C"/>
                <w:sz w:val="18"/>
              </w:rPr>
              <w:t>Pays-Bas</w:t>
            </w:r>
          </w:p>
        </w:tc>
        <w:tc>
          <w:tcPr>
            <w:tcW w:type="dxa" w:w="3135"/>
            <w:shd w:val="clear" w:color="auto" w:fill="F4EFE4"/>
          </w:tcPr>
          <w:p>
            <w:pPr>
              <w:ind w:left="85"/>
            </w:pPr>
            <w:r>
              <w:rPr>
                <w:rFonts w:ascii="FreeSerif" w:hAnsi="FreeSerif"/>
                <w:color w:val="3C3C3C"/>
                <w:sz w:val="18"/>
              </w:rPr>
              <w:t>Restitution de biens culturels pillés</w:t>
            </w:r>
          </w:p>
        </w:tc>
        <w:tc>
          <w:tcPr>
            <w:tcW w:type="dxa" w:w="3135"/>
            <w:shd w:val="clear" w:color="auto" w:fill="F4EFE4"/>
          </w:tcPr>
          <w:p>
            <w:pPr>
              <w:ind w:left="85"/>
            </w:pPr>
            <w:r>
              <w:rPr>
                <w:rFonts w:ascii="FreeSerif" w:hAnsi="FreeSerif"/>
                <w:color w:val="3C3C3C"/>
                <w:sz w:val="18"/>
              </w:rPr>
              <w:t>Engagée</w:t>
            </w:r>
          </w:p>
        </w:tc>
      </w:tr>
      <w:tr>
        <w:tc>
          <w:tcPr>
            <w:tcW w:type="dxa" w:w="3135"/>
            <w:shd w:val="clear" w:color="auto" w:fill="F4EFE4"/>
          </w:tcPr>
          <w:p>
            <w:pPr>
              <w:ind w:left="85"/>
            </w:pPr>
            <w:r>
              <w:rPr>
                <w:rFonts w:ascii="FreeSerif" w:hAnsi="FreeSerif"/>
                <w:color w:val="3C3C3C"/>
                <w:sz w:val="18"/>
              </w:rPr>
              <w:t>Danemark</w:t>
            </w:r>
          </w:p>
        </w:tc>
        <w:tc>
          <w:tcPr>
            <w:tcW w:type="dxa" w:w="3135"/>
            <w:shd w:val="clear" w:color="auto" w:fill="F4EFE4"/>
          </w:tcPr>
          <w:p>
            <w:pPr>
              <w:ind w:left="85"/>
            </w:pPr>
            <w:r>
              <w:rPr>
                <w:rFonts w:ascii="FreeSerif" w:hAnsi="FreeSerif"/>
                <w:color w:val="3C3C3C"/>
                <w:sz w:val="18"/>
              </w:rPr>
              <w:t>Excuses officielles + financement restauration châteaux coloniaux (traite des esclaves)</w:t>
            </w:r>
          </w:p>
        </w:tc>
        <w:tc>
          <w:tcPr>
            <w:tcW w:type="dxa" w:w="3135"/>
            <w:shd w:val="clear" w:color="auto" w:fill="F4EFE4"/>
          </w:tcPr>
          <w:p>
            <w:pPr>
              <w:ind w:left="85"/>
            </w:pPr>
            <w:r>
              <w:rPr>
                <w:rFonts w:ascii="FreeSerif" w:hAnsi="FreeSerif"/>
                <w:color w:val="3C3C3C"/>
                <w:sz w:val="18"/>
              </w:rPr>
              <w:t>Acté</w:t>
            </w:r>
          </w:p>
        </w:tc>
      </w:tr>
      <w:tr>
        <w:tc>
          <w:tcPr>
            <w:tcW w:type="dxa" w:w="3135"/>
            <w:shd w:val="clear" w:color="auto" w:fill="F4EFE4"/>
          </w:tcPr>
          <w:p>
            <w:pPr>
              <w:ind w:left="85"/>
            </w:pPr>
            <w:r>
              <w:rPr>
                <w:rFonts w:ascii="FreeSerif" w:hAnsi="FreeSerif"/>
                <w:color w:val="3C3C3C"/>
                <w:sz w:val="18"/>
              </w:rPr>
              <w:t>France</w:t>
            </w:r>
          </w:p>
        </w:tc>
        <w:tc>
          <w:tcPr>
            <w:tcW w:type="dxa" w:w="3135"/>
            <w:shd w:val="clear" w:color="auto" w:fill="F4EFE4"/>
          </w:tcPr>
          <w:p>
            <w:pPr>
              <w:ind w:left="85"/>
            </w:pPr>
            <w:r>
              <w:rPr>
                <w:rFonts w:ascii="FreeSerif" w:hAnsi="FreeSerif"/>
                <w:color w:val="3C3C3C"/>
                <w:sz w:val="18"/>
              </w:rPr>
              <w:t>Sous pression — milliers d'œuvres au quai Branly</w:t>
            </w:r>
          </w:p>
        </w:tc>
        <w:tc>
          <w:tcPr>
            <w:tcW w:type="dxa" w:w="3135"/>
            <w:shd w:val="clear" w:color="auto" w:fill="F4EFE4"/>
          </w:tcPr>
          <w:p>
            <w:pPr>
              <w:ind w:left="85"/>
            </w:pPr>
            <w:r>
              <w:rPr>
                <w:rFonts w:ascii="FreeSerif" w:hAnsi="FreeSerif"/>
                <w:color w:val="3C3C3C"/>
                <w:sz w:val="18"/>
              </w:rPr>
              <w:t>En cours</w:t>
            </w:r>
          </w:p>
        </w:tc>
      </w:tr>
      <w:tr>
        <w:tc>
          <w:tcPr>
            <w:tcW w:type="dxa" w:w="3135"/>
            <w:shd w:val="clear" w:color="auto" w:fill="F4EFE4"/>
          </w:tcPr>
          <w:p>
            <w:pPr>
              <w:ind w:left="85"/>
            </w:pPr>
            <w:r>
              <w:rPr>
                <w:rFonts w:ascii="FreeSerif" w:hAnsi="FreeSerif"/>
                <w:color w:val="3C3C3C"/>
                <w:sz w:val="18"/>
              </w:rPr>
              <w:t>Belgique</w:t>
            </w:r>
          </w:p>
        </w:tc>
        <w:tc>
          <w:tcPr>
            <w:tcW w:type="dxa" w:w="3135"/>
            <w:shd w:val="clear" w:color="auto" w:fill="F4EFE4"/>
          </w:tcPr>
          <w:p>
            <w:pPr>
              <w:ind w:left="85"/>
            </w:pPr>
            <w:r>
              <w:rPr>
                <w:rFonts w:ascii="FreeSerif" w:hAnsi="FreeSerif"/>
                <w:color w:val="3C3C3C"/>
                <w:sz w:val="18"/>
              </w:rPr>
              <w:t>Sous pression — patrimoine congolais à Tervuren</w:t>
            </w:r>
          </w:p>
        </w:tc>
        <w:tc>
          <w:tcPr>
            <w:tcW w:type="dxa" w:w="3135"/>
            <w:shd w:val="clear" w:color="auto" w:fill="F4EFE4"/>
          </w:tcPr>
          <w:p>
            <w:pPr>
              <w:ind w:left="85"/>
            </w:pPr>
            <w:r>
              <w:rPr>
                <w:rFonts w:ascii="FreeSerif" w:hAnsi="FreeSerif"/>
                <w:color w:val="3C3C3C"/>
                <w:sz w:val="18"/>
              </w:rPr>
              <w:t>En cours</w:t>
            </w:r>
          </w:p>
        </w:tc>
      </w:tr>
    </w:tbl>
    <w:p/>
    <w:p>
      <w:pPr>
        <w:spacing w:line="312" w:lineRule="auto"/>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line="312" w:lineRule="auto"/>
      </w:pPr>
      <w:r>
        <w:rPr>
          <w:rFonts w:ascii="FreeSerif" w:hAnsi="FreeSerif"/>
          <w:sz w:val="22"/>
        </w:rPr>
        <w:t>Quatre enseignements pour le continent :</w:t>
      </w:r>
    </w:p>
    <w:p>
      <w:pPr>
        <w:spacing w:line="312" w:lineRule="auto"/>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line="312" w:lineRule="auto"/>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line="312" w:lineRule="auto"/>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line="312" w:lineRule="auto"/>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line="312" w:lineRule="auto"/>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line="312" w:lineRule="auto"/>
      </w:pPr>
      <w:r>
        <w:rPr>
          <w:rFonts w:ascii="FreeSerif" w:hAnsi="FreeSerif"/>
          <w:sz w:val="22"/>
        </w:rPr>
        <w:t>PARTIE VI — LES DÉFIS DE DEMAIN</w:t>
      </w:r>
    </w:p>
    <w:p>
      <w:pPr>
        <w:spacing w:line="312" w:lineRule="auto"/>
      </w:pPr>
      <w:r>
        <w:rPr>
          <w:rFonts w:ascii="FreeSerif" w:hAnsi="FreeSerif"/>
          <w:sz w:val="22"/>
        </w:rPr>
        <w:t>Jusqu'ici, ce livre a raconté un arrachement. Il reste à raconter une construction.</w:t>
      </w:r>
    </w:p>
    <w:p>
      <w:pPr>
        <w:spacing w:line="312" w:lineRule="auto"/>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line="312" w:lineRule="auto"/>
      </w:pPr>
      <w:r>
        <w:rPr>
          <w:rFonts w:ascii="FreeSerif" w:hAnsi="FreeSerif"/>
          <w:sz w:val="22"/>
        </w:rPr>
        <w:t>L'histoire des ruptures africaines est pleine de commencements. Elle est plus avare de lendemains. C'est aux lendemains que cette partie est consacrée.</w:t>
      </w:r>
    </w:p>
    <w:p>
      <w:pPr>
        <w:spacing w:line="312" w:lineRule="auto"/>
      </w:pPr>
      <w:r>
        <w:rPr>
          <w:rFonts w:ascii="FreeSerif" w:hAnsi="FreeSerif"/>
          <w:sz w:val="22"/>
        </w:rPr>
        <w:t>Et le premier lendemain porte un nom : la sécurité.</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line="312" w:lineRule="auto"/>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line="312" w:lineRule="auto"/>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line="312" w:lineRule="auto"/>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line="312" w:lineRule="auto"/>
      </w:pPr>
      <w:r>
        <w:rPr>
          <w:rFonts w:ascii="FreeSerif" w:hAnsi="FreeSerif"/>
          <w:sz w:val="22"/>
        </w:rPr>
        <w:t>BLOCUS JNIM — CHRONOLOGIE</w:t>
      </w:r>
    </w:p>
    <w:p>
      <w:pPr>
        <w:spacing w:line="312" w:lineRule="auto"/>
      </w:pPr>
      <w:r>
        <w:rPr>
          <w:rFonts w:ascii="FreeSerif" w:hAnsi="FreeSerif"/>
          <w:sz w:val="22"/>
        </w:rPr>
        <w:t>Septembre 2025 : début du blocus méthodique des convois de carburant vers le Mali</w:t>
      </w:r>
    </w:p>
    <w:p>
      <w:pPr>
        <w:spacing w:line="312" w:lineRule="auto"/>
      </w:pPr>
      <w:r>
        <w:rPr>
          <w:rFonts w:ascii="FreeSerif" w:hAnsi="FreeSerif"/>
          <w:sz w:val="22"/>
        </w:rPr>
        <w:t>29-30 octobre 2025 : un convoi des FAMa brise le blocus — effet dissuasif immédiat sur le terrain</w:t>
      </w:r>
    </w:p>
    <w:p>
      <w:pPr>
        <w:spacing w:line="312" w:lineRule="auto"/>
      </w:pPr>
      <w:r>
        <w:rPr>
          <w:rFonts w:ascii="FreeSerif" w:hAnsi="FreeSerif"/>
          <w:sz w:val="22"/>
        </w:rPr>
        <w:t>9-12 novembre 2025 : pic de la crise sécuritaire et énergétique</w:t>
      </w:r>
    </w:p>
    <w:p>
      <w:pPr>
        <w:spacing w:line="312" w:lineRule="auto"/>
      </w:pPr>
      <w:r>
        <w:rPr>
          <w:rFonts w:ascii="FreeSerif" w:hAnsi="FreeSerif"/>
          <w:sz w:val="22"/>
        </w:rPr>
        <w:t>11 novembre 2025 : réouverture des écoles maliennes</w:t>
      </w:r>
    </w:p>
    <w:p>
      <w:pPr>
        <w:spacing w:line="312" w:lineRule="auto"/>
      </w:pPr>
      <w:r>
        <w:rPr>
          <w:rFonts w:ascii="FreeSerif" w:hAnsi="FreeSerif"/>
          <w:sz w:val="22"/>
        </w:rPr>
        <w:t>Le blocus a échoué à plier le gouvernement. Il a solidifié l'opinion contre le JNIM.</w:t>
      </w:r>
    </w:p>
    <w:p>
      <w:pPr>
        <w:spacing w:line="312" w:lineRule="auto"/>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line="312" w:lineRule="auto"/>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line="312" w:lineRule="auto"/>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line="312" w:lineRule="auto"/>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line="312" w:lineRule="auto"/>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line="312" w:lineRule="auto"/>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line="312" w:lineRule="auto"/>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line="312" w:lineRule="auto"/>
      </w:pPr>
      <w:r>
        <w:rPr>
          <w:rFonts w:ascii="FreeSerif" w:hAnsi="FreeSerif"/>
          <w:sz w:val="22"/>
        </w:rPr>
        <w:t>L'inventaire de cette « coopération » confine à l'humiliation. Quelques exemples documentés du soutien occidental aux armées africaines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Donateur / année</w:t>
            </w:r>
          </w:p>
        </w:tc>
        <w:tc>
          <w:tcPr>
            <w:tcW w:type="dxa" w:w="4703"/>
            <w:shd w:val="clear" w:color="auto" w:fill="2C3A4A"/>
          </w:tcPr>
          <w:p>
            <w:pPr>
              <w:ind w:left="85"/>
            </w:pPr>
            <w:r>
              <w:rPr>
                <w:rFonts w:ascii="FreeSerif" w:hAnsi="FreeSerif"/>
                <w:b/>
                <w:color w:val="FFFFFF"/>
                <w:sz w:val="19"/>
              </w:rPr>
              <w:t>« Cadeau » militaire</w:t>
            </w:r>
          </w:p>
        </w:tc>
      </w:tr>
      <w:tr>
        <w:tc>
          <w:tcPr>
            <w:tcW w:type="dxa" w:w="4703"/>
            <w:shd w:val="clear" w:color="auto" w:fill="F4EFE4"/>
          </w:tcPr>
          <w:p>
            <w:pPr>
              <w:ind w:left="85"/>
            </w:pPr>
            <w:r>
              <w:rPr>
                <w:rFonts w:ascii="FreeSerif" w:hAnsi="FreeSerif"/>
                <w:color w:val="3C3C3C"/>
                <w:sz w:val="18"/>
              </w:rPr>
              <w:t>France, 2025</w:t>
            </w:r>
          </w:p>
        </w:tc>
        <w:tc>
          <w:tcPr>
            <w:tcW w:type="dxa" w:w="4703"/>
            <w:shd w:val="clear" w:color="auto" w:fill="F4EFE4"/>
          </w:tcPr>
          <w:p>
            <w:pPr>
              <w:ind w:left="85"/>
            </w:pPr>
            <w:r>
              <w:rPr>
                <w:rFonts w:ascii="FreeSerif" w:hAnsi="FreeSerif"/>
                <w:color w:val="3C3C3C"/>
                <w:sz w:val="18"/>
              </w:rPr>
              <w:t>5 vélos offerts à la police gabonaise</w:t>
            </w:r>
          </w:p>
        </w:tc>
      </w:tr>
      <w:tr>
        <w:tc>
          <w:tcPr>
            <w:tcW w:type="dxa" w:w="4703"/>
            <w:shd w:val="clear" w:color="auto" w:fill="F4EFE4"/>
          </w:tcPr>
          <w:p>
            <w:pPr>
              <w:ind w:left="85"/>
            </w:pPr>
            <w:r>
              <w:rPr>
                <w:rFonts w:ascii="FreeSerif" w:hAnsi="FreeSerif"/>
                <w:color w:val="3C3C3C"/>
                <w:sz w:val="18"/>
              </w:rPr>
              <w:t>France, 2024</w:t>
            </w:r>
          </w:p>
        </w:tc>
        <w:tc>
          <w:tcPr>
            <w:tcW w:type="dxa" w:w="4703"/>
            <w:shd w:val="clear" w:color="auto" w:fill="F4EFE4"/>
          </w:tcPr>
          <w:p>
            <w:pPr>
              <w:ind w:left="85"/>
            </w:pPr>
            <w:r>
              <w:rPr>
                <w:rFonts w:ascii="FreeSerif" w:hAnsi="FreeSerif"/>
                <w:color w:val="3C3C3C"/>
                <w:sz w:val="18"/>
              </w:rPr>
              <w:t>Une pirogue pneumatique au Cameroun</w:t>
            </w:r>
          </w:p>
        </w:tc>
      </w:tr>
      <w:tr>
        <w:tc>
          <w:tcPr>
            <w:tcW w:type="dxa" w:w="4703"/>
            <w:shd w:val="clear" w:color="auto" w:fill="F4EFE4"/>
          </w:tcPr>
          <w:p>
            <w:pPr>
              <w:ind w:left="85"/>
            </w:pPr>
            <w:r>
              <w:rPr>
                <w:rFonts w:ascii="FreeSerif" w:hAnsi="FreeSerif"/>
                <w:color w:val="3C3C3C"/>
                <w:sz w:val="18"/>
              </w:rPr>
              <w:t>France (Serval/Barkhane)</w:t>
            </w:r>
          </w:p>
        </w:tc>
        <w:tc>
          <w:tcPr>
            <w:tcW w:type="dxa" w:w="4703"/>
            <w:shd w:val="clear" w:color="auto" w:fill="F4EFE4"/>
          </w:tcPr>
          <w:p>
            <w:pPr>
              <w:ind w:left="85"/>
            </w:pPr>
            <w:r>
              <w:rPr>
                <w:rFonts w:ascii="FreeSerif" w:hAnsi="FreeSerif"/>
                <w:color w:val="3C3C3C"/>
                <w:sz w:val="18"/>
              </w:rPr>
              <w:t>Un haut-parleur aux Forces armées maliennes</w:t>
            </w:r>
          </w:p>
        </w:tc>
      </w:tr>
      <w:tr>
        <w:tc>
          <w:tcPr>
            <w:tcW w:type="dxa" w:w="4703"/>
            <w:shd w:val="clear" w:color="auto" w:fill="F4EFE4"/>
          </w:tcPr>
          <w:p>
            <w:pPr>
              <w:ind w:left="85"/>
            </w:pPr>
            <w:r>
              <w:rPr>
                <w:rFonts w:ascii="FreeSerif" w:hAnsi="FreeSerif"/>
                <w:color w:val="3C3C3C"/>
                <w:sz w:val="18"/>
              </w:rPr>
              <w:t>France, 2020</w:t>
            </w:r>
          </w:p>
        </w:tc>
        <w:tc>
          <w:tcPr>
            <w:tcW w:type="dxa" w:w="4703"/>
            <w:shd w:val="clear" w:color="auto" w:fill="F4EFE4"/>
          </w:tcPr>
          <w:p>
            <w:pPr>
              <w:ind w:left="85"/>
            </w:pPr>
            <w:r>
              <w:rPr>
                <w:rFonts w:ascii="FreeSerif" w:hAnsi="FreeSerif"/>
                <w:color w:val="3C3C3C"/>
                <w:sz w:val="18"/>
              </w:rPr>
              <w:t>Un avion ultraléger (bon pour la ferraille) au Burkina Faso</w:t>
            </w:r>
          </w:p>
        </w:tc>
      </w:tr>
      <w:tr>
        <w:tc>
          <w:tcPr>
            <w:tcW w:type="dxa" w:w="4703"/>
            <w:shd w:val="clear" w:color="auto" w:fill="F4EFE4"/>
          </w:tcPr>
          <w:p>
            <w:pPr>
              <w:ind w:left="85"/>
            </w:pPr>
            <w:r>
              <w:rPr>
                <w:rFonts w:ascii="FreeSerif" w:hAnsi="FreeSerif"/>
                <w:color w:val="3C3C3C"/>
                <w:sz w:val="18"/>
              </w:rPr>
              <w:t>Canada, octobre 2025</w:t>
            </w:r>
          </w:p>
        </w:tc>
        <w:tc>
          <w:tcPr>
            <w:tcW w:type="dxa" w:w="4703"/>
            <w:shd w:val="clear" w:color="auto" w:fill="F4EFE4"/>
          </w:tcPr>
          <w:p>
            <w:pPr>
              <w:ind w:left="85"/>
            </w:pPr>
            <w:r>
              <w:rPr>
                <w:rFonts w:ascii="FreeSerif" w:hAnsi="FreeSerif"/>
                <w:color w:val="3C3C3C"/>
                <w:sz w:val="18"/>
              </w:rPr>
              <w:t>20 tentes à l'armée béninoise — « solidarité face au terrorisme »</w:t>
            </w:r>
          </w:p>
        </w:tc>
      </w:tr>
    </w:tbl>
    <w:p/>
    <w:p>
      <w:pPr>
        <w:spacing w:line="312" w:lineRule="auto"/>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line="312" w:lineRule="auto"/>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line="312" w:lineRule="auto"/>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line="312" w:lineRule="auto"/>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line="312" w:lineRule="auto"/>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line="312" w:lineRule="auto"/>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line="312" w:lineRule="auto"/>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line="312" w:lineRule="auto"/>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line="312" w:lineRule="auto"/>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line="312" w:lineRule="auto"/>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line="312" w:lineRule="auto"/>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line="312" w:lineRule="auto"/>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line="312" w:lineRule="auto"/>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line="312" w:lineRule="auto"/>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line="312" w:lineRule="auto"/>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line="312" w:lineRule="auto"/>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line="312" w:lineRule="auto"/>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line="312" w:lineRule="auto"/>
      </w:pPr>
      <w:r>
        <w:rPr>
          <w:rFonts w:ascii="FreeSerif" w:hAnsi="FreeSerif"/>
          <w:sz w:val="22"/>
        </w:rPr>
        <w:t>DÉNONCIATION DES CONVENTIONS FISCALES AVEC LA FRANCE — SÉQUENCE AES</w:t>
      </w:r>
    </w:p>
    <w:p>
      <w:pPr>
        <w:spacing w:line="312" w:lineRule="auto"/>
      </w:pPr>
      <w:r>
        <w:rPr>
          <w:rFonts w:ascii="FreeSerif" w:hAnsi="FreeSerif"/>
          <w:sz w:val="22"/>
        </w:rPr>
        <w:t>7 août 2023 : le Burkina Faso dénonce la convention fiscale franco-burkinabè</w:t>
      </w:r>
    </w:p>
    <w:p>
      <w:pPr>
        <w:spacing w:line="312" w:lineRule="auto"/>
      </w:pPr>
      <w:r>
        <w:rPr>
          <w:rFonts w:ascii="FreeSerif" w:hAnsi="FreeSerif"/>
          <w:sz w:val="22"/>
        </w:rPr>
        <w:t>8 novembre 2023 : prise d'effet côté burkinabè et français</w:t>
      </w:r>
    </w:p>
    <w:p>
      <w:pPr>
        <w:spacing w:line="312" w:lineRule="auto"/>
      </w:pPr>
      <w:r>
        <w:rPr>
          <w:rFonts w:ascii="FreeSerif" w:hAnsi="FreeSerif"/>
          <w:sz w:val="22"/>
        </w:rPr>
        <w:t>5 décembre 2023 : le Mali et le Niger dénoncent leurs conventions</w:t>
      </w:r>
    </w:p>
    <w:p>
      <w:pPr>
        <w:spacing w:line="312" w:lineRule="auto"/>
      </w:pPr>
      <w:r>
        <w:rPr>
          <w:rFonts w:ascii="FreeSerif" w:hAnsi="FreeSerif"/>
          <w:sz w:val="22"/>
        </w:rPr>
        <w:t>Conséquence : fin des exonérations sur dividendes, intérêts et redevances — retour au droit commun</w:t>
      </w:r>
    </w:p>
    <w:p>
      <w:pPr>
        <w:spacing w:line="312" w:lineRule="auto"/>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line="312" w:lineRule="auto"/>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line="312" w:lineRule="auto"/>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line="312" w:lineRule="auto"/>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line="312" w:lineRule="auto"/>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line="312" w:lineRule="auto"/>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line="312" w:lineRule="auto"/>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line="312" w:lineRule="auto"/>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line="312" w:lineRule="auto"/>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line="312" w:lineRule="auto"/>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line="312" w:lineRule="auto"/>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line="312" w:lineRule="auto"/>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line="312" w:lineRule="auto"/>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line="312" w:lineRule="auto"/>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line="312" w:lineRule="auto"/>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line="312" w:lineRule="auto"/>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line="312" w:lineRule="auto"/>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line="312" w:lineRule="auto"/>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line="312" w:lineRule="auto"/>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line="312" w:lineRule="auto"/>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line="312" w:lineRule="auto"/>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line="312" w:lineRule="auto"/>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line="312" w:lineRule="auto"/>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line="312" w:lineRule="auto"/>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line="312" w:lineRule="auto"/>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line="312" w:lineRule="auto"/>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line="312" w:lineRule="auto"/>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Dimension</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Atouts</w:t>
            </w:r>
          </w:p>
        </w:tc>
        <w:tc>
          <w:tcPr>
            <w:tcW w:type="dxa" w:w="4703"/>
            <w:shd w:val="clear" w:color="auto" w:fill="F4EFE4"/>
          </w:tcPr>
          <w:p>
            <w:pPr>
              <w:ind w:left="85"/>
            </w:pPr>
            <w:r>
              <w:rPr>
                <w:rFonts w:ascii="FreeSerif" w:hAnsi="FreeSerif"/>
                <w:color w:val="3C3C3C"/>
                <w:sz w:val="18"/>
              </w:rPr>
              <w:t>Uranium (Niger), or (Mali), coton (Mali, Burkina), pétrole (Niger) — adosser la monnaie à des ressources réelles</w:t>
            </w:r>
          </w:p>
        </w:tc>
      </w:tr>
      <w:tr>
        <w:tc>
          <w:tcPr>
            <w:tcW w:type="dxa" w:w="4703"/>
            <w:shd w:val="clear" w:color="auto" w:fill="F4EFE4"/>
          </w:tcPr>
          <w:p>
            <w:pPr>
              <w:ind w:left="85"/>
            </w:pPr>
            <w:r>
              <w:rPr>
                <w:rFonts w:ascii="FreeSerif" w:hAnsi="FreeSerif"/>
                <w:color w:val="3C3C3C"/>
                <w:sz w:val="18"/>
              </w:rPr>
              <w:t>Prérequis</w:t>
            </w:r>
          </w:p>
        </w:tc>
        <w:tc>
          <w:tcPr>
            <w:tcW w:type="dxa" w:w="4703"/>
            <w:shd w:val="clear" w:color="auto" w:fill="F4EFE4"/>
          </w:tcPr>
          <w:p>
            <w:pPr>
              <w:ind w:left="85"/>
            </w:pPr>
            <w:r>
              <w:rPr>
                <w:rFonts w:ascii="FreeSerif" w:hAnsi="FreeSerif"/>
                <w:color w:val="3C3C3C"/>
                <w:sz w:val="18"/>
              </w:rPr>
              <w:t>Banque centrale AES indépendante, système de compensation inter-AES</w:t>
            </w:r>
          </w:p>
        </w:tc>
      </w:tr>
      <w:tr>
        <w:tc>
          <w:tcPr>
            <w:tcW w:type="dxa" w:w="4703"/>
            <w:shd w:val="clear" w:color="auto" w:fill="F4EFE4"/>
          </w:tcPr>
          <w:p>
            <w:pPr>
              <w:ind w:left="85"/>
            </w:pPr>
            <w:r>
              <w:rPr>
                <w:rFonts w:ascii="FreeSerif" w:hAnsi="FreeSerif"/>
                <w:color w:val="3C3C3C"/>
                <w:sz w:val="18"/>
              </w:rPr>
              <w:t>Leçons à méditer</w:t>
            </w:r>
          </w:p>
        </w:tc>
        <w:tc>
          <w:tcPr>
            <w:tcW w:type="dxa" w:w="4703"/>
            <w:shd w:val="clear" w:color="auto" w:fill="F4EFE4"/>
          </w:tcPr>
          <w:p>
            <w:pPr>
              <w:ind w:left="85"/>
            </w:pPr>
            <w:r>
              <w:rPr>
                <w:rFonts w:ascii="FreeSerif" w:hAnsi="FreeSerif"/>
                <w:color w:val="3C3C3C"/>
                <w:sz w:val="18"/>
              </w:rPr>
              <w:t>Sango Coin (2022, échec technique) et $CAR (2025, −90 % le jour du lancement) — la précipitation tue</w:t>
            </w:r>
          </w:p>
        </w:tc>
      </w:tr>
      <w:tr>
        <w:tc>
          <w:tcPr>
            <w:tcW w:type="dxa" w:w="4703"/>
            <w:shd w:val="clear" w:color="auto" w:fill="F4EFE4"/>
          </w:tcPr>
          <w:p>
            <w:pPr>
              <w:ind w:left="85"/>
            </w:pPr>
            <w:r>
              <w:rPr>
                <w:rFonts w:ascii="FreeSerif" w:hAnsi="FreeSerif"/>
                <w:color w:val="3C3C3C"/>
                <w:sz w:val="18"/>
              </w:rPr>
              <w:t>Risques</w:t>
            </w:r>
          </w:p>
        </w:tc>
        <w:tc>
          <w:tcPr>
            <w:tcW w:type="dxa" w:w="4703"/>
            <w:shd w:val="clear" w:color="auto" w:fill="F4EFE4"/>
          </w:tcPr>
          <w:p>
            <w:pPr>
              <w:ind w:left="85"/>
            </w:pPr>
            <w:r>
              <w:rPr>
                <w:rFonts w:ascii="FreeSerif" w:hAnsi="FreeSerif"/>
                <w:color w:val="3C3C3C"/>
                <w:sz w:val="18"/>
              </w:rPr>
              <w:t>Pression inflationniste de transition, attaques spéculatives contre la nouvelle monnaie</w:t>
            </w:r>
          </w:p>
        </w:tc>
      </w:tr>
      <w:tr>
        <w:tc>
          <w:tcPr>
            <w:tcW w:type="dxa" w:w="4703"/>
            <w:shd w:val="clear" w:color="auto" w:fill="F4EFE4"/>
          </w:tcPr>
          <w:p>
            <w:pPr>
              <w:ind w:left="85"/>
            </w:pPr>
            <w:r>
              <w:rPr>
                <w:rFonts w:ascii="FreeSerif" w:hAnsi="FreeSerif"/>
                <w:color w:val="3C3C3C"/>
                <w:sz w:val="18"/>
              </w:rPr>
              <w:t>Horizon</w:t>
            </w:r>
          </w:p>
        </w:tc>
        <w:tc>
          <w:tcPr>
            <w:tcW w:type="dxa" w:w="4703"/>
            <w:shd w:val="clear" w:color="auto" w:fill="F4EFE4"/>
          </w:tcPr>
          <w:p>
            <w:pPr>
              <w:ind w:left="85"/>
            </w:pPr>
            <w:r>
              <w:rPr>
                <w:rFonts w:ascii="FreeSerif" w:hAnsi="FreeSerif"/>
                <w:color w:val="3C3C3C"/>
                <w:sz w:val="18"/>
              </w:rPr>
              <w:t>Institut monétaire africain annoncé pour septembre 2026</w:t>
            </w:r>
          </w:p>
        </w:tc>
      </w:tr>
    </w:tbl>
    <w:p/>
    <w:p>
      <w:pPr>
        <w:spacing w:line="312" w:lineRule="auto"/>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line="312" w:lineRule="auto"/>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line="312" w:lineRule="auto"/>
      </w:pPr>
      <w:r>
        <w:rPr>
          <w:rFonts w:ascii="FreeSerif" w:hAnsi="FreeSerif"/>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line="312" w:lineRule="auto"/>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line="312" w:lineRule="auto"/>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Partenaire</w:t>
            </w:r>
          </w:p>
        </w:tc>
        <w:tc>
          <w:tcPr>
            <w:tcW w:type="dxa" w:w="3135"/>
            <w:shd w:val="clear" w:color="auto" w:fill="2C3A4A"/>
          </w:tcPr>
          <w:p>
            <w:pPr>
              <w:ind w:left="85"/>
            </w:pPr>
            <w:r>
              <w:rPr>
                <w:rFonts w:ascii="FreeSerif" w:hAnsi="FreeSerif"/>
                <w:b/>
                <w:color w:val="FFFFFF"/>
                <w:sz w:val="19"/>
              </w:rPr>
              <w:t>Apport</w:t>
            </w:r>
          </w:p>
        </w:tc>
        <w:tc>
          <w:tcPr>
            <w:tcW w:type="dxa" w:w="3135"/>
            <w:shd w:val="clear" w:color="auto" w:fill="2C3A4A"/>
          </w:tcPr>
          <w:p>
            <w:pPr>
              <w:ind w:left="85"/>
            </w:pPr>
            <w:r>
              <w:rPr>
                <w:rFonts w:ascii="FreeSerif" w:hAnsi="FreeSerif"/>
                <w:b/>
                <w:color w:val="FFFFFF"/>
                <w:sz w:val="19"/>
              </w:rPr>
              <w:t>Posture</w:t>
            </w:r>
          </w:p>
        </w:tc>
      </w:tr>
      <w:tr>
        <w:tc>
          <w:tcPr>
            <w:tcW w:type="dxa" w:w="3135"/>
            <w:shd w:val="clear" w:color="auto" w:fill="F4EFE4"/>
          </w:tcPr>
          <w:p>
            <w:pPr>
              <w:ind w:left="85"/>
            </w:pPr>
            <w:r>
              <w:rPr>
                <w:rFonts w:ascii="FreeSerif" w:hAnsi="FreeSerif"/>
                <w:color w:val="3C3C3C"/>
                <w:sz w:val="18"/>
              </w:rPr>
              <w:t>Russie (Africa Corps, ex-Wagner)</w:t>
            </w:r>
          </w:p>
        </w:tc>
        <w:tc>
          <w:tcPr>
            <w:tcW w:type="dxa" w:w="3135"/>
            <w:shd w:val="clear" w:color="auto" w:fill="F4EFE4"/>
          </w:tcPr>
          <w:p>
            <w:pPr>
              <w:ind w:left="85"/>
            </w:pPr>
            <w:r>
              <w:rPr>
                <w:rFonts w:ascii="FreeSerif" w:hAnsi="FreeSerif"/>
                <w:color w:val="3C3C3C"/>
                <w:sz w:val="18"/>
              </w:rPr>
              <w:t>Instructeurs, hélicoptères Mi-8/Mi-35, présence terrain</w:t>
            </w:r>
          </w:p>
        </w:tc>
        <w:tc>
          <w:tcPr>
            <w:tcW w:type="dxa" w:w="3135"/>
            <w:shd w:val="clear" w:color="auto" w:fill="F4EFE4"/>
          </w:tcPr>
          <w:p>
            <w:pPr>
              <w:ind w:left="85"/>
            </w:pPr>
            <w:r>
              <w:rPr>
                <w:rFonts w:ascii="FreeSerif" w:hAnsi="FreeSerif"/>
                <w:color w:val="3C3C3C"/>
                <w:sz w:val="18"/>
              </w:rPr>
              <w:t>Interventionniste, visible</w:t>
            </w:r>
          </w:p>
        </w:tc>
      </w:tr>
      <w:tr>
        <w:tc>
          <w:tcPr>
            <w:tcW w:type="dxa" w:w="3135"/>
            <w:shd w:val="clear" w:color="auto" w:fill="F4EFE4"/>
          </w:tcPr>
          <w:p>
            <w:pPr>
              <w:ind w:left="85"/>
            </w:pPr>
            <w:r>
              <w:rPr>
                <w:rFonts w:ascii="FreeSerif" w:hAnsi="FreeSerif"/>
                <w:color w:val="3C3C3C"/>
                <w:sz w:val="18"/>
              </w:rPr>
              <w:t>Chine</w:t>
            </w:r>
          </w:p>
        </w:tc>
        <w:tc>
          <w:tcPr>
            <w:tcW w:type="dxa" w:w="3135"/>
            <w:shd w:val="clear" w:color="auto" w:fill="F4EFE4"/>
          </w:tcPr>
          <w:p>
            <w:pPr>
              <w:ind w:left="85"/>
            </w:pPr>
            <w:r>
              <w:rPr>
                <w:rFonts w:ascii="FreeSerif" w:hAnsi="FreeSerif"/>
                <w:color w:val="3C3C3C"/>
                <w:sz w:val="18"/>
              </w:rPr>
              <w:t>Infrastructures, surveillance numérique, accords commerciaux</w:t>
            </w:r>
          </w:p>
        </w:tc>
        <w:tc>
          <w:tcPr>
            <w:tcW w:type="dxa" w:w="3135"/>
            <w:shd w:val="clear" w:color="auto" w:fill="F4EFE4"/>
          </w:tcPr>
          <w:p>
            <w:pPr>
              <w:ind w:left="85"/>
            </w:pPr>
            <w:r>
              <w:rPr>
                <w:rFonts w:ascii="FreeSerif" w:hAnsi="FreeSerif"/>
                <w:color w:val="3C3C3C"/>
                <w:sz w:val="18"/>
              </w:rPr>
              <w:t>Moins interventionniste</w:t>
            </w:r>
          </w:p>
        </w:tc>
      </w:tr>
      <w:tr>
        <w:tc>
          <w:tcPr>
            <w:tcW w:type="dxa" w:w="3135"/>
            <w:shd w:val="clear" w:color="auto" w:fill="F4EFE4"/>
          </w:tcPr>
          <w:p>
            <w:pPr>
              <w:ind w:left="85"/>
            </w:pPr>
            <w:r>
              <w:rPr>
                <w:rFonts w:ascii="FreeSerif" w:hAnsi="FreeSerif"/>
                <w:color w:val="3C3C3C"/>
                <w:sz w:val="18"/>
              </w:rPr>
              <w:t>Turquie</w:t>
            </w:r>
          </w:p>
        </w:tc>
        <w:tc>
          <w:tcPr>
            <w:tcW w:type="dxa" w:w="3135"/>
            <w:shd w:val="clear" w:color="auto" w:fill="F4EFE4"/>
          </w:tcPr>
          <w:p>
            <w:pPr>
              <w:ind w:left="85"/>
            </w:pPr>
            <w:r>
              <w:rPr>
                <w:rFonts w:ascii="FreeSerif" w:hAnsi="FreeSerif"/>
                <w:color w:val="3C3C3C"/>
                <w:sz w:val="18"/>
              </w:rPr>
              <w:t>Drones Bayraktar TB2, accords avec le Mali et le Niger</w:t>
            </w:r>
          </w:p>
        </w:tc>
        <w:tc>
          <w:tcPr>
            <w:tcW w:type="dxa" w:w="3135"/>
            <w:shd w:val="clear" w:color="auto" w:fill="F4EFE4"/>
          </w:tcPr>
          <w:p>
            <w:pPr>
              <w:ind w:left="85"/>
            </w:pPr>
            <w:r>
              <w:rPr>
                <w:rFonts w:ascii="FreeSerif" w:hAnsi="FreeSerif"/>
                <w:color w:val="3C3C3C"/>
                <w:sz w:val="18"/>
              </w:rPr>
              <w:t>Discrète, livraison sans condition</w:t>
            </w:r>
          </w:p>
        </w:tc>
      </w:tr>
      <w:tr>
        <w:tc>
          <w:tcPr>
            <w:tcW w:type="dxa" w:w="3135"/>
            <w:shd w:val="clear" w:color="auto" w:fill="F4EFE4"/>
          </w:tcPr>
          <w:p>
            <w:pPr>
              <w:ind w:left="85"/>
            </w:pPr>
            <w:r>
              <w:rPr>
                <w:rFonts w:ascii="FreeSerif" w:hAnsi="FreeSerif"/>
                <w:color w:val="3C3C3C"/>
                <w:sz w:val="18"/>
              </w:rPr>
              <w:t>BRICS</w:t>
            </w:r>
          </w:p>
        </w:tc>
        <w:tc>
          <w:tcPr>
            <w:tcW w:type="dxa" w:w="3135"/>
            <w:shd w:val="clear" w:color="auto" w:fill="F4EFE4"/>
          </w:tcPr>
          <w:p>
            <w:pPr>
              <w:ind w:left="85"/>
            </w:pPr>
            <w:r>
              <w:rPr>
                <w:rFonts w:ascii="FreeSerif" w:hAnsi="FreeSerif"/>
                <w:color w:val="3C3C3C"/>
                <w:sz w:val="18"/>
              </w:rPr>
              <w:t>Délégation à Ouagadougou (juin 2023), six semaines avant la transition nigérienne</w:t>
            </w:r>
          </w:p>
        </w:tc>
        <w:tc>
          <w:tcPr>
            <w:tcW w:type="dxa" w:w="3135"/>
            <w:shd w:val="clear" w:color="auto" w:fill="F4EFE4"/>
          </w:tcPr>
          <w:p>
            <w:pPr>
              <w:ind w:left="85"/>
            </w:pPr>
            <w:r>
              <w:rPr>
                <w:rFonts w:ascii="FreeSerif" w:hAnsi="FreeSerif"/>
                <w:color w:val="3C3C3C"/>
                <w:sz w:val="18"/>
              </w:rPr>
              <w:t>Cadre de rechange</w:t>
            </w:r>
          </w:p>
        </w:tc>
      </w:tr>
    </w:tbl>
    <w:p/>
    <w:p>
      <w:pPr>
        <w:spacing w:before="280" w:after="120"/>
        <w:pBdr>
          <w:bottom w:val="single" w:sz="7" w:space="3" w:color="A07820"/>
        </w:pBdr>
      </w:pPr>
      <w:r>
        <w:rPr>
          <w:rFonts w:ascii="FreeSerif" w:hAnsi="FreeSerif"/>
          <w:b/>
          <w:color w:val="2C3A4A"/>
          <w:sz w:val="22"/>
        </w:rPr>
        <w:t>La Russie: l'allié encombrant et l'argument inattendu</w:t>
      </w:r>
    </w:p>
    <w:p>
      <w:pPr>
        <w:spacing w:line="312" w:lineRule="auto"/>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line="312" w:lineRule="auto"/>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line="312" w:lineRule="auto"/>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line="312" w:lineRule="auto"/>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line="312" w:lineRule="auto"/>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line="312" w:lineRule="auto"/>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line="312" w:lineRule="auto"/>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line="312" w:lineRule="auto"/>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line="312" w:lineRule="auto"/>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line="312" w:lineRule="auto"/>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line="312" w:lineRule="auto"/>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line="312" w:lineRule="auto"/>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line="312" w:lineRule="auto"/>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line="312" w:lineRule="auto"/>
      </w:pPr>
      <w:r>
        <w:rPr>
          <w:rFonts w:ascii="FreeSerif" w:hAnsi="FreeSerif"/>
          <w:sz w:val="22"/>
        </w:rPr>
        <w:t>Un cas hors du continent, mais parfaitement lisible depuis Bamako ou Niamey.</w:t>
      </w:r>
    </w:p>
    <w:p>
      <w:pPr>
        <w:spacing w:line="312" w:lineRule="auto"/>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line="312" w:lineRule="auto"/>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line="312" w:lineRule="auto"/>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line="312" w:lineRule="auto"/>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line="312" w:lineRule="auto"/>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line="312" w:lineRule="auto"/>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line="312" w:lineRule="auto"/>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line="312" w:lineRule="auto"/>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line="312" w:lineRule="auto"/>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line="312" w:lineRule="auto"/>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line="312" w:lineRule="auto"/>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line="312" w:lineRule="auto"/>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line="312" w:lineRule="auto"/>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line="312" w:lineRule="auto"/>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line="312" w:lineRule="auto"/>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line="312" w:lineRule="auto"/>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line="312" w:lineRule="auto"/>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line="312" w:lineRule="auto"/>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line="312" w:lineRule="auto"/>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line="312" w:lineRule="auto"/>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line="312" w:lineRule="auto"/>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line="312" w:lineRule="auto"/>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line="312" w:lineRule="auto"/>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line="312" w:lineRule="auto"/>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line="312" w:lineRule="auto"/>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line="312" w:lineRule="auto"/>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line="312" w:lineRule="auto"/>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line="312" w:lineRule="auto"/>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Chiffre</w:t>
            </w:r>
          </w:p>
        </w:tc>
      </w:tr>
      <w:tr>
        <w:tc>
          <w:tcPr>
            <w:tcW w:type="dxa" w:w="4703"/>
            <w:shd w:val="clear" w:color="auto" w:fill="F4EFE4"/>
          </w:tcPr>
          <w:p>
            <w:pPr>
              <w:ind w:left="85"/>
            </w:pPr>
            <w:r>
              <w:rPr>
                <w:rFonts w:ascii="FreeSerif" w:hAnsi="FreeSerif"/>
                <w:color w:val="3C3C3C"/>
                <w:sz w:val="18"/>
              </w:rPr>
              <w:t>Francophones en 2014</w:t>
            </w:r>
          </w:p>
        </w:tc>
        <w:tc>
          <w:tcPr>
            <w:tcW w:type="dxa" w:w="4703"/>
            <w:shd w:val="clear" w:color="auto" w:fill="F4EFE4"/>
          </w:tcPr>
          <w:p>
            <w:pPr>
              <w:ind w:left="85"/>
            </w:pPr>
            <w:r>
              <w:rPr>
                <w:rFonts w:ascii="FreeSerif" w:hAnsi="FreeSerif"/>
                <w:color w:val="3C3C3C"/>
                <w:sz w:val="18"/>
              </w:rPr>
              <w:t>230 millions</w:t>
            </w:r>
          </w:p>
        </w:tc>
      </w:tr>
      <w:tr>
        <w:tc>
          <w:tcPr>
            <w:tcW w:type="dxa" w:w="4703"/>
            <w:shd w:val="clear" w:color="auto" w:fill="F4EFE4"/>
          </w:tcPr>
          <w:p>
            <w:pPr>
              <w:ind w:left="85"/>
            </w:pPr>
            <w:r>
              <w:rPr>
                <w:rFonts w:ascii="FreeSerif" w:hAnsi="FreeSerif"/>
                <w:color w:val="3C3C3C"/>
                <w:sz w:val="18"/>
              </w:rPr>
              <w:t>Francophones projetés en 2060</w:t>
            </w:r>
          </w:p>
        </w:tc>
        <w:tc>
          <w:tcPr>
            <w:tcW w:type="dxa" w:w="4703"/>
            <w:shd w:val="clear" w:color="auto" w:fill="F4EFE4"/>
          </w:tcPr>
          <w:p>
            <w:pPr>
              <w:ind w:left="85"/>
            </w:pPr>
            <w:r>
              <w:rPr>
                <w:rFonts w:ascii="FreeSerif" w:hAnsi="FreeSerif"/>
                <w:color w:val="3C3C3C"/>
                <w:sz w:val="18"/>
              </w:rPr>
              <w:t>770 millions</w:t>
            </w:r>
          </w:p>
        </w:tc>
      </w:tr>
      <w:tr>
        <w:tc>
          <w:tcPr>
            <w:tcW w:type="dxa" w:w="4703"/>
            <w:shd w:val="clear" w:color="auto" w:fill="F4EFE4"/>
          </w:tcPr>
          <w:p>
            <w:pPr>
              <w:ind w:left="85"/>
            </w:pPr>
            <w:r>
              <w:rPr>
                <w:rFonts w:ascii="FreeSerif" w:hAnsi="FreeSerif"/>
                <w:color w:val="3C3C3C"/>
                <w:sz w:val="18"/>
              </w:rPr>
              <w:t>Part africaine en 2060</w:t>
            </w:r>
          </w:p>
        </w:tc>
        <w:tc>
          <w:tcPr>
            <w:tcW w:type="dxa" w:w="4703"/>
            <w:shd w:val="clear" w:color="auto" w:fill="F4EFE4"/>
          </w:tcPr>
          <w:p>
            <w:pPr>
              <w:ind w:left="85"/>
            </w:pPr>
            <w:r>
              <w:rPr>
                <w:rFonts w:ascii="FreeSerif" w:hAnsi="FreeSerif"/>
                <w:color w:val="3C3C3C"/>
                <w:sz w:val="18"/>
              </w:rPr>
              <w:t>85 %</w:t>
            </w:r>
          </w:p>
        </w:tc>
      </w:tr>
      <w:tr>
        <w:tc>
          <w:tcPr>
            <w:tcW w:type="dxa" w:w="4703"/>
            <w:shd w:val="clear" w:color="auto" w:fill="F4EFE4"/>
          </w:tcPr>
          <w:p>
            <w:pPr>
              <w:ind w:left="85"/>
            </w:pPr>
            <w:r>
              <w:rPr>
                <w:rFonts w:ascii="FreeSerif" w:hAnsi="FreeSerif"/>
                <w:color w:val="3C3C3C"/>
                <w:sz w:val="18"/>
              </w:rPr>
              <w:t>Part de marché France en Afrique francophone (2010)</w:t>
            </w:r>
          </w:p>
        </w:tc>
        <w:tc>
          <w:tcPr>
            <w:tcW w:type="dxa" w:w="4703"/>
            <w:shd w:val="clear" w:color="auto" w:fill="F4EFE4"/>
          </w:tcPr>
          <w:p>
            <w:pPr>
              <w:ind w:left="85"/>
            </w:pPr>
            <w:r>
              <w:rPr>
                <w:rFonts w:ascii="FreeSerif" w:hAnsi="FreeSerif"/>
                <w:color w:val="3C3C3C"/>
                <w:sz w:val="18"/>
              </w:rPr>
              <w:t>11 %</w:t>
            </w:r>
          </w:p>
        </w:tc>
      </w:tr>
      <w:tr>
        <w:tc>
          <w:tcPr>
            <w:tcW w:type="dxa" w:w="4703"/>
            <w:shd w:val="clear" w:color="auto" w:fill="F4EFE4"/>
          </w:tcPr>
          <w:p>
            <w:pPr>
              <w:ind w:left="85"/>
            </w:pPr>
            <w:r>
              <w:rPr>
                <w:rFonts w:ascii="FreeSerif" w:hAnsi="FreeSerif"/>
                <w:color w:val="3C3C3C"/>
                <w:sz w:val="18"/>
              </w:rPr>
              <w:t>Part de marché France en Afrique francophone (2024)</w:t>
            </w:r>
          </w:p>
        </w:tc>
        <w:tc>
          <w:tcPr>
            <w:tcW w:type="dxa" w:w="4703"/>
            <w:shd w:val="clear" w:color="auto" w:fill="F4EFE4"/>
          </w:tcPr>
          <w:p>
            <w:pPr>
              <w:ind w:left="85"/>
            </w:pPr>
            <w:r>
              <w:rPr>
                <w:rFonts w:ascii="FreeSerif" w:hAnsi="FreeSerif"/>
                <w:color w:val="3C3C3C"/>
                <w:sz w:val="18"/>
              </w:rPr>
              <w:t>5,5 %</w:t>
            </w:r>
          </w:p>
        </w:tc>
      </w:tr>
    </w:tbl>
    <w:p/>
    <w:p>
      <w:pPr>
        <w:spacing w:line="312" w:lineRule="auto"/>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line="312" w:lineRule="auto"/>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line="312" w:lineRule="auto"/>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line="312" w:lineRule="auto"/>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line="312" w:lineRule="auto"/>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line="312" w:lineRule="auto"/>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line="312" w:lineRule="auto"/>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line="312" w:lineRule="auto"/>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line="312" w:lineRule="auto"/>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line="312" w:lineRule="auto"/>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line="312" w:lineRule="auto"/>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line="312" w:lineRule="auto"/>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line="312" w:lineRule="auto"/>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line="312" w:lineRule="auto"/>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line="312" w:lineRule="auto"/>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line="312" w:lineRule="auto"/>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line="312" w:lineRule="auto"/>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line="312" w:lineRule="auto"/>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line="312" w:lineRule="auto"/>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line="312" w:lineRule="auto"/>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line="312" w:lineRule="auto"/>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line="312" w:lineRule="auto"/>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line="312" w:lineRule="auto"/>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line="312" w:lineRule="auto"/>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line="312" w:lineRule="auto"/>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line="312" w:lineRule="auto"/>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line="312" w:lineRule="auto"/>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line="312" w:lineRule="auto"/>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line="312" w:lineRule="auto"/>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line="312" w:lineRule="auto"/>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line="312" w:lineRule="auto"/>
      </w:pPr>
      <w:r>
        <w:rPr>
          <w:rFonts w:ascii="FreeSerif" w:hAnsi="FreeSerif"/>
          <w:sz w:val="22"/>
        </w:rPr>
        <w:t>L'INTERVIEW DU 12 MAI, AU CRIBLE DES FAITS</w:t>
      </w:r>
    </w:p>
    <w:p>
      <w:pPr>
        <w:spacing w:line="312" w:lineRule="auto"/>
      </w:pPr>
      <w:r>
        <w:rPr>
          <w:rFonts w:ascii="FreeSerif" w:hAnsi="FreeSerif"/>
          <w:sz w:val="22"/>
        </w:rPr>
        <w:t>« Venue à la demande de Keïta» en 2013: Serval démarre avant l'élection de Keïta; plan Sahel décidé dès 2008-2009 (ch. 15)</w:t>
      </w:r>
    </w:p>
    <w:p>
      <w:pPr>
        <w:spacing w:line="312" w:lineRule="auto"/>
      </w:pPr>
      <w:r>
        <w:rPr>
          <w:rFonts w:ascii="FreeSerif" w:hAnsi="FreeSerif"/>
          <w:sz w:val="22"/>
        </w:rPr>
        <w:t>« Terroristes venus du nord»: armes issues des arsenaux libyens de 2011, ouverts par l'intervention franco-otanienne (ch. 11)</w:t>
      </w:r>
    </w:p>
    <w:p>
      <w:pPr>
        <w:spacing w:line="312" w:lineRule="auto"/>
      </w:pPr>
      <w:r>
        <w:rPr>
          <w:rFonts w:ascii="FreeSerif" w:hAnsi="FreeSerif"/>
          <w:sz w:val="22"/>
        </w:rPr>
        <w:t>Kidal reprochée à la transition: interdite aux FAMa par l'armée française en 2013, reprise par les FAMa en 2023 (ch. 16)</w:t>
      </w:r>
    </w:p>
    <w:p>
      <w:pPr>
        <w:spacing w:line="312" w:lineRule="auto"/>
      </w:pPr>
      <w:r>
        <w:rPr>
          <w:rFonts w:ascii="FreeSerif" w:hAnsi="FreeSerif"/>
          <w:sz w:val="22"/>
        </w:rPr>
        <w:t>« Milices russes préférées à l'antiterrorisme»: c'est le général Burkhard qui range FAMa et Wagner dos à dos (ch. 15)</w:t>
      </w:r>
    </w:p>
    <w:p>
      <w:pPr>
        <w:spacing w:line="312" w:lineRule="auto"/>
      </w:pPr>
      <w:r>
        <w:rPr>
          <w:rFonts w:ascii="FreeSerif" w:hAnsi="FreeSerif"/>
          <w:sz w:val="22"/>
        </w:rPr>
        <w:t>« Ingratitude»: aveu d'un rapport de force perdu; zones jihadistes triplées en sept ans de Barkhane (ch. 13)</w:t>
      </w:r>
    </w:p>
    <w:p>
      <w:pPr>
        <w:spacing w:line="312" w:lineRule="auto"/>
      </w:pPr>
      <w:r>
        <w:rPr>
          <w:rFonts w:ascii="FreeSerif" w:hAnsi="FreeSerif"/>
          <w:sz w:val="22"/>
        </w:rPr>
        <w:t>« Fausses informations»: l'appui ex-légionnaires/GUR confirmé par une source sécuritaire française sur RTL, non démenti (ch. 20)</w:t>
      </w:r>
    </w:p>
    <w:p>
      <w:pPr>
        <w:spacing w:line="312" w:lineRule="auto"/>
      </w:pPr>
      <w:r>
        <w:rPr>
          <w:rFonts w:ascii="FreeSerif" w:hAnsi="FreeSerif"/>
          <w:sz w:val="22"/>
        </w:rPr>
        <w:t>« Partenariat à parité, bases renommées»: définition même de la recomposition; présence française expulsée, non renégociée (ch. 29)</w:t>
      </w:r>
    </w:p>
    <w:p>
      <w:pPr>
        <w:spacing w:line="312" w:lineRule="auto"/>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line="312" w:lineRule="auto"/>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line="312" w:lineRule="auto"/>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line="312" w:lineRule="auto"/>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line="312" w:lineRule="auto"/>
      </w:pPr>
      <w:r>
        <w:rPr>
          <w:rFonts w:ascii="FreeSerif" w:hAnsi="FreeSerif"/>
          <w:sz w:val="22"/>
        </w:rPr>
        <w:t>LE SOMMET D'AFRICA FORWARD, AU CRIBLE DES FAITS</w:t>
      </w:r>
    </w:p>
    <w:p>
      <w:pPr>
        <w:spacing w:line="312" w:lineRule="auto"/>
      </w:pPr>
      <w:r>
        <w:rPr>
          <w:rFonts w:ascii="FreeSerif" w:hAnsi="FreeSerif"/>
          <w:sz w:val="22"/>
        </w:rPr>
        <w:t>Afrique du Sud absente: Ramaphosa désinvité au profit du Kenya, sous pression américaine selon des sources que Paris dément — une puissance qui n'arbitre plus seule</w:t>
      </w:r>
    </w:p>
    <w:p>
      <w:pPr>
        <w:spacing w:line="312" w:lineRule="auto"/>
      </w:pPr>
      <w:r>
        <w:rPr>
          <w:rFonts w:ascii="FreeSerif" w:hAnsi="FreeSerif"/>
          <w:sz w:val="22"/>
        </w:rPr>
        <w:t>« Jamais un pré carré»: la quête d'« États pivots» anglophones avoue le pré carré perdu qu'elle cherche à remplacer</w:t>
      </w:r>
    </w:p>
    <w:p>
      <w:pPr>
        <w:spacing w:line="312" w:lineRule="auto"/>
      </w:pPr>
      <w:r>
        <w:rPr>
          <w:rFonts w:ascii="FreeSerif" w:hAnsi="FreeSerif"/>
          <w:sz w:val="22"/>
        </w:rPr>
        <w:t>« Nous sommes les vrais panafricanistes»: on revendique le mot quand on l'a perdu (Banda Kani; Djerba, 2022)</w:t>
      </w:r>
    </w:p>
    <w:p>
      <w:pPr>
        <w:spacing w:line="312" w:lineRule="auto"/>
      </w:pPr>
      <w:r>
        <w:rPr>
          <w:rFonts w:ascii="FreeSerif" w:hAnsi="FreeSerif"/>
          <w:sz w:val="22"/>
        </w:rPr>
        <w:t>« Ni faire ni défaire les gouvernements depuis 2017»: démenti par Quignolot, Vésilier, les 5 milliards burkinabè, l'armée fantôme (ch. 20)</w:t>
      </w:r>
    </w:p>
    <w:p>
      <w:pPr>
        <w:spacing w:line="312" w:lineRule="auto"/>
      </w:pPr>
      <w:r>
        <w:rPr>
          <w:rFonts w:ascii="FreeSerif" w:hAnsi="FreeSerif"/>
          <w:sz w:val="22"/>
        </w:rPr>
        <w:t>« On aime les peuples, pas les régimes»: le procédé « société civile» de Montpellier 2021, reconduit à l'échelle continentale</w:t>
      </w:r>
    </w:p>
    <w:p>
      <w:pPr>
        <w:spacing w:line="312" w:lineRule="auto"/>
      </w:pPr>
      <w:r>
        <w:rPr>
          <w:rFonts w:ascii="FreeSerif" w:hAnsi="FreeSerif"/>
          <w:sz w:val="22"/>
        </w:rPr>
        <w:t>Loi de restitution des biens culturels: acte réel, mais levier le moins coûteux — n'engage ni le CFA, ni les contrats, ni la guerre proxy</w:t>
      </w:r>
    </w:p>
    <w:p>
      <w:pPr>
        <w:spacing w:line="312" w:lineRule="auto"/>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line="312" w:lineRule="auto"/>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line="312" w:lineRule="auto"/>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line="312" w:lineRule="auto"/>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line="312" w:lineRule="auto"/>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line="312" w:lineRule="auto"/>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line="312" w:lineRule="auto"/>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line="312" w:lineRule="auto"/>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line="312" w:lineRule="auto"/>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line="312" w:lineRule="auto"/>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line="312" w:lineRule="auto"/>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line="312" w:lineRule="auto"/>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line="312" w:lineRule="auto"/>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line="312" w:lineRule="auto"/>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line="312" w:lineRule="auto"/>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line="312" w:lineRule="auto"/>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line="312" w:lineRule="auto"/>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line="312" w:lineRule="auto"/>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line="312" w:lineRule="auto"/>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line="312" w:lineRule="auto"/>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line="312" w:lineRule="auto"/>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line="312" w:lineRule="auto"/>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line="312" w:lineRule="auto"/>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line="312" w:lineRule="auto"/>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line="312" w:lineRule="auto"/>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line="312" w:lineRule="auto"/>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line="312" w:lineRule="auto"/>
      </w:pPr>
      <w:r>
        <w:rPr>
          <w:rFonts w:ascii="FreeSerif" w:hAnsi="FreeSerif"/>
          <w:sz w:val="22"/>
        </w:rPr>
        <w:t>L'AES ne rompt pas avec l'idée d'une organisation continentale. Elle rompt avec une organisation qui a trahi cette idée. Le constat mérite d'être étayé, pas seulement affirmé.</w:t>
      </w:r>
    </w:p>
    <w:p>
      <w:pPr>
        <w:spacing w:line="312" w:lineRule="auto"/>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line="312" w:lineRule="auto"/>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line="312" w:lineRule="auto"/>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line="312" w:lineRule="auto"/>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line="312" w:lineRule="auto"/>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line="312" w:lineRule="auto"/>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line="312" w:lineRule="auto"/>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line="312" w:lineRule="auto"/>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line="312" w:lineRule="auto"/>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Fait documenté</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color w:val="3C3C3C"/>
                <w:sz w:val="18"/>
              </w:rPr>
              <w:t>Rapport NSSM-200 / Kissinger (1974)</w:t>
            </w:r>
          </w:p>
        </w:tc>
        <w:tc>
          <w:tcPr>
            <w:tcW w:type="dxa" w:w="4703"/>
            <w:shd w:val="clear" w:color="auto" w:fill="F4EFE4"/>
          </w:tcPr>
          <w:p>
            <w:pPr>
              <w:ind w:left="85"/>
            </w:pPr>
            <w:r>
              <w:rPr>
                <w:rFonts w:ascii="FreeSerif" w:hAnsi="FreeSerif"/>
                <w:color w:val="3C3C3C"/>
                <w:sz w:val="18"/>
              </w:rPr>
              <w:t>Lie démographie du Sud à la sécurité et aux matières premières des USA</w:t>
            </w:r>
          </w:p>
        </w:tc>
      </w:tr>
      <w:tr>
        <w:tc>
          <w:tcPr>
            <w:tcW w:type="dxa" w:w="4703"/>
            <w:shd w:val="clear" w:color="auto" w:fill="F4EFE4"/>
          </w:tcPr>
          <w:p>
            <w:pPr>
              <w:ind w:left="85"/>
            </w:pPr>
            <w:r>
              <w:rPr>
                <w:rFonts w:ascii="FreeSerif" w:hAnsi="FreeSerif"/>
                <w:color w:val="3C3C3C"/>
                <w:sz w:val="18"/>
              </w:rPr>
              <w:t>Stérilisations forcées au Pérou, années 1990</w:t>
            </w:r>
          </w:p>
        </w:tc>
        <w:tc>
          <w:tcPr>
            <w:tcW w:type="dxa" w:w="4703"/>
            <w:shd w:val="clear" w:color="auto" w:fill="F4EFE4"/>
          </w:tcPr>
          <w:p>
            <w:pPr>
              <w:ind w:left="85"/>
            </w:pPr>
            <w:r>
              <w:rPr>
                <w:rFonts w:ascii="FreeSerif" w:hAnsi="FreeSerif"/>
                <w:color w:val="3C3C3C"/>
                <w:sz w:val="18"/>
              </w:rPr>
              <w:t>~270 000 femmes, majoritairement indigènes, sous Fujimori</w:t>
            </w:r>
          </w:p>
        </w:tc>
      </w:tr>
      <w:tr>
        <w:tc>
          <w:tcPr>
            <w:tcW w:type="dxa" w:w="4703"/>
            <w:shd w:val="clear" w:color="auto" w:fill="F4EFE4"/>
          </w:tcPr>
          <w:p>
            <w:pPr>
              <w:ind w:left="85"/>
            </w:pPr>
            <w:r>
              <w:rPr>
                <w:rFonts w:ascii="FreeSerif" w:hAnsi="FreeSerif"/>
                <w:color w:val="3C3C3C"/>
                <w:sz w:val="18"/>
              </w:rPr>
              <w:t>Discours occidental sur la « bombe démographique » africaine</w:t>
            </w:r>
          </w:p>
        </w:tc>
        <w:tc>
          <w:tcPr>
            <w:tcW w:type="dxa" w:w="4703"/>
            <w:shd w:val="clear" w:color="auto" w:fill="F4EFE4"/>
          </w:tcPr>
          <w:p>
            <w:pPr>
              <w:ind w:left="85"/>
            </w:pPr>
            <w:r>
              <w:rPr>
                <w:rFonts w:ascii="FreeSerif" w:hAnsi="FreeSerif"/>
                <w:color w:val="3C3C3C"/>
                <w:sz w:val="18"/>
              </w:rPr>
              <w:t>Récurrent dans les institutions internationales</w:t>
            </w:r>
          </w:p>
        </w:tc>
      </w:tr>
      <w:tr>
        <w:tc>
          <w:tcPr>
            <w:tcW w:type="dxa" w:w="4703"/>
            <w:shd w:val="clear" w:color="auto" w:fill="F4EFE4"/>
          </w:tcPr>
          <w:p>
            <w:pPr>
              <w:ind w:left="85"/>
            </w:pPr>
            <w:r>
              <w:rPr>
                <w:rFonts w:ascii="FreeSerif" w:hAnsi="FreeSerif"/>
                <w:color w:val="3C3C3C"/>
                <w:sz w:val="18"/>
              </w:rPr>
              <w:t>Financement étranger massif du planning familial en Afrique</w:t>
            </w:r>
          </w:p>
        </w:tc>
        <w:tc>
          <w:tcPr>
            <w:tcW w:type="dxa" w:w="4703"/>
            <w:shd w:val="clear" w:color="auto" w:fill="F4EFE4"/>
          </w:tcPr>
          <w:p>
            <w:pPr>
              <w:ind w:left="85"/>
            </w:pPr>
            <w:r>
              <w:rPr>
                <w:rFonts w:ascii="FreeSerif" w:hAnsi="FreeSerif"/>
                <w:color w:val="3C3C3C"/>
                <w:sz w:val="18"/>
              </w:rPr>
              <w:t>Programmes pilotés et financés depuis l'extérieur du continent</w:t>
            </w:r>
          </w:p>
        </w:tc>
      </w:tr>
    </w:tbl>
    <w:p/>
    <w:p>
      <w:pPr>
        <w:spacing w:line="312" w:lineRule="auto"/>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line="312" w:lineRule="auto"/>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line="312" w:lineRule="auto"/>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line="312" w:lineRule="auto"/>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line="312" w:lineRule="auto"/>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line="312" w:lineRule="auto"/>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line="312" w:lineRule="auto"/>
      </w:pPr>
      <w:r>
        <w:rPr>
          <w:rFonts w:ascii="FreeSerif" w:hAnsi="FreeSerif"/>
          <w:sz w:val="22"/>
        </w:rPr>
        <w:t>L'arrachement a eu lieu. La consolidation reste à faire, et ses critères sont désormais posés, noir sur blanc, vérifiables par quiconque — amis comme adversaires.</w:t>
      </w:r>
    </w:p>
    <w:p>
      <w:pPr>
        <w:spacing w:line="312" w:lineRule="auto"/>
      </w:pPr>
      <w:r>
        <w:rPr>
          <w:rFonts w:ascii="FreeSerif" w:hAnsi="FreeSerif"/>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line="312" w:lineRule="auto"/>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line="312" w:lineRule="auto"/>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line="312" w:lineRule="auto"/>
      </w:pPr>
      <w:r>
        <w:rPr>
          <w:rFonts w:ascii="FreeSerif" w:hAnsi="FreeSerif"/>
          <w:i/>
          <w:sz w:val="22"/>
        </w:rPr>
        <w:t>La paix, on peut l'éviter.</w:t>
      </w:r>
    </w:p>
    <w:p>
      <w:pPr>
        <w:spacing w:line="312" w:lineRule="auto"/>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line="312" w:lineRule="auto"/>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line="312" w:lineRule="auto"/>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line="312" w:lineRule="auto"/>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line="312" w:lineRule="auto"/>
      </w:pPr>
      <w:r>
        <w:rPr>
          <w:rFonts w:ascii="FreeSerif" w:hAnsi="FreeSerif"/>
          <w:sz w:val="22"/>
        </w:rPr>
        <w:t>La première leçon de ces trois années est simple: les peuples ne oublient pas. Ils attendent.</w:t>
      </w:r>
    </w:p>
    <w:p>
      <w:pPr>
        <w:spacing w:line="312" w:lineRule="auto"/>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line="312" w:lineRule="auto"/>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line="312" w:lineRule="auto"/>
      </w:pPr>
      <w:r>
        <w:rPr>
          <w:rFonts w:ascii="FreeSerif" w:hAnsi="FreeSerif"/>
          <w:sz w:val="22"/>
        </w:rPr>
        <w:t>La deuxième leçon concerne une femme de Tonka dont la plupart des Occidentaux n'ont jamais entendu le nom.</w:t>
      </w:r>
    </w:p>
    <w:p>
      <w:pPr>
        <w:spacing w:line="312" w:lineRule="auto"/>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line="312" w:lineRule="auto"/>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line="312" w:lineRule="auto"/>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L'architecture de la rupture</w:t>
      </w:r>
    </w:p>
    <w:p>
      <w:pPr>
        <w:spacing w:line="312" w:lineRule="auto"/>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line="312" w:lineRule="auto"/>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line="312" w:lineRule="auto"/>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line="312" w:lineRule="auto"/>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Ce que Macron a dit sans le vouloir</w:t>
      </w:r>
    </w:p>
    <w:p>
      <w:pPr>
        <w:spacing w:line="312" w:lineRule="auto"/>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line="312" w:lineRule="auto"/>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line="312" w:lineRule="auto"/>
      </w:pPr>
      <w:r>
        <w:rPr>
          <w:rFonts w:ascii="FreeSerif" w:hAnsi="FreeSerif"/>
          <w:sz w:val="22"/>
        </w:rPr>
        <w:t>Il ne s'en est pas rendu compte. Il parlait d'avenir commun et de partenariat rénové. Il disait, sans le savoir, que le rapport de dépendance a changé de direction.</w:t>
      </w:r>
    </w:p>
    <w:p>
      <w:pPr>
        <w:spacing w:line="312" w:lineRule="auto"/>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La villa est vide. La phrase, non.</w:t>
      </w:r>
    </w:p>
    <w:p>
      <w:pPr>
        <w:spacing w:line="312" w:lineRule="auto"/>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line="312" w:lineRule="auto"/>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line="312" w:lineRule="auto"/>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line="312" w:lineRule="auto"/>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line="312" w:lineRule="auto"/>
      </w:pPr>
      <w:r>
        <w:rPr>
          <w:rFonts w:ascii="FreeSerif" w:hAnsi="FreeSerif"/>
          <w:sz w:val="22"/>
        </w:rPr>
        <w:t xml:space="preserve">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line="312" w:lineRule="auto"/>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line="312" w:lineRule="auto"/>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line="312" w:lineRule="auto"/>
      </w:pPr>
      <w:r>
        <w:rPr>
          <w:rFonts w:ascii="FreeSerif" w:hAnsi="FreeSerif"/>
          <w:sz w:val="22"/>
        </w:rPr>
        <w:t>La villa de Niamey est vide. La phrase est morte avec le projet qui l'avait inventée.</w:t>
      </w:r>
    </w:p>
    <w:p>
      <w:pPr>
        <w:spacing w:line="312" w:lineRule="auto"/>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line="312" w:lineRule="auto"/>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line="312" w:lineRule="auto"/>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line="312" w:lineRule="auto"/>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line="312" w:lineRule="auto"/>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line="312" w:lineRule="auto"/>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line="312" w:lineRule="auto"/>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line="312" w:lineRule="auto"/>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line="312" w:lineRule="auto"/>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line="312" w:lineRule="auto"/>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line="312" w:lineRule="auto"/>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line="312" w:lineRule="auto"/>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line="312" w:lineRule="auto"/>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line="312" w:lineRule="auto"/>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line="312" w:lineRule="auto"/>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line="312" w:lineRule="auto"/>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line="312" w:lineRule="auto"/>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line="312" w:lineRule="auto"/>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line="312" w:lineRule="auto"/>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line="312" w:lineRule="auto"/>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line="312" w:lineRule="auto"/>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line="312" w:lineRule="auto"/>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line="312" w:lineRule="auto"/>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line="312" w:lineRule="auto"/>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line="312" w:lineRule="auto"/>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line="312" w:lineRule="auto"/>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line="312" w:lineRule="auto"/>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line="312" w:lineRule="auto"/>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line="312" w:lineRule="auto"/>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line="312" w:lineRule="auto"/>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line="312" w:lineRule="auto"/>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line="312" w:lineRule="auto"/>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line="312" w:lineRule="auto"/>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line="312" w:lineRule="auto"/>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line="312" w:lineRule="auto"/>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line="312" w:lineRule="auto"/>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line="312" w:lineRule="auto"/>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line="312" w:lineRule="auto"/>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line="312" w:lineRule="auto"/>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line="312" w:lineRule="auto"/>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line="312" w:lineRule="auto"/>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line="312" w:lineRule="auto"/>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line="312" w:lineRule="auto"/>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line="312" w:lineRule="auto"/>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line="312" w:lineRule="auto"/>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line="312" w:lineRule="auto"/>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line="312" w:lineRule="auto"/>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line="312" w:lineRule="auto"/>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line="312" w:lineRule="auto"/>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line="312" w:lineRule="auto"/>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line="312" w:lineRule="auto"/>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line="312" w:lineRule="auto"/>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line="312" w:lineRule="auto"/>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line="312" w:lineRule="auto"/>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line="312" w:lineRule="auto"/>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line="312" w:lineRule="auto"/>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line="312" w:lineRule="auto"/>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line="312" w:lineRule="auto"/>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line="312" w:lineRule="auto"/>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line="312" w:lineRule="auto"/>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line="312" w:lineRule="auto"/>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line="312" w:lineRule="auto"/>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line="312" w:lineRule="auto"/>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line="312" w:lineRule="auto"/>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line="312" w:lineRule="auto"/>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line="312" w:lineRule="auto"/>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line="312" w:lineRule="auto"/>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line="312" w:lineRule="auto"/>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line="312" w:lineRule="auto"/>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line="312" w:lineRule="auto"/>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line="312" w:lineRule="auto"/>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line="312" w:lineRule="auto"/>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line="312" w:lineRule="auto"/>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line="312" w:lineRule="auto"/>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line="312" w:lineRule="auto"/>
      </w:pPr>
      <w:r>
        <w:rPr>
          <w:rFonts w:ascii="FreeSerif" w:hAnsi="FreeSerif"/>
          <w:sz w:val="22"/>
        </w:rPr>
        <w:t>Les renvois indiquent les chapitres où chaque figure est citée ou analysée.</w:t>
      </w:r>
    </w:p>
    <w:p>
      <w:pPr>
        <w:spacing w:line="312" w:lineRule="auto"/>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line="312" w:lineRule="auto"/>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line="312" w:lineRule="auto"/>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line="312" w:lineRule="auto"/>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line="312" w:lineRule="auto"/>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line="312" w:lineRule="auto"/>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line="312" w:lineRule="auto"/>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line="312" w:lineRule="auto"/>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line="312" w:lineRule="auto"/>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line="312" w:lineRule="auto"/>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line="312" w:lineRule="auto"/>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line="312" w:lineRule="auto"/>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line="312" w:lineRule="auto"/>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line="312" w:lineRule="auto"/>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line="312" w:lineRule="auto"/>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line="312" w:lineRule="auto"/>
      </w:pPr>
      <w:r>
        <w:rPr>
          <w:rFonts w:ascii="FreeSerif" w:hAnsi="FreeSerif"/>
          <w:b/>
          <w:sz w:val="22"/>
        </w:rPr>
        <w:t>Cissé, Boubou</w:t>
      </w:r>
      <w:r>
        <w:rPr>
          <w:rFonts w:ascii="FreeSerif" w:hAnsi="FreeSerif"/>
          <w:sz w:val="22"/>
        </w:rPr>
        <w:t xml:space="preserve"> — ancien Premier ministre du Mali, opposant à la transition. ch. 10, ch. 16.</w:t>
      </w:r>
    </w:p>
    <w:p>
      <w:pPr>
        <w:spacing w:line="312" w:lineRule="auto"/>
      </w:pPr>
      <w:r>
        <w:rPr>
          <w:rFonts w:ascii="FreeSerif" w:hAnsi="FreeSerif"/>
          <w:b/>
          <w:sz w:val="22"/>
        </w:rPr>
        <w:t>Cissé, Mariam</w:t>
      </w:r>
      <w:r>
        <w:rPr>
          <w:rFonts w:ascii="FreeSerif" w:hAnsi="FreeSerif"/>
          <w:sz w:val="22"/>
        </w:rPr>
        <w:t xml:space="preserve"> — blogueuse malienne assassinée par le JNIM. ch. 24, ch. 26.</w:t>
      </w:r>
    </w:p>
    <w:p>
      <w:pPr>
        <w:spacing w:line="312" w:lineRule="auto"/>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line="312" w:lineRule="auto"/>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line="312" w:lineRule="auto"/>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line="312" w:lineRule="auto"/>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line="312" w:lineRule="auto"/>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line="312" w:lineRule="auto"/>
      </w:pPr>
      <w:r>
        <w:rPr>
          <w:rFonts w:ascii="FreeSerif" w:hAnsi="FreeSerif"/>
          <w:b/>
          <w:sz w:val="22"/>
        </w:rPr>
        <w:t>Doumbouya, Mamadi</w:t>
      </w:r>
      <w:r>
        <w:rPr>
          <w:rFonts w:ascii="FreeSerif" w:hAnsi="FreeSerif"/>
          <w:sz w:val="22"/>
        </w:rPr>
        <w:t xml:space="preserve"> — président de transition de la Guinée. ch. 15, ch. 29.</w:t>
      </w:r>
    </w:p>
    <w:p>
      <w:pPr>
        <w:spacing w:line="312" w:lineRule="auto"/>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line="312" w:lineRule="auto"/>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line="312" w:lineRule="auto"/>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line="312" w:lineRule="auto"/>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line="312" w:lineRule="auto"/>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line="312" w:lineRule="auto"/>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line="312" w:lineRule="auto"/>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line="312" w:lineRule="auto"/>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line="312" w:lineRule="auto"/>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line="312" w:lineRule="auto"/>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line="312" w:lineRule="auto"/>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line="312" w:lineRule="auto"/>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line="312" w:lineRule="auto"/>
      </w:pPr>
      <w:r>
        <w:rPr>
          <w:rFonts w:ascii="FreeSerif" w:hAnsi="FreeSerif"/>
          <w:b/>
          <w:sz w:val="22"/>
        </w:rPr>
        <w:t>Keïta, Ibrahim Boubacar (IBK)</w:t>
      </w:r>
      <w:r>
        <w:rPr>
          <w:rFonts w:ascii="FreeSerif" w:hAnsi="FreeSerif"/>
          <w:sz w:val="22"/>
        </w:rPr>
        <w:t xml:space="preserve"> — président du Mali renversé en août 2020. ch. 16, ch. 25.</w:t>
      </w:r>
    </w:p>
    <w:p>
      <w:pPr>
        <w:spacing w:line="312" w:lineRule="auto"/>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line="312" w:lineRule="auto"/>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line="312" w:lineRule="auto"/>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line="312" w:lineRule="auto"/>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line="312" w:lineRule="auto"/>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line="312" w:lineRule="auto"/>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line="312" w:lineRule="auto"/>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line="312" w:lineRule="auto"/>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line="312" w:lineRule="auto"/>
      </w:pPr>
      <w:r>
        <w:rPr>
          <w:rFonts w:ascii="FreeSerif" w:hAnsi="FreeSerif"/>
          <w:b/>
          <w:sz w:val="22"/>
        </w:rPr>
        <w:t>Medvedev, Dmitri</w:t>
      </w:r>
      <w:r>
        <w:rPr>
          <w:rFonts w:ascii="FreeSerif" w:hAnsi="FreeSerif"/>
          <w:sz w:val="22"/>
        </w:rPr>
        <w:t xml:space="preserve"> — responsable russe, dénonciateur du franc CFA à l'UNESCO. ch. 11, ch. 29.</w:t>
      </w:r>
    </w:p>
    <w:p>
      <w:pPr>
        <w:spacing w:line="312" w:lineRule="auto"/>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line="312" w:lineRule="auto"/>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line="312" w:lineRule="auto"/>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line="312" w:lineRule="auto"/>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line="312" w:lineRule="auto"/>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line="312" w:lineRule="auto"/>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line="312" w:lineRule="auto"/>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line="312" w:lineRule="auto"/>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line="312" w:lineRule="auto"/>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line="312" w:lineRule="auto"/>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line="312" w:lineRule="auto"/>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line="312" w:lineRule="auto"/>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line="312" w:lineRule="auto"/>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line="312" w:lineRule="auto"/>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line="312" w:lineRule="auto"/>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line="312" w:lineRule="auto"/>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line="312" w:lineRule="auto"/>
      </w:pPr>
      <w:r>
        <w:rPr>
          <w:rFonts w:ascii="FreeSerif" w:hAnsi="FreeSerif"/>
          <w:b/>
          <w:sz w:val="22"/>
        </w:rPr>
        <w:t>Talon, Patrice</w:t>
      </w:r>
      <w:r>
        <w:rPr>
          <w:rFonts w:ascii="FreeSerif" w:hAnsi="FreeSerif"/>
          <w:sz w:val="22"/>
        </w:rPr>
        <w:t xml:space="preserve"> — président du Bénin. ch. 9, ch. 10, ch. 20.</w:t>
      </w:r>
    </w:p>
    <w:p>
      <w:pPr>
        <w:spacing w:line="312" w:lineRule="auto"/>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line="312" w:lineRule="auto"/>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line="312" w:lineRule="auto"/>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line="312" w:lineRule="auto"/>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line="312" w:lineRule="auto"/>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line="312" w:lineRule="auto"/>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line="312" w:lineRule="auto"/>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line="312" w:lineRule="auto"/>
      </w:pPr>
      <w:r>
        <w:rPr>
          <w:rFonts w:ascii="FreeSerif" w:hAnsi="FreeSerif"/>
          <w:sz w:val="22"/>
        </w:rPr>
        <w:t>Ce livre repose sur un corpus de plus de 130 sources couvrant la période 2013-2026.</w:t>
      </w:r>
    </w:p>
    <w:p>
      <w:pPr>
        <w:spacing w:line="312" w:lineRule="auto"/>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line="312" w:lineRule="auto"/>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line="312" w:lineRule="auto"/>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line="312" w:lineRule="auto"/>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line="312" w:lineRule="auto"/>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line="312" w:lineRule="auto"/>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line="312" w:lineRule="auto"/>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line="312" w:lineRule="auto"/>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line="312" w:lineRule="auto"/>
      </w:pPr>
      <w:r>
        <w:rPr>
          <w:rFonts w:ascii="FreeSerif" w:hAnsi="FreeSerif"/>
          <w:b/>
          <w:sz w:val="22"/>
        </w:rPr>
        <w:t>Le Monde</w:t>
      </w:r>
      <w:r>
        <w:rPr>
          <w:rFonts w:ascii="FreeSerif" w:hAnsi="FreeSerif"/>
          <w:sz w:val="22"/>
        </w:rPr>
        <w:t xml:space="preserve"> / Jérémie Baruch (10 avril 2018) — affaire Elf.</w:t>
      </w:r>
    </w:p>
    <w:p>
      <w:pPr>
        <w:spacing w:line="312" w:lineRule="auto"/>
      </w:pPr>
      <w:r>
        <w:rPr>
          <w:rFonts w:ascii="FreeSerif" w:hAnsi="FreeSerif"/>
          <w:b/>
          <w:sz w:val="22"/>
        </w:rPr>
        <w:t>Le Parisien</w:t>
      </w:r>
      <w:r>
        <w:rPr>
          <w:rFonts w:ascii="FreeSerif" w:hAnsi="FreeSerif"/>
          <w:sz w:val="22"/>
        </w:rPr>
        <w:t xml:space="preserve"> / Ronan Folgoas (21 mai 2023) — affaire Quignolot, cellule Afrique de l'Élysée.</w:t>
      </w:r>
    </w:p>
    <w:p>
      <w:pPr>
        <w:spacing w:line="312" w:lineRule="auto"/>
      </w:pPr>
      <w:r>
        <w:rPr>
          <w:rFonts w:ascii="FreeSerif" w:hAnsi="FreeSerif"/>
          <w:b/>
          <w:sz w:val="22"/>
        </w:rPr>
        <w:t>France Inter</w:t>
      </w:r>
      <w:r>
        <w:rPr>
          <w:rFonts w:ascii="FreeSerif" w:hAnsi="FreeSerif"/>
          <w:sz w:val="22"/>
        </w:rPr>
        <w:t xml:space="preserve"> / Élodie Guéguen (26 mai 2023) — groupe Castel, parquet antiterroriste.</w:t>
      </w:r>
    </w:p>
    <w:p>
      <w:pPr>
        <w:spacing w:line="312" w:lineRule="auto"/>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line="312" w:lineRule="auto"/>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line="312" w:lineRule="auto"/>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line="312" w:lineRule="auto"/>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line="312" w:lineRule="auto"/>
      </w:pPr>
      <w:r>
        <w:rPr>
          <w:rFonts w:ascii="FreeSerif" w:hAnsi="FreeSerif"/>
          <w:sz w:val="22"/>
        </w:rPr>
        <w:t>Ces sources sont des adversaires déclarés dans le conflit décrit par ce livre. Elles sont citées précisément parce qu'elles confirment malgré elles ce que ce livre affirme.</w:t>
      </w:r>
    </w:p>
    <w:p>
      <w:pPr>
        <w:spacing w:line="312" w:lineRule="auto"/>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line="312" w:lineRule="auto"/>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line="312" w:lineRule="auto"/>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line="312" w:lineRule="auto"/>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line="312" w:lineRule="auto"/>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line="312" w:lineRule="auto"/>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line="312" w:lineRule="auto"/>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line="312" w:lineRule="auto"/>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line="312" w:lineRule="auto"/>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line="312" w:lineRule="auto"/>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line="312" w:lineRule="auto"/>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line="312" w:lineRule="auto"/>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line="312" w:lineRule="auto"/>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line="312" w:lineRule="auto"/>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line="312" w:lineRule="auto"/>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line="312" w:lineRule="auto"/>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line="312" w:lineRule="auto"/>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line="312" w:lineRule="auto"/>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line="312" w:lineRule="auto"/>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line="312" w:lineRule="auto"/>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line="312" w:lineRule="auto"/>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line="312" w:lineRule="auto"/>
      </w:pPr>
      <w:r>
        <w:rPr>
          <w:rFonts w:ascii="FreeSerif" w:hAnsi="FreeSerif"/>
          <w:sz w:val="22"/>
        </w:rPr>
        <w:t>Ces documents sont les paroles des acteurs du changement — non filtrées, non réinterprétées par des chancelleries qui ont intérêt à les déformer.</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line="312" w:lineRule="auto"/>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line="312" w:lineRule="auto"/>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sectPr w:rsidR="00FC693F" w:rsidRPr="0006063C" w:rsidSect="00034616">
      <w:headerReference w:type="default" r:id="rId9"/>
      <w:foot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12"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