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RCA en fait l'expérience par quatre voies simultanées: les armes orphelines du SPEAR, le territoire monnayé pour les déportés américains, la plainte CPI comme arme juridique, et la diaspora de France comme levier financier de déstabilisation électorale.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triple pression américaine et néocoloniale — SPEAR, déportés, CPI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