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60"/>
        <w:ind w:firstLine="567"/>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Ce n'est plus une thèse. C'est une évidence que même ses auteurs ne peuvent plus taire.</w:t>
      </w:r>
    </w:p>
    <w:p>
      <w:pPr>
        <w:spacing w:after="60"/>
        <w:ind w:firstLine="567"/>
      </w:pPr>
      <w:r>
        <w:rPr>
          <w:rFonts w:ascii="FreeSerif" w:hAnsi="FreeSerif"/>
          <w:sz w:val="22"/>
        </w:rPr>
        <w:t>Sur les points les plus importants de ce livre, c'est très souvent l'adversaire qui confirme. Quelques exemples : 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60"/>
        <w:ind w:firstLine="567"/>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60"/>
        <w:ind w:firstLine="567"/>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Sur les institutions internationales :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60"/>
        <w:ind w:firstLine="567"/>
      </w:pPr>
      <w:r>
        <w:rPr>
          <w:rFonts w:ascii="FreeSerif" w:hAnsi="FreeSerif"/>
          <w:sz w:val="22"/>
        </w:rPr>
        <w:t>Les termes « terroriste », « jihadiste », « djihadiste » sont utilisés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60"/>
        <w:ind w:firstLine="567"/>
      </w:pPr>
      <w:r>
        <w:rPr>
          <w:rFonts w:ascii="FreeSerif" w:hAnsi="FreeSerif"/>
          <w:sz w:val="22"/>
        </w:rPr>
        <w:t>Certaines affirmations fortes reposent sur une source unique : le texte les présente alors au conditionnel et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60"/>
        <w:ind w:firstLine="567"/>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n'est pas</w:t>
      </w:r>
    </w:p>
    <w:p>
      <w:pPr>
        <w:spacing w:after="6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60"/>
        <w:ind w:firstLine="567"/>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after="60"/>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60"/>
        <w:ind w:firstLine="567"/>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méthode de ce livre</w:t>
      </w:r>
    </w:p>
    <w:p>
      <w:pPr>
        <w:spacing w:after="6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60"/>
        <w:ind w:firstLine="567"/>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60"/>
        <w:ind w:firstLine="567"/>
      </w:pPr>
      <w:r>
        <w:rPr>
          <w:rFonts w:ascii="FreeSerif" w:hAnsi="FreeSerif"/>
          <w:sz w:val="22"/>
        </w:rPr>
        <w:t>Un Sahel qui fut, des siècles durant, un centre du monde. Ce n'est pas de la nostalgie.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60"/>
        <w:ind w:firstLine="567"/>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au contraire,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60"/>
        <w:ind w:firstLine="567"/>
      </w:pPr>
      <w:r>
        <w:rPr>
          <w:rFonts w:ascii="FreeSerif" w:hAnsi="FreeSerif"/>
          <w:sz w:val="22"/>
        </w:rPr>
        <w:t>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after="60"/>
        <w:ind w:firstLine="567"/>
      </w:pPr>
      <w:r>
        <w:rPr>
          <w:rFonts w:ascii="FreeSerif" w:hAnsi="FreeSerif"/>
          <w:sz w:val="22"/>
        </w:rPr>
        <w:t>Ces empires sont absents des manuels scolaires africains postcoloniaux, rédigés sur le modèle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Date</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Étape</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Élément</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Indicateur</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20 %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0,80 €/kg</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200 $/kg</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Niveau</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Terme officiel</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Indicateur</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Projet</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Ce qui s'est déversé vers le Sahel</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Réalité des corridors transsahariens</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after="60"/>
        <w:ind w:firstLine="567"/>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Indicateur</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sont exterminées en cent jours. Le génocide le plus rapide du XXe siècle. Et la France en était complice — non par inaction, mais par engagement actif. La </w:t>
      </w:r>
      <w:r>
        <w:rPr>
          <w:rFonts w:ascii="FreeSerif" w:hAnsi="FreeSerif"/>
          <w:b/>
          <w:sz w:val="22"/>
        </w:rPr>
        <w:t>Commission Duclert</w:t>
      </w:r>
      <w:r>
        <w:rPr>
          <w:rFonts w:ascii="FreeSerif" w:hAnsi="FreeSerif"/>
          <w:sz w:val="22"/>
        </w:rPr>
        <w:t xml:space="preserve">, mandatée par l'Élysée lui-même, l'a reconnu en 2021 : « </w:t>
      </w:r>
      <w:r>
        <w:rPr>
          <w:rFonts w:ascii="FreeSerif" w:hAnsi="FreeSerif"/>
          <w:b/>
          <w:sz w:val="22"/>
        </w:rPr>
        <w:t>responsabilités lourdes et accablantes</w:t>
      </w:r>
      <w:r>
        <w:rPr>
          <w:rFonts w:ascii="FreeSerif" w:hAnsi="FreeSerif"/>
          <w:sz w:val="22"/>
        </w:rPr>
        <w:t xml:space="preserve"> » de l'État français.</w:t>
      </w:r>
    </w:p>
    <w:p>
      <w:pPr>
        <w:spacing w:after="60"/>
        <w:ind w:firstLine="567"/>
      </w:pPr>
      <w:r>
        <w:rPr>
          <w:rFonts w:ascii="FreeSerif" w:hAnsi="FreeSerif"/>
          <w:sz w:val="22"/>
        </w:rPr>
        <w:t>Depuis 1990, Paris soutient le régime Habyarimana — dictateur francophone, adopté par la famille franco-africaine. Opération Noroît, livraisons d'armes aux FAR, blocage militaire de l'offensive FPR en février 1993 — sans la France, le régime aurait peut-être chuté un an avant le génocide. L'ambassade française soutient ensuite la formation du gouvernement intérimaire génocidaire le 6 avril 1994, le jour même où commence le massacre.</w:t>
      </w:r>
    </w:p>
    <w:p>
      <w:pPr>
        <w:spacing w:after="60"/>
        <w:ind w:firstLine="567"/>
      </w:pPr>
      <w:r>
        <w:rPr>
          <w:rFonts w:ascii="FreeSerif" w:hAnsi="FreeSerif"/>
          <w:sz w:val="22"/>
        </w:rPr>
        <w:t>L'</w:t>
      </w:r>
      <w:r>
        <w:rPr>
          <w:rFonts w:ascii="FreeSerif" w:hAnsi="FreeSerif"/>
          <w:b/>
          <w:sz w:val="22"/>
        </w:rPr>
        <w:t>opération Amaryllis</w:t>
      </w:r>
      <w:r>
        <w:rPr>
          <w:rFonts w:ascii="FreeSerif" w:hAnsi="FreeSerif"/>
          <w:sz w:val="22"/>
        </w:rPr>
        <w:t xml:space="preserve"> évacue les ressortissants français et des dignitaires hutus extrémistes. Les employés tutsis des Français sont laissés sur le tarmac, livrés aux machettes. L'</w:t>
      </w:r>
      <w:r>
        <w:rPr>
          <w:rFonts w:ascii="FreeSerif" w:hAnsi="FreeSerif"/>
          <w:b/>
          <w:sz w:val="22"/>
        </w:rPr>
        <w:t>opération Turquoise</w:t>
      </w:r>
      <w:r>
        <w:rPr>
          <w:rFonts w:ascii="FreeSerif" w:hAnsi="FreeSerif"/>
          <w:sz w:val="22"/>
        </w:rPr>
        <w:t>, présentée comme humanitaire, laisse délibérément des centaines de survivants tutsis à leurs tueurs à Bisesero, puis organise l'évacuation vers le Zaïre du gouvernement génocidaire et de ses troupes — avec leurs armes. On sauve les bourreaux.</w:t>
      </w:r>
    </w:p>
    <w:p>
      <w:pPr>
        <w:spacing w:after="60"/>
        <w:ind w:firstLine="567"/>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aujourd'hui la gratitude des Africains pour Serval et Barkhane a protégé, armé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after="60"/>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after="60"/>
        <w:ind w:firstLine="567"/>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after="60"/>
        <w:ind w:firstLine="567"/>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after="60"/>
        <w:ind w:firstLine="567"/>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after="60"/>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after="60"/>
        <w:ind w:firstLine="567"/>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after="60"/>
        <w:ind w:firstLine="567"/>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after="60"/>
        <w:ind w:firstLine="567"/>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after="60"/>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after="60"/>
        <w:ind w:firstLine="567"/>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after="60"/>
        <w:ind w:firstLine="567"/>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after="60"/>
        <w:ind w:firstLine="567"/>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after="60"/>
        <w:ind w:firstLine="567"/>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after="6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after="60"/>
        <w:ind w:firstLine="567"/>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after="60"/>
        <w:ind w:firstLine="567"/>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60"/>
        <w:ind w:firstLine="567"/>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after="60"/>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after="60"/>
        <w:ind w:firstLine="567"/>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60"/>
        <w:ind w:firstLine="567"/>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60"/>
        <w:ind w:firstLine="567"/>
      </w:pPr>
      <w:r>
        <w:rPr>
          <w:rFonts w:ascii="FreeSerif" w:hAnsi="FreeSerif"/>
          <w:sz w:val="22"/>
        </w:rPr>
        <w:t>Dans le contexte africain, ce mécanisme a été utilisé de manière systématique pour protéger les intérêts français.</w:t>
      </w:r>
    </w:p>
    <w:p>
      <w:pPr>
        <w:spacing w:after="60"/>
        <w:ind w:firstLine="567"/>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after="60"/>
        <w:ind w:firstLine="567"/>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after="60"/>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after="60"/>
        <w:ind w:firstLine="567"/>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60"/>
        <w:ind w:firstLine="567"/>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after="60"/>
        <w:ind w:firstLine="567"/>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after="60"/>
        <w:ind w:firstLine="567"/>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after="6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after="60"/>
        <w:ind w:firstLine="567"/>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60"/>
        <w:ind w:firstLine="567"/>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after="60"/>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after="60"/>
        <w:ind w:firstLine="567"/>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after="60"/>
        <w:ind w:firstLine="567"/>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after="60"/>
        <w:ind w:firstLine="567"/>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after="60"/>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after="60"/>
        <w:ind w:firstLine="567"/>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after="60"/>
        <w:ind w:firstLine="567"/>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60"/>
        <w:ind w:firstLine="567"/>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Grief</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Dispositif</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w:t>
      </w:r>
    </w:p>
    <w:p>
      <w:pPr>
        <w:spacing w:after="60"/>
        <w:ind w:firstLine="567"/>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60"/>
        <w:ind w:firstLine="567"/>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60"/>
        <w:ind w:firstLine="567"/>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60"/>
        <w:ind w:firstLine="567"/>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60"/>
        <w:ind w:firstLine="567"/>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Donateur / année</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Dimension</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Indicateur</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85 %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11 %</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pPr>
              <w:jc w:val="right"/>
            </w:pPr>
            <w:r>
              <w:rPr>
                <w:rFonts w:ascii="FreeSerif" w:hAnsi="FreeSerif"/>
                <w:i/>
                <w:color w:val="2C3A4A"/>
                <w:sz w:val="18"/>
              </w:rPr>
              <w:t>Fait documenté</w:t>
            </w:r>
          </w:p>
        </w:tc>
        <w:tc>
          <w:tcPr>
            <w:tcW w:type="dxa" w:w="4677"/>
            <w:tcBorders>
              <w:insideV w:val="none" w:sz="0" w:space="0" w:color="auto"/>
              <w:insideH w:val="none" w:sz="0" w:space="0" w:color="auto"/>
              <w:bottom w:val="none" w:sz="0" w:space="0" w:color="auto"/>
              <w:right w:val="none" w:sz="0" w:space="0" w:color="auto"/>
              <w:left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insideV w:val="none" w:sz="0" w:space="0" w:color="auto"/>
              <w:bottom w:val="none" w:sz="0" w:space="0" w:color="auto"/>
              <w:insideH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insideV w:val="none" w:sz="0" w:space="0" w:color="auto"/>
              <w:bottom w:val="none" w:sz="0" w:space="0" w:color="auto"/>
              <w:right w:val="none" w:sz="0" w:space="0" w:color="auto"/>
              <w:insideH w:val="none" w:sz="0" w:space="0" w:color="auto"/>
              <w:top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les peuples ne 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On leur dit que les hommes de parole tiennent parole.</w:t>
      </w:r>
    </w:p>
    <w:p>
      <w:pPr>
        <w:spacing w:after="60"/>
        <w:ind w:firstLine="567"/>
      </w:pPr>
      <w:r>
        <w:rPr>
          <w:rFonts w:ascii="FreeSerif" w:hAnsi="FreeSerif"/>
          <w:sz w:val="22"/>
        </w:rPr>
        <w:t>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 crime prémédité, maquillé en rébellion</w:t>
      </w:r>
    </w:p>
    <w:p>
      <w:pPr>
        <w:spacing w:after="60"/>
      </w:pPr>
      <w:r>
        <w:rPr>
          <w:rFonts w:ascii="FreeSerif" w:hAnsi="FreeSerif"/>
          <w:sz w:val="22"/>
        </w:rPr>
        <w:t xml:space="preserve">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w:t>
      </w:r>
    </w:p>
    <w:p>
      <w:pPr>
        <w:spacing w:after="60"/>
        <w:ind w:firstLine="567"/>
      </w:pPr>
      <w:r>
        <w:rPr>
          <w:rFonts w:ascii="FreeSerif" w:hAnsi="FreeSerif"/>
          <w:sz w:val="22"/>
        </w:rPr>
        <w:t xml:space="preserve">La falsification a été organisée dès les premiers jours. Trois jours après le massacre, une circulaire est diffusée par le commandement français, affirmant que les soldats avaient perçu l'intégralité de leurs soldes de captivité — rendant ainsi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w:t>
      </w:r>
    </w:p>
    <w:p>
      <w:pPr>
        <w:spacing w:after="60"/>
        <w:ind w:firstLine="567"/>
      </w:pPr>
      <w:r>
        <w:rPr>
          <w:rFonts w:ascii="FreeSerif" w:hAnsi="FreeSerif"/>
          <w:sz w:val="22"/>
        </w:rPr>
        <w:t>La machine mémorielle a fonctionné à plein régime. Les archives ont été verrouillées. Les familles se sont heurtées à l'obstruction. Et quand François Hollande, lors de son premier voyage officiel en Afrique en 2012, promet de « restituer les archives » au Sénégal et qualifie les faits de « répression sanglante », quelques mois plus tard les copies remises sont en réalité le récit d'une histoire falsifiée — des rapports mensongers écrits sur ordre, des enquêtes à charge, des documents tronqués. On a livré la mise en scène du crime, pas la vérité du crime.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L'ingratitude comme doctrine</w:t>
      </w:r>
    </w:p>
    <w:p>
      <w:pPr>
        <w:spacing w:after="60"/>
      </w:pPr>
      <w:r>
        <w:rPr>
          <w:rFonts w:ascii="FreeSerif" w:hAnsi="FreeSerif"/>
          <w:sz w:val="22"/>
        </w:rPr>
        <w:t>Ce qui s'est passé à Thiaroye n'est pas un dérapage. C'est une doctrine.</w:t>
      </w:r>
    </w:p>
    <w:p>
      <w:pPr>
        <w:spacing w:after="60"/>
        <w:ind w:firstLine="567"/>
      </w:pPr>
      <w:r>
        <w:rPr>
          <w:rFonts w:ascii="FreeSerif" w:hAnsi="FreeSerif"/>
          <w:sz w:val="22"/>
        </w:rPr>
        <w:t>Le général de Gaulle ne permettra pas que ces soldats africains défilent sur les Champs-Élysées le 26 août 1944.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w:t>
      </w:r>
    </w:p>
    <w:p>
      <w:pPr>
        <w:spacing w:after="60"/>
        <w:ind w:firstLine="567"/>
      </w:pPr>
      <w:r>
        <w:rPr>
          <w:rFonts w:ascii="FreeSerif" w:hAnsi="FreeSerif"/>
          <w:sz w:val="22"/>
        </w:rPr>
        <w:t>Et pour les plus chanceux qui ont survécu à la guerre et à Thiaroye, une autre inégalité les attendait : les pensions versées aux anciens combattants africains étaient inférieures à celles de leurs homologues français. Un tirailleur africain percevait une fraction de ce que touchait un ancien combattant français — discrimination raciale institutionnalisée, maintenue des décennies durant, jusqu'à ce que la pression juridique et politique force des ajustements partiels.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80 ans après : l'obstruction continue</w:t>
      </w:r>
    </w:p>
    <w:p>
      <w:pPr>
        <w:spacing w:after="60"/>
      </w:pPr>
      <w:r>
        <w:rPr>
          <w:rFonts w:ascii="FreeSerif" w:hAnsi="FreeSerif"/>
          <w:sz w:val="22"/>
        </w:rPr>
        <w:t>En 2023, 78 ans après le massacre, aucune vérité officielle n'a été établie. Les archives restent inaccessibles ou falsifiées. Les fosses communes n'ont pas été ouvertes. Les condamnés de 1945 n'ont pas été réhabilités. Les familles des victimes attendent.</w:t>
      </w:r>
    </w:p>
    <w:p>
      <w:pPr>
        <w:spacing w:after="60"/>
        <w:ind w:firstLine="567"/>
      </w:pPr>
      <w:r>
        <w:rPr>
          <w:rFonts w:ascii="FreeSerif" w:hAnsi="FreeSerif"/>
          <w:sz w:val="22"/>
        </w:rPr>
        <w:t>Un film a été projeté en avant-première à Dakar — geste symbolique d'un comédien d'origine africaine naturalisé français. Des chercheurs hexagonaux ont commencé à s'emparer du sujet, après que les panafricanistes l'ont remis sur la table. La mécanique est connue : quand les Africains posent une question mémorielle, elle est ignorée ; quand un Français la reprend, elle devient légitime. Le dépôt mémoriel appartient à ceux qui ont le pouvoir de le valider.</w:t>
      </w:r>
    </w:p>
    <w:p>
      <w:pPr>
        <w:spacing w:after="60"/>
        <w:ind w:firstLine="567"/>
      </w:pPr>
      <w:r>
        <w:rPr>
          <w:rFonts w:ascii="FreeSerif" w:hAnsi="FreeSerif"/>
          <w:sz w:val="22"/>
        </w:rPr>
        <w:t>Albert Anatole Ayissi l'a dit sans détour : « Lorsqu'il faut parler du génocide arménien, on ne tient pas que des discours — il y a des actes. Mais pour Thiaroye, on nous vend du vent. » La comparaison est exacte. La hiérarchie des mémoires dit tout sur la hiérarchie des vies.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contentieux qui ne se négocie pas</w:t>
      </w:r>
    </w:p>
    <w:p>
      <w:pPr>
        <w:spacing w:after="60"/>
      </w:pPr>
      <w:r>
        <w:rPr>
          <w:rFonts w:ascii="FreeSerif" w:hAnsi="FreeSerif"/>
          <w:sz w:val="22"/>
        </w:rPr>
        <w:t>Thiaroye n'est pas un fait divers historique. C'est l'un des nœuds du contentieux franco-africain que ce livre décrit depuis son premier chapitre : une relation fondée sur l'extraction, l'ingratitude et l'impunité. Des hommes ont donné leur vie pour la France. La France les a tués, falsifié le bilan, condamné les survivants, et verrouillé les archives pendant 80 ans.</w:t>
      </w:r>
    </w:p>
    <w:p>
      <w:pPr>
        <w:spacing w:after="60"/>
        <w:ind w:firstLine="567"/>
      </w:pPr>
      <w:r>
        <w:rPr>
          <w:rFonts w:ascii="FreeSerif" w:hAnsi="FreeSerif"/>
          <w:sz w:val="22"/>
        </w:rPr>
        <w:t>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C'est un argument politique — et à Thiaroye, il est accablant.</w:t>
      </w:r>
    </w:p>
    <w:p>
      <w:pPr>
        <w:spacing w:after="60"/>
        <w:ind w:firstLine="567"/>
      </w:pPr>
      <w:r>
        <w:rPr>
          <w:rFonts w:ascii="FreeSerif" w:hAnsi="FreeSerif"/>
          <w:sz w:val="22"/>
        </w:rPr>
        <w:t>La France ne peut pas demander la confiance de l'Afrique tant qu'elle n'a pas ouvert ses archives, réhabilité ses victimes, nommé ses bourreaux. Ce n'est pas de l'anti-France. C'est de la comptabilité élémentaire.</w:t>
      </w:r>
    </w:p>
    <w:p>
      <w:pPr>
        <w:spacing w:before="120" w:after="120"/>
        <w:pBdr>
          <w:bottom w:val="single" w:sz="3" w:space="2" w:color="A07820"/>
        </w:pBdr>
      </w:pPr>
    </w:p>
    <w:p>
      <w:pPr>
        <w:spacing w:after="60"/>
        <w:ind w:firstLine="567"/>
      </w:pPr>
      <w:r>
        <w:rPr>
          <w:rFonts w:ascii="FreeSerif" w:hAnsi="FreeSerif"/>
          <w:i/>
          <w:sz w:val="22"/>
        </w:rPr>
        <w:t>Sources : Armelle Mabon, université Bretagne Sud, travaux sur le massacre de Thiaroye (archives France, Sénégal, Royaume-Uni) ; Albert Anatole Ayissi, directeur de publication du journal Le Cactus, émission Paroles Panafricanistes, Panafricaniste TV, 3 janvier 2023 ; François Hollande, déclaration lors de sa visite au Sénégal, 2012 ; procès militaire de mars 1945 (archives partiellement accessibles) ; Virginie Terrasse, documentaire Thiaroye 44 ; Global Slavery Index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before="120" w:after="120"/>
        <w:pBdr>
          <w:bottom w:val="single" w:sz="3" w:space="2" w:color="A07820"/>
        </w:pBdr>
      </w:pP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Ce n'est pas une métaphore.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Ce bilan est documenté dans ce livre depuis le chapitre 13 : la lettre malienne réécrite par les diplomates français, Iyad Ag Ghaly dans sa suite à l'hôtel Laïko à 4 kilomètres du palais présidentiel pendant que Gomart commandait les opérations spéciales, la Cour des comptes française établissant l'échec total. Le ministre ne dit pas autre chose. Il dit la même chose depuis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Ce n'est pas de la propagande. Ce sont les mêmes faits que les données ACLED 2024-2026 documentent — imparfaitement, partiellement, mais dans la même direction. Les armées nationales progressent là où Barkhane avait échoué.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Cette phrase résume une doctrine que ce livre a tracée depuis son premier chapitre : la souveraineté n'est pas un slogan, c'est une organisation.</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before="120" w:after="120"/>
        <w:pBdr>
          <w:bottom w:val="single" w:sz="3" w:space="2" w:color="A07820"/>
        </w:pBdr>
      </w:pP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before="120" w:after="120"/>
        <w:pBdr>
          <w:bottom w:val="single" w:sz="3" w:space="2" w:color="A07820"/>
        </w:pBdr>
      </w:pP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Ce livre a documenté, chapitre après chapitre, comment ces groupes sont fabriqués, financés et dirigés depuis l'extérieur — depuis Paris, depuis N'Djamena, depuis Abu Dhabi. Mais une vérité complémentaire doit être dite : même fabriquée de l'extérieur, la rébellion trouve des relais à l'intérieur. Et c'est cet intérieur qu'il faut examiner.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rébellion fabriquée, la complicité intérieure</w:t>
      </w:r>
    </w:p>
    <w:p>
      <w:pPr>
        <w:spacing w:after="60"/>
      </w:pPr>
      <w:r>
        <w:rPr>
          <w:rFonts w:ascii="FreeSerif" w:hAnsi="FreeSerif"/>
          <w:sz w:val="22"/>
        </w:rPr>
        <w:t>Ce livre l'a documenté : 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ne sont pas des attaques. Ce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n'est pas utopique. Il est la description de ce qu'un État fait quand il décide de gouverner plutôt que de se maintenir. Il est aussi la description de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120" w:after="120"/>
        <w:pBdr>
          <w:bottom w:val="single" w:sz="3" w:space="2" w:color="A07820"/>
        </w:pBdr>
      </w:pP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before="120" w:after="120"/>
        <w:pBdr>
          <w:bottom w:val="single" w:sz="3" w:space="2" w:color="A07820"/>
        </w:pBdr>
      </w:pP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Ce n'est pas de l'analyse. C'est de la complicité.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Ce chapitre en a nommé d'autres avant celui-ci — le G-16, les communiqués diffusés depuis Paris, les cadres de la diaspora qui fournissaient la légitimité intellectuelle à la déstabilisation.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120" w:after="120"/>
        <w:pBdr>
          <w:bottom w:val="single" w:sz="3" w:space="2" w:color="A07820"/>
        </w:pBdr>
      </w:pP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before="120" w:after="120"/>
        <w:pBdr>
          <w:bottom w:val="single" w:sz="3" w:space="2" w:color="A07820"/>
        </w:pBdr>
      </w:pP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sélectivité comme argument</w:t>
      </w:r>
    </w:p>
    <w:p>
      <w:pPr>
        <w:spacing w:after="60"/>
      </w:pPr>
      <w:r>
        <w:rPr>
          <w:rFonts w:ascii="FreeSerif" w:hAnsi="FreeSerif"/>
          <w:sz w:val="22"/>
        </w:rPr>
        <w:t>Ce livre l'a documenté depuis son premier chapitre : la CPI est une institution à géométrie variable.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l'argument ne résout pas</w:t>
      </w:r>
    </w:p>
    <w:p>
      <w:pPr>
        <w:spacing w:after="60"/>
      </w:pPr>
      <w:r>
        <w:rPr>
          <w:rFonts w:ascii="FreeSerif" w:hAnsi="FreeSerif"/>
          <w:sz w:val="22"/>
        </w:rPr>
        <w:t>Pour autant, le retrait du Statut de Rome pose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Ce n'est pas de la souveraineté — c'est de l'abandon.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120" w:after="120"/>
        <w:pBdr>
          <w:bottom w:val="single" w:sz="3" w:space="2" w:color="A07820"/>
        </w:pBdr>
      </w:pP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before="120" w:after="120"/>
        <w:pBdr>
          <w:bottom w:val="single" w:sz="3" w:space="2" w:color="A07820"/>
        </w:pBdr>
      </w:pP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Ce n'est pas une coïncidence. C'est une continuité. Le terrorisme sahélien n'a jamais été un phénomène purement local. Ce livre l'a établi depuis le chapitre 13 : Iyad Ag Ghaly reçevait des financements du Golfe, les katibas du JNIM recrutaient au-delà des frontières nationales, les réseaux logistiques traversaient le Sahara depuis la Libye post-Kadhafi. Le flux syrien s'inscrit dans cette logique d'internationalisation.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La question n'est pas de savoir qui « envoie » ces combattants — les chaînes de commandement sont complexes et fragmentées. La question est : qui en tire profit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before="120" w:after="120"/>
        <w:pBdr>
          <w:bottom w:val="single" w:sz="3" w:space="2" w:color="A07820"/>
        </w:pBdr>
      </w:pP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before="120" w:after="120"/>
        <w:pBdr>
          <w:bottom w:val="single" w:sz="3" w:space="2" w:color="A07820"/>
        </w:pBdr>
      </w:pP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Ce n'est pas une coïncidence si c'est la France qui a été la plus pressée de déclencher les frappes.</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C'est précisément ce modèle — un État africain développé, souverain, indépendant des institutions de Bretton Woods, refusant l'alignement atlantiste — qui a été détruit. Pas pour protéger des civils. Pour éliminer un contre-exemple.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before="120" w:after="120"/>
        <w:pBdr>
          <w:bottom w:val="single" w:sz="3" w:space="2" w:color="A07820"/>
        </w:pBdr>
      </w:pP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before="120" w:after="120"/>
        <w:pBdr>
          <w:bottom w:val="single" w:sz="3" w:space="2" w:color="A07820"/>
        </w:pBdr>
      </w:pP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Ce livre l'a documenté : depuis 1966, chaque insurrection centrafricaine a été fabriquée ou entretenue de l'extérieur. La brutalité que ce soldat décrit n'est pas un trait culturel — c'est le résultat d'une déstabilisation organisée.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Ce n'est pas de l'ingratitude. C'est de la lucidité.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La question n'est pas de savoir si les soldats ont fait leur travail. La question est de savoir pourquoi ce travail n'a jamais produit de paix.</w:t>
      </w:r>
    </w:p>
    <w:p>
      <w:pPr>
        <w:spacing w:before="120" w:after="120"/>
        <w:pBdr>
          <w:bottom w:val="single" w:sz="3" w:space="2" w:color="A07820"/>
        </w:pBdr>
      </w:pP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before="120" w:after="120"/>
        <w:pBdr>
          <w:bottom w:val="single" w:sz="3" w:space="2" w:color="A07820"/>
        </w:pBdr>
      </w:pP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before="120" w:after="120"/>
        <w:pBdr>
          <w:bottom w:val="single" w:sz="3" w:space="2" w:color="A07820"/>
        </w:pBdr>
      </w:pP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before="120" w:after="120"/>
        <w:pBdr>
          <w:bottom w:val="single" w:sz="3" w:space="2" w:color="A07820"/>
        </w:pBdr>
      </w:pPr>
    </w:p>
    <w:p>
      <w:pPr>
        <w:spacing w:after="60"/>
        <w:ind w:firstLine="567"/>
      </w:pPr>
      <w:r>
        <w:rPr>
          <w:rFonts w:ascii="FreeSerif" w:hAnsi="FreeSerif"/>
          <w:sz w:val="22"/>
        </w:rPr>
        <w:t>Il existe une équation que les chancelleries occidentales préfèrent ne pas énoncer trop clairement. La voici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Ce n'est pas de la coïncidence. C'est de la stratégie.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before="120" w:after="120"/>
        <w:pBdr>
          <w:bottom w:val="single" w:sz="3" w:space="2" w:color="A07820"/>
        </w:pBdr>
      </w:pP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before="120" w:after="120"/>
        <w:pBdr>
          <w:bottom w:val="single" w:sz="3" w:space="2" w:color="A07820"/>
        </w:pBdr>
      </w:pP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Ce n'est pas une théorie du complot. C'est de la comptabilité des échanges commerciaux.</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before="120" w:after="120"/>
        <w:pBdr>
          <w:bottom w:val="single" w:sz="3" w:space="2" w:color="A07820"/>
        </w:pBdr>
      </w:pP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before="120" w:after="120"/>
        <w:pBdr>
          <w:bottom w:val="single" w:sz="3" w:space="2" w:color="A07820"/>
        </w:pBdr>
      </w:pP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Ce n'est pas encore l'AES. C'est peut-être une voie différente vers les mêmes objectifs : la souveraineté par les institutions plutôt que par la rupture militaire.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before="120" w:after="120"/>
        <w:pBdr>
          <w:bottom w:val="single" w:sz="3" w:space="2" w:color="A07820"/>
        </w:pBdr>
      </w:pP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before="120" w:after="120"/>
        <w:pBdr>
          <w:bottom w:val="single" w:sz="3" w:space="2" w:color="A07820"/>
        </w:pBdr>
      </w:pP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before="120" w:after="120"/>
        <w:pBdr>
          <w:bottom w:val="single" w:sz="3" w:space="2" w:color="A07820"/>
        </w:pBdr>
      </w:pP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before="120" w:after="120"/>
        <w:pBdr>
          <w:bottom w:val="single" w:sz="3" w:space="2" w:color="A07820"/>
        </w:pBdr>
      </w:pP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Ce chapitre en a documenté les résultats : plus de 4 000 combattants neutralisés selon le bilan malien officiel.</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Ce n'est pas du relativisme. C'est de la lecture des textes fondateurs du droit international — ceux que les puissances occidentales invoquent quand ça les arrange et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before="120" w:after="120"/>
        <w:pBdr>
          <w:bottom w:val="single" w:sz="3" w:space="2" w:color="A07820"/>
        </w:pBdr>
      </w:pP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