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49"/>
        </w:rPr>
        <w:t>Peace, we can avoid it</w:t>
      </w:r>
    </w:p>
    <w:p>
      <w:pPr>
        <w:shd w:val="clear" w:color="auto" w:fill="2C3A4A"/>
      </w:pPr>
    </w:p>
    <w:p>
      <w:pPr>
        <w:shd w:val="clear" w:color="auto" w:fill="2C3A4A"/>
      </w:pPr>
    </w:p>
    <w:p>
      <w:pPr>
        <w:jc w:val="center"/>
        <w:shd w:val="clear" w:color="auto" w:fill="2C3A4A"/>
      </w:pPr>
      <w:r>
        <w:rPr>
          <w:rFonts w:ascii="FreeSerif" w:hAnsi="FreeSerif"/>
          <w:i/>
          <w:color w:val="A07820"/>
          <w:sz w:val="26"/>
        </w:rPr>
        <w:t>Investigation into the birth of the Alliance of Sahel States</w:t>
      </w: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olor w:val="FFFFFF"/>
          <w:sz w:val="34"/>
        </w:rPr>
        <w:t>BEN–H2O</w:t>
      </w:r>
    </w:p>
    <w:p>
      <w:pPr>
        <w:jc w:val="center"/>
        <w:shd w:val="clear" w:color="auto" w:fill="2C3A4A"/>
      </w:pPr>
      <w:r>
        <w:rPr>
          <w:rFonts w:ascii="FreeSerif" w:hAnsi="FreeSerif"/>
          <w:color w:val="A07820"/>
          <w:sz w:val="22"/>
        </w:rPr>
        <w:t>— 2026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color w:val="A07820"/>
          <w:sz w:val="18"/>
        </w:rPr>
        <w:t>© 2026 BEN–H2O — All rights reserved.</w:t>
      </w:r>
    </w:p>
    <w:p>
      <w:pPr>
        <w:shd w:val="clear" w:color="auto" w:fill="2C3A4A"/>
      </w:pPr>
    </w:p>
    <w:p>
      <w:pPr>
        <w:shd w:val="clear" w:color="auto" w:fill="2C3A4A"/>
      </w:pPr>
    </w:p>
    <w:p>
      <w:pPr>
        <w:shd w:val="clear" w:color="auto" w:fill="2C3A4A"/>
      </w:pPr>
    </w:p>
    <w:p>
      <w:r>
        <w:br w:type="page"/>
      </w: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r>
        <w:br w:type="page"/>
      </w:r>
    </w:p>
    <w:p/>
    <w:p/>
    <w:p/>
    <w:p/>
    <w:p/>
    <w:p/>
    <w:p/>
    <w:p/>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insideH w:val="none" w:sz="0" w:space="0" w:color="auto"/>
              <w:top w:val="none" w:sz="0" w:space="0" w:color="auto"/>
              <w:left w:val="none" w:sz="0" w:space="0" w:color="auto"/>
              <w:insideV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Date</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r>
        <w:br w:type="page"/>
      </w:r>
    </w:p>
    <w:p/>
    <w:p/>
    <w:p/>
    <w:p/>
    <w:p/>
    <w:p/>
    <w:p/>
    <w:p/>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insideH w:val="none" w:sz="0" w:space="0" w:color="auto"/>
              <w:top w:val="none" w:sz="0" w:space="0" w:color="auto"/>
              <w:left w:val="none" w:sz="0" w:space="0" w:color="auto"/>
              <w:insideV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Stage</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Element</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20%</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1,440 tons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€0.80/kg</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$200/kg</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Tier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Official term</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r>
        <w:br w:type="page"/>
      </w:r>
    </w:p>
    <w:p/>
    <w:p/>
    <w:p/>
    <w:p/>
    <w:p/>
    <w:p/>
    <w:p/>
    <w:p/>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insideH w:val="none" w:sz="0" w:space="0" w:color="auto"/>
              <w:top w:val="none" w:sz="0" w:space="0" w:color="auto"/>
              <w:left w:val="none" w:sz="0" w:space="0" w:color="auto"/>
              <w:insideV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Project</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What poured into the Sahel</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 In May 2012, the MNLA allies with Ansar Dine to proclaim the independence of the Azawad. Timbuktu, Gao, Kidal fall. Within weeks.</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Reality of the trans-Saharan corridors</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r>
        <w:br w:type="page"/>
      </w:r>
    </w:p>
    <w:p/>
    <w:p/>
    <w:p/>
    <w:p/>
    <w:p/>
    <w:p/>
    <w:p/>
    <w:p/>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insideH w:val="none" w:sz="0" w:space="0" w:color="auto"/>
              <w:top w:val="none" w:sz="0" w:space="0" w:color="auto"/>
              <w:left w:val="none" w:sz="0" w:space="0" w:color="auto"/>
              <w:insideV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Grievance</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Asset</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r>
        <w:br w:type="page"/>
      </w:r>
    </w:p>
    <w:p/>
    <w:p/>
    <w:p/>
    <w:p/>
    <w:p/>
    <w:p/>
    <w:p/>
    <w:p/>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insideH w:val="none" w:sz="0" w:space="0" w:color="auto"/>
              <w:top w:val="none" w:sz="0" w:space="0" w:color="auto"/>
              <w:left w:val="none" w:sz="0" w:space="0" w:color="auto"/>
              <w:insideV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r>
        <w:br w:type="page"/>
      </w:r>
    </w:p>
    <w:p/>
    <w:p/>
    <w:p/>
    <w:p/>
    <w:p/>
    <w:p/>
    <w:p/>
    <w:p/>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insideH w:val="none" w:sz="0" w:space="0" w:color="auto"/>
              <w:top w:val="none" w:sz="0" w:space="0" w:color="auto"/>
              <w:left w:val="none" w:sz="0" w:space="0" w:color="auto"/>
              <w:insideV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Donor / year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Dimension</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85%</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11%</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Documented fact</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bottom w:val="none" w:sz="0" w:space="0" w:color="auto"/>
              <w:insideH w:val="none" w:sz="0" w:space="0" w:color="auto"/>
              <w:top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right w:val="none" w:sz="0" w:space="0" w:color="auto"/>
              <w:bottom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