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68DCC9F4" w14:textId="77777777" w:rsidR="00124B22" w:rsidRPr="00F01E86" w:rsidRDefault="00000000">
      <w:pPr>
        <w:spacing w:after="60"/>
        <w:ind w:left="360"/>
        <w:rPr>
          <w:rFonts w:ascii="Garamond" w:hAnsi="Garamond"/>
        </w:rPr>
      </w:pPr>
      <w:r>
        <w:rPr>
          <w:rFonts w:ascii="Garamond" w:hAnsi="Garamond"/>
        </w:rPr>
        <w:t xml:space="preserve">Chapitre 5b — Décolonisation économique : nationalisation, protectionnisme et la sortie du franc CFA</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577A8AFD" w14:textId="387A056D" w:rsidR="00124B22" w:rsidRPr="00F01E86" w:rsidRDefault="00000000">
      <w:pPr>
        <w:spacing w:after="60"/>
        <w:ind w:left="360"/>
        <w:rPr>
          <w:rFonts w:ascii="Garamond" w:hAnsi="Garamond"/>
        </w:rPr>
      </w:pPr>
      <w:r>
        <w:rPr>
          <w:rFonts w:ascii="Garamond" w:hAnsi="Garamond"/>
        </w:rPr>
        <w:t xml:space="preserve">Chapitre 22b — La Turquie et le Sahel : Erdoğan, les Bayraktar et la diplomatie du partenaire non-colonial</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pPr>
      <w:r>
        <w:t>★★★</w:t>
      </w:r>
    </w:p>
    <w:p>
      <w:pPr>
        <w:spacing w:before="0" w:after="200"/>
        <w:ind w:left="680"/>
      </w:pPr>
      <w:r>
        <w:rPr>
          <w:i/>
          <w:sz w:val="19"/>
        </w:rPr>
        <w:t>— Albert Nataici, journaliste, directeur du Cactus, Paroles Panafricanistes</w:t>
      </w:r>
    </w:p>
    <w:p>
      <w:pPr>
        <w:spacing w:before="160" w:after="40"/>
        <w:ind w:left="680"/>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spacing w:before="160" w:after="160"/>
      </w:pPr>
      <w:r>
        <w:t>★★★</w:t>
      </w:r>
    </w:p>
    <w:p>
      <w:pPr>
        <w:spacing w:after="80"/>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spacing w:after="80"/>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spacing w:before="0" w:after="200"/>
        <w:ind w:left="680"/>
      </w:pPr>
      <w:r>
        <w:rPr>
          <w:i/>
          <w:sz w:val="19"/>
        </w:rPr>
        <w:t>— Rapport stratégique Turquie-Sahel, juin 2026</w:t>
      </w:r>
    </w:p>
    <w:p>
      <w:pPr>
        <w:spacing w:before="160" w:after="40"/>
        <w:ind w:left="680"/>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spacing w:after="80"/>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spacing w:after="80"/>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spacing w:after="80"/>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spacing w:after="80"/>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spacing w:before="0" w:after="200"/>
        <w:ind w:left="680"/>
      </w:pPr>
      <w:r>
        <w:rPr>
          <w:i/>
          <w:sz w:val="19"/>
        </w:rPr>
        <w:t>— Rapport sur les relations stratégiques Turquie-Sahel, juin 2026</w:t>
      </w:r>
    </w:p>
    <w:p>
      <w:pPr>
        <w:spacing w:before="160" w:after="40"/>
        <w:ind w:left="680"/>
      </w:pPr>
      <w:r>
        <w:rPr>
          <w:i/>
          <w:sz w:val="21"/>
        </w:rPr>
        <w:t>« Le président Erdoğan a personnellement demandé aux industries de défense turques de livrer du matériel militaire au Niger avant même le paiement, en accordant des facilités financières à Niamey. »</w:t>
      </w:r>
    </w:p>
    <w:p>
      <w:pPr>
        <w:spacing w:after="80"/>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spacing w:after="80"/>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Pr>
      <w: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