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before="120" w:after="120"/>
        <w:pBdr>
          <w:bottom w:val="single" w:sz="3" w:space="2" w:color="A07820"/>
        </w:pBdr>
      </w:pPr>
    </w:p>
    <w:p>
      <w:pPr>
        <w:spacing w:after="60"/>
        <w:ind w:firstLine="567"/>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60"/>
        <w:ind w:firstLine="567"/>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Ce n'est plus une thèse. C'est une évidence que même ses auteurs ne peuvent plus taire.</w:t>
      </w:r>
    </w:p>
    <w:p>
      <w:pPr>
        <w:spacing w:after="60"/>
        <w:ind w:firstLine="567"/>
      </w:pPr>
      <w:r>
        <w:rPr>
          <w:rFonts w:ascii="FreeSerif" w:hAnsi="FreeSerif"/>
          <w:sz w:val="22"/>
        </w:rPr>
        <w:t>Sur les points les plus importants de ce livre, c'est très souvent l'adversaire qui confirme. Quelques exemples : 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60"/>
        <w:ind w:firstLine="567"/>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60"/>
        <w:ind w:firstLine="567"/>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Sur les institutions internationales :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60"/>
        <w:ind w:firstLine="567"/>
      </w:pPr>
      <w:r>
        <w:rPr>
          <w:rFonts w:ascii="FreeSerif" w:hAnsi="FreeSerif"/>
          <w:sz w:val="22"/>
        </w:rPr>
        <w:t>Les termes « terroriste », « jihadiste », « djihadiste » sont utilisés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60"/>
        <w:ind w:firstLine="567"/>
      </w:pPr>
      <w:r>
        <w:rPr>
          <w:rFonts w:ascii="FreeSerif" w:hAnsi="FreeSerif"/>
          <w:sz w:val="22"/>
        </w:rPr>
        <w:t>Certaines affirmations fortes reposent sur une source unique : le texte les présente alors au conditionnel et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before="120" w:after="120"/>
        <w:pBdr>
          <w:bottom w:val="single" w:sz="3" w:space="2" w:color="A07820"/>
        </w:pBdr>
      </w:pP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before="120" w:after="120"/>
        <w:pBdr>
          <w:bottom w:val="single" w:sz="3" w:space="2" w:color="A07820"/>
        </w:pBdr>
      </w:pPr>
    </w:p>
    <w:p>
      <w:pPr>
        <w:spacing w:after="60"/>
        <w:ind w:firstLine="567"/>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before="120" w:after="120"/>
        <w:pBdr>
          <w:bottom w:val="single" w:sz="3" w:space="2" w:color="A07820"/>
        </w:pBdr>
      </w:pPr>
    </w:p>
    <w:p>
      <w:pPr>
        <w:spacing w:after="60"/>
        <w:ind w:firstLine="567"/>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before="120" w:after="120"/>
        <w:pBdr>
          <w:bottom w:val="single" w:sz="3" w:space="2" w:color="A07820"/>
        </w:pBdr>
      </w:pPr>
    </w:p>
    <w:p>
      <w:pPr>
        <w:spacing w:after="60"/>
        <w:ind w:firstLine="567"/>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60"/>
        <w:ind w:firstLine="567"/>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l'AES n'est pas</w:t>
      </w:r>
    </w:p>
    <w:p>
      <w:pPr>
        <w:spacing w:after="60"/>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60"/>
        <w:ind w:firstLine="567"/>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after="60"/>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60"/>
        <w:ind w:firstLine="567"/>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 livre couvre — et pourquoi</w:t>
      </w:r>
    </w:p>
    <w:p>
      <w:pPr>
        <w:spacing w:after="60"/>
      </w:pPr>
      <w:r>
        <w:rPr>
          <w:rFonts w:ascii="FreeSerif" w:hAnsi="FreeSerif"/>
          <w:sz w:val="22"/>
        </w:rPr>
        <w:t>Ce livre est né d'une question localisée — pourquoi l'AES, pourquoi maintenant, pourquoi ça tient. Il s'est élargi à mesure que les réponses se connectaient les unes aux autres. Car la rupture sahélienne ne se comprend pas sans la Libye de Kadhafi — pays africain le plus développé sur 16 indicateurs, détruit en 2011 non pour protéger des civils mais pour éliminer un contre-exemple souverain. Elle ne se comprend pas sans Thiaroye 1944 — 300 à 400 tirailleurs africains qui avaient libéré la France et furent massacrés par elle quand ils réclamèrent leurs pécules de captivité, archives verrouillées 80 ans. Elle ne se comprend pas sans le FCFA — mécanisme par lequel la Banque de France imprime la monnaie qui paye les terroristes, rendant la déstabilisation du Sahel gratuite en devises réelles. Elle ne se comprend pas sans l'IPN Farafina — l'Institut des Peuples Noirs que Sankara fonda en 1986, qu'on éteignit après son assassinat, et qu'Ibrahim Traoré a ressuscité en 2025 parce qu'on ne tue pas une idée juste.</w:t>
      </w:r>
    </w:p>
    <w:p>
      <w:pPr>
        <w:spacing w:after="60"/>
        <w:ind w:firstLine="567"/>
      </w:pPr>
      <w:r>
        <w:rPr>
          <w:rFonts w:ascii="FreeSerif" w:hAnsi="FreeSerif"/>
          <w:sz w:val="22"/>
        </w:rPr>
        <w:t>Ce livre ne prétend pas l'exhaustivité. Il prétend à la cohérence : les mêmes causes produisent les mêmes effets, et les mêmes systèmes produisent les mêmes résistances.</w:t>
      </w:r>
    </w:p>
    <w:p>
      <w:pPr>
        <w:spacing w:before="280" w:after="120"/>
        <w:pBdr>
          <w:bottom w:val="single" w:sz="7" w:space="3" w:color="A07820"/>
        </w:pBdr>
      </w:pPr>
      <w:r>
        <w:rPr>
          <w:rFonts w:ascii="FreeSerif" w:hAnsi="FreeSerif"/>
          <w:b/>
          <w:color w:val="2C3A4A"/>
          <w:sz w:val="22"/>
        </w:rPr>
        <w:t>La méthode de ce livre</w:t>
      </w:r>
    </w:p>
    <w:p>
      <w:pPr>
        <w:spacing w:after="60"/>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60"/>
        <w:ind w:firstLine="567"/>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60"/>
        <w:ind w:firstLine="567"/>
      </w:pPr>
      <w:r>
        <w:rPr>
          <w:rFonts w:ascii="FreeSerif" w:hAnsi="FreeSerif"/>
          <w:sz w:val="22"/>
        </w:rPr>
        <w:t>Un Sahel qui fut, des siècles durant, un centre du monde. Ce n'est pas de la nostalgie.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n'est pas un oubli. C'est une décision.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60"/>
        <w:ind w:firstLine="567"/>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au contraire, l'une des plus denses du monde médiéval — et il suffit de suivre les routes de l'or pour s'en convaincre.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60"/>
        <w:ind w:firstLine="567"/>
      </w:pPr>
      <w:r>
        <w:rPr>
          <w:rFonts w:ascii="FreeSerif" w:hAnsi="FreeSerif"/>
          <w:sz w:val="22"/>
        </w:rPr>
        <w:t>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after="60"/>
        <w:ind w:firstLine="567"/>
      </w:pPr>
      <w:r>
        <w:rPr>
          <w:rFonts w:ascii="FreeSerif" w:hAnsi="FreeSerif"/>
          <w:sz w:val="22"/>
        </w:rPr>
        <w:t>Ces empires sont absents des manuels scolaires africains postcoloniaux, rédigés sur le modèle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Date</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120" w:after="120"/>
        <w:pBdr>
          <w:bottom w:val="single" w:sz="3" w:space="2" w:color="A07820"/>
        </w:pBdr>
      </w:pP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before="120" w:after="120"/>
        <w:pBdr>
          <w:bottom w:val="single" w:sz="3" w:space="2" w:color="A07820"/>
        </w:pBdr>
      </w:pP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before="120" w:after="120"/>
        <w:pBdr>
          <w:bottom w:val="single" w:sz="3" w:space="2" w:color="A07820"/>
        </w:pBdr>
      </w:pP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Étape</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before="120" w:after="120"/>
        <w:pBdr>
          <w:bottom w:val="single" w:sz="3" w:space="2" w:color="A07820"/>
        </w:pBdr>
      </w:pP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Élément</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Indicateur</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 n'est pas une coïncidence géographique. C'est une méthode.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before="120" w:after="120"/>
        <w:pBdr>
          <w:bottom w:val="single" w:sz="3" w:space="2" w:color="A07820"/>
        </w:pBdr>
      </w:pP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before="120" w:after="120"/>
        <w:pBdr>
          <w:bottom w:val="single" w:sz="3" w:space="2" w:color="A07820"/>
        </w:pBdr>
      </w:pP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before="120" w:after="120"/>
        <w:pBdr>
          <w:bottom w:val="single" w:sz="3" w:space="2" w:color="A07820"/>
        </w:pBdr>
      </w:pP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before="120" w:after="120"/>
        <w:pBdr>
          <w:bottom w:val="single" w:sz="3" w:space="2" w:color="A07820"/>
        </w:pBdr>
      </w:pP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Niveau</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Terme officiel</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Indicateur</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before="120" w:after="120"/>
        <w:pBdr>
          <w:bottom w:val="single" w:sz="3" w:space="2" w:color="A07820"/>
        </w:pBdr>
      </w:pP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Sur le plan intérieur, l'homme fut autoritaire, imprévisible, parfois brutal.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Projet</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Ce qui s'est déversé vers le Sahel</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120" w:after="120"/>
        <w:pBdr>
          <w:bottom w:val="single" w:sz="3" w:space="2" w:color="A07820"/>
        </w:pBdr>
      </w:pP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before="120" w:after="120"/>
        <w:pBdr>
          <w:bottom w:val="single" w:sz="3" w:space="2" w:color="A07820"/>
        </w:pBdr>
      </w:pP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Réalité des corridors transsahariens</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after="60"/>
        <w:ind w:firstLine="567"/>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before="120" w:after="120"/>
        <w:pBdr>
          <w:bottom w:val="single" w:sz="3" w:space="2" w:color="A07820"/>
        </w:pBdr>
      </w:pP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Indicateur</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sont exterminées en cent jours. Le génocide le plus rapide du XXe siècle. Et la France en était complice — non par inaction, mais par engagement actif. La </w:t>
      </w:r>
      <w:r>
        <w:rPr>
          <w:rFonts w:ascii="FreeSerif" w:hAnsi="FreeSerif"/>
          <w:b/>
          <w:sz w:val="22"/>
        </w:rPr>
        <w:t>Commission Duclert</w:t>
      </w:r>
      <w:r>
        <w:rPr>
          <w:rFonts w:ascii="FreeSerif" w:hAnsi="FreeSerif"/>
          <w:sz w:val="22"/>
        </w:rPr>
        <w:t xml:space="preserve">, mandatée par l'Élysée lui-même, l'a reconnu en 2021 : « </w:t>
      </w:r>
      <w:r>
        <w:rPr>
          <w:rFonts w:ascii="FreeSerif" w:hAnsi="FreeSerif"/>
          <w:b/>
          <w:sz w:val="22"/>
        </w:rPr>
        <w:t>responsabilités lourdes et accablantes</w:t>
      </w:r>
      <w:r>
        <w:rPr>
          <w:rFonts w:ascii="FreeSerif" w:hAnsi="FreeSerif"/>
          <w:sz w:val="22"/>
        </w:rPr>
        <w:t xml:space="preserve"> » de l'État français.</w:t>
      </w:r>
    </w:p>
    <w:p>
      <w:pPr>
        <w:spacing w:after="60"/>
        <w:ind w:firstLine="567"/>
      </w:pPr>
      <w:r>
        <w:rPr>
          <w:rFonts w:ascii="FreeSerif" w:hAnsi="FreeSerif"/>
          <w:sz w:val="22"/>
        </w:rPr>
        <w:t>Depuis 1990, Paris soutient le régime Habyarimana — dictateur francophone, adopté par la famille franco-africaine. Opération Noroît, livraisons d'armes aux FAR, blocage militaire de l'offensive FPR en février 1993 — sans la France, le régime aurait peut-être chuté un an avant le génocide. L'ambassade française soutient ensuite la formation du gouvernement intérimaire génocidaire le 6 avril 1994, le jour même où commence le massacre.</w:t>
      </w:r>
    </w:p>
    <w:p>
      <w:pPr>
        <w:spacing w:after="60"/>
        <w:ind w:firstLine="567"/>
      </w:pPr>
      <w:r>
        <w:rPr>
          <w:rFonts w:ascii="FreeSerif" w:hAnsi="FreeSerif"/>
          <w:sz w:val="22"/>
        </w:rPr>
        <w:t>L'</w:t>
      </w:r>
      <w:r>
        <w:rPr>
          <w:rFonts w:ascii="FreeSerif" w:hAnsi="FreeSerif"/>
          <w:b/>
          <w:sz w:val="22"/>
        </w:rPr>
        <w:t>opération Amaryllis</w:t>
      </w:r>
      <w:r>
        <w:rPr>
          <w:rFonts w:ascii="FreeSerif" w:hAnsi="FreeSerif"/>
          <w:sz w:val="22"/>
        </w:rPr>
        <w:t xml:space="preserve"> évacue les ressortissants français et des dignitaires hutus extrémistes. Les employés tutsis des Français sont laissés sur le tarmac, livrés aux machettes. L'</w:t>
      </w:r>
      <w:r>
        <w:rPr>
          <w:rFonts w:ascii="FreeSerif" w:hAnsi="FreeSerif"/>
          <w:b/>
          <w:sz w:val="22"/>
        </w:rPr>
        <w:t>opération Turquoise</w:t>
      </w:r>
      <w:r>
        <w:rPr>
          <w:rFonts w:ascii="FreeSerif" w:hAnsi="FreeSerif"/>
          <w:sz w:val="22"/>
        </w:rPr>
        <w:t>, présentée comme humanitaire, laisse délibérément des centaines de survivants tutsis à leurs tueurs à Bisesero, puis organise l'évacuation vers le Zaïre du gouvernement génocidaire et de ses troupes — avec leurs armes. On sauve les bourreaux.</w:t>
      </w:r>
    </w:p>
    <w:p>
      <w:pPr>
        <w:spacing w:after="60"/>
        <w:ind w:firstLine="567"/>
      </w:pPr>
      <w:r>
        <w:rPr>
          <w:rFonts w:ascii="FreeSerif" w:hAnsi="FreeSerif"/>
          <w:sz w:val="22"/>
        </w:rPr>
        <w:t xml:space="preserve">Pourquoi ? La réponse tient en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aujourd'hui la gratitude des Africains pour Serval et Barkhane a protégé, armé et escorté les auteurs du génocide rwandais. C'est à cette arithmétique du sang que les peuples sahéliens ont répondu en 2020, 2022 et 2023.</w:t>
      </w:r>
    </w:p>
    <w:p>
      <w:pPr>
        <w:spacing w:before="120" w:after="120"/>
        <w:pBdr>
          <w:bottom w:val="single" w:sz="3" w:space="2" w:color="A07820"/>
        </w:pBdr>
      </w:pP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before="120" w:after="120"/>
        <w:pBdr>
          <w:bottom w:val="single" w:sz="3" w:space="2" w:color="A07820"/>
        </w:pBdr>
      </w:pP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Faye, de Podassé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la première citoyenne suisse sanctionnée par l'UE</w:t>
      </w:r>
    </w:p>
    <w:p>
      <w:pPr>
        <w:spacing w:after="60"/>
      </w:pPr>
      <w:r>
        <w:rPr>
          <w:rFonts w:ascii="FreeSerif" w:hAnsi="FreeSerif"/>
          <w:sz w:val="22"/>
        </w:rPr>
        <w:t xml:space="preserve">En juin 2025, Nathalie Yamb devient la première citoyenne suisse à figurer sur la liste des sanctions de l'Union européenne — officiellement dans le cadre des mesures contre la Russie. Les motifs officiels inscrits dans la décision : elle </w:t>
      </w:r>
      <w:r>
        <w:rPr>
          <w:rFonts w:ascii="FreeSerif" w:hAnsi="FreeSerif"/>
          <w:i/>
          <w:sz w:val="22"/>
        </w:rPr>
        <w:t>« s'emploie à chasser la France et l'Occident d'Afrique »</w:t>
      </w:r>
      <w:r>
        <w:rPr>
          <w:rFonts w:ascii="FreeSerif" w:hAnsi="FreeSerif"/>
          <w:sz w:val="22"/>
        </w:rPr>
        <w:t>. Pas d'agent du Kremlin. Pas d'espionnage. Sa lutte pour la souveraineté africaine. C'est la raison. Écrite noir sur blanc dans un document officiel de l'Union européenne.</w:t>
      </w:r>
    </w:p>
    <w:p>
      <w:pPr>
        <w:spacing w:after="60"/>
        <w:ind w:firstLine="567"/>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 Aucune procédure. Aucun droit à la défense. La décision est publiée au Journal officiel de l'UE. C'est suffisant. Les conséquences sont immédiates : cartes de crédit annulées, comptes bancaires suisses gelés puis fermés, comptes crypto clôturés, chaîne YouTube démonétisée (Google paie depuis l'Irlande, membre de l'UE), Airbnb, Amazon, Google, Netflix : coupés. Compagnies aériennes : risque de refus d'embarquement. Une banque suisse a transféré ses avoirs en francs suisses. </w:t>
      </w:r>
      <w:r>
        <w:rPr>
          <w:rFonts w:ascii="FreeSerif" w:hAnsi="FreeSerif"/>
          <w:b/>
          <w:sz w:val="22"/>
        </w:rPr>
        <w:t>Le montant en euros a disparu. Volé.</w:t>
      </w:r>
      <w:r>
        <w:rPr>
          <w:rFonts w:ascii="FreeSerif" w:hAnsi="FreeSerif"/>
          <w:sz w:val="22"/>
        </w:rPr>
        <w:t xml:space="preserve"> En un jour, une femme libre devient une femme traquée. Sans procès.</w:t>
      </w:r>
    </w:p>
    <w:p>
      <w:pPr>
        <w:spacing w:after="60"/>
        <w:ind w:firstLine="567"/>
      </w:pPr>
      <w:r>
        <w:rPr>
          <w:rFonts w:ascii="FreeSerif" w:hAnsi="FreeSerif"/>
          <w:sz w:val="22"/>
        </w:rPr>
        <w:t xml:space="preserve">La Suisse n'est pas membre de l'Union européenne. Le gouvernement suisse (SECO) a confirmé que ces sanctions </w:t>
      </w:r>
      <w:r>
        <w:rPr>
          <w:rFonts w:ascii="FreeSerif" w:hAnsi="FreeSerif"/>
          <w:b/>
          <w:sz w:val="22"/>
        </w:rPr>
        <w:t>ne s'appliquent pas en Suisse</w:t>
      </w:r>
      <w:r>
        <w:rPr>
          <w:rFonts w:ascii="FreeSerif" w:hAnsi="FreeSerif"/>
          <w:sz w:val="22"/>
        </w:rPr>
        <w:t xml:space="preserve">. Les entreprises suisses qui les appliquent </w:t>
      </w:r>
      <w:r>
        <w:rPr>
          <w:rFonts w:ascii="FreeSerif" w:hAnsi="FreeSerif"/>
          <w:b/>
          <w:sz w:val="22"/>
        </w:rPr>
        <w:t>agissent illégalement</w:t>
      </w:r>
      <w:r>
        <w:rPr>
          <w:rFonts w:ascii="FreeSerif" w:hAnsi="FreeSerif"/>
          <w:sz w:val="22"/>
        </w:rPr>
        <w:t xml:space="preserve"> au regard du droit suisse. La réponse du SECO aux avocats de Yamb : </w:t>
      </w:r>
      <w:r>
        <w:rPr>
          <w:rFonts w:ascii="FreeSerif" w:hAnsi="FreeSerif"/>
          <w:i/>
          <w:sz w:val="22"/>
        </w:rPr>
        <w:t>« Si des entreprises suisses appliquent illégalement ces sanctions, vous êtes libre de les poursuivre en justice. »</w:t>
      </w:r>
      <w:r>
        <w:rPr>
          <w:rFonts w:ascii="FreeSerif" w:hAnsi="FreeSerif"/>
          <w:sz w:val="22"/>
        </w:rPr>
        <w:t xml:space="preserve"> Traduction : l'État confirme l'illégalité, refuse d'intervenir, et renvoie la citoyenne vers des procédures coûteuses — dont l'argent est précisément gelé.</w:t>
      </w:r>
    </w:p>
    <w:p>
      <w:pPr>
        <w:spacing w:after="60"/>
        <w:ind w:firstLine="567"/>
      </w:pPr>
      <w:r>
        <w:rPr>
          <w:rFonts w:ascii="FreeSerif" w:hAnsi="FreeSerif"/>
          <w:sz w:val="22"/>
        </w:rPr>
        <w:t xml:space="preserve">Yamb ne peut pas rentrer en Suisse. Non pas parce qu'un texte le lui interdit explicitement, mais parce que le règlement européen de 2024 inclut l'espace aérien dans la définition du territoire européen. Conséquences concrètes : elle ne peut pas assister à la naissance de son petit-enfant. Elle ne sera pas présente pour les 80 ans de sa mère. Son fils, qui porte le même nom, voit parfois ses paiements refusés — </w:t>
      </w:r>
      <w:r>
        <w:rPr>
          <w:rFonts w:ascii="FreeSerif" w:hAnsi="FreeSerif"/>
          <w:b/>
          <w:sz w:val="22"/>
        </w:rPr>
        <w:t>dommage collatéral</w:t>
      </w:r>
      <w:r>
        <w:rPr>
          <w:rFonts w:ascii="FreeSerif" w:hAnsi="FreeSerif"/>
          <w:sz w:val="22"/>
        </w:rPr>
        <w:t xml:space="preserve">. La chronologie n'est pas nouvelle : en 2019, après son intervention au sommet Russie-Afrique de Sochi sur la France-Afrique, Macron appelle le président ivoirien. Yamb est arrêtée, détenue, puis expulsée vers la Suisse — en robe d'été, sans bagages, sans papiers, sans argent — en plein hiver, le 3 décembre. Elle contacte l'ambassade suisse à Abidjan. Aucune réponse. Elle obtient finalement les fichiers internes des autorités suisses : dans les échanges entre l'ambassadeur de Suisse en Côte d'Ivoire et Berne, un responsable a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i/>
          <w:sz w:val="22"/>
        </w:rPr>
        <w:t>« Ces sanctions sont faites pour affecter votre santé mentale. Pour ébranler votre détermination. Pour vous atteindre financièrement, moralement, psychologiquement — afin que vous soyez tellement occupé à chercher des solutions que vous n'ayez plus de temps pour votre lutte. »</w:t>
      </w:r>
      <w:r>
        <w:rPr>
          <w:rFonts w:ascii="FreeSerif" w:hAnsi="FreeSerif"/>
          <w:sz w:val="22"/>
        </w:rPr>
        <w:t xml:space="preserve"> Ce mécanisme — toute l'Afrique le connaît.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fabrique de la haine en ligne</w:t>
      </w:r>
    </w:p>
    <w:p>
      <w:pPr>
        <w:spacing w:after="60"/>
      </w:pPr>
      <w:r>
        <w:rPr>
          <w:rFonts w:ascii="FreeSerif" w:hAnsi="FreeSerif"/>
          <w:sz w:val="22"/>
        </w:rPr>
        <w:t>Le mouvement des « 12 Apôtres » a été fondé par Rodrigue Joseph Prudence Mayte, dit « Kerembesse » — dont la page Facebook « Kerembesse Govossango » est devenue, selon les termes mêmes des sources judiciaires françaises, « la plateforme des propos malveillants, des injures ou diffamations, des atteintes graves à la vie d'autres Centrafricains ». La structure du mouvement ressemble à une franchise de la désinformation : Kerembesse est le « Manager général » ; ses « disciples » ont pour tâche de partager ses publications, de commenter avec des insultes et de s'en prendre à tous les Centrafricains proches du gouvernement de Bangui. L'appartenance au groupe exige une « solidarité dans le mal » — les membres eux-mêmes ont des démêlés judiciaires avec les autorités de leur pays d'origine, ce qui constitue leur ciment idéologique.</w:t>
      </w:r>
    </w:p>
    <w:p>
      <w:pPr>
        <w:spacing w:after="60"/>
        <w:ind w:firstLine="567"/>
      </w:pPr>
      <w:r>
        <w:rPr>
          <w:rFonts w:ascii="FreeSerif" w:hAnsi="FreeSerif"/>
          <w:sz w:val="22"/>
        </w:rPr>
        <w:t>La réponse judiciaire est venue non de Bangui mais de Nantes. Le 21 décembre 2023, le Tribunal correctionnel de Nantes, 6e chambre section B, a condamné Lilly Blanche Koulaninga et Larissa Adina Tomte — alias « Parfaite champagne », toutes deux membres actives du mouvement — à une amende délictuelle de 1 500 euros avec sursis pour « diffamation envers un particulier par parole, écrit, image ou moyen de communication au public sur Facebook ». La victime était le Dr Martial Pabandji, homme d'affaires et enseignant-chercheur à l'Université de Bangui, traité de « faux docteur, d'escroc et de voleur qui traîne une ribambelle de casseroles derrière lui » dans des publications des 2 et 4 janvier 2023. Devant le tribunal, dame Koulaninga — proche parent et directrice de cabinet de l'opposant Dologuélé — n'a présenté aucune preuve de ses allégations. Le juge a en outre ordonné le retrait immédiat des injures sous astreinte de cent euros par jour de retard et l'octroi de dommages et intérêts à la victime.</w:t>
      </w:r>
    </w:p>
    <w:p>
      <w:pPr>
        <w:spacing w:after="60"/>
        <w:ind w:firstLine="567"/>
      </w:pPr>
      <w:r>
        <w:rPr>
          <w:rFonts w:ascii="FreeSerif" w:hAnsi="FreeSerif"/>
          <w:sz w:val="22"/>
        </w:rPr>
        <w:t>La portée dépasse l'anecdote. Trois constats s'imposent. Premier constat : depuis 2017, ce réseau a systématiquement pris pour cibles des autorités centrafricaines — sans preuves, sans vérification des faits, avec une mécanique répétitive que la procédure pénale française a qualifiée de délictuelle. Deuxième constat : le tribunal français a rejeté l'intégralité des demandes de nullité des prévenues, infirmant la thèse selon laquelle la liberté d'expression couvrirait les attaques nominales non étayées contre des particuliers. Troisième constat : les deux condamnées ont annoncé leur intention de faire appel le jour de Noël 2023, lors d'un livestream avec les « 12 Apôtres » — prouvant que la condamnation n'entame pas la dynamique du réseau mais en dévoile la mécanique pour qui veut la voir.</w:t>
      </w:r>
    </w:p>
    <w:p>
      <w:pPr>
        <w:spacing w:after="60"/>
        <w:ind w:firstLine="567"/>
      </w:pPr>
      <w:r>
        <w:rPr>
          <w:rFonts w:ascii="FreeSerif" w:hAnsi="FreeSerif"/>
          <w:sz w:val="22"/>
        </w:rPr>
        <w:t>Ce précédent judiciaire ouvre une voie que d'autres victimes commencent à emprunter. La citation directe en correctionnelle — contournant la lenteur des procédures classiques — devient un outil accessible pour qui dispose des moyens de l'activer. La bataille de l'information se joue désormais aussi dans les prétoires européens, où les réseaux de désinformation diasporique affrontent une justice qui, pour une fois, n'a pas distingué selon la couleur du prévenu ou de la victime.</w:t>
      </w:r>
    </w:p>
    <w:p>
      <w:pPr>
        <w:spacing w:before="200" w:after="80"/>
      </w:pPr>
      <w:r>
        <w:rPr>
          <w:rFonts w:ascii="FreeSerif" w:hAnsi="FreeSerif"/>
          <w:b/>
          <w:color w:val="2C3A4A"/>
          <w:sz w:val="20"/>
        </w:rPr>
        <w:t>De Facebook à La Haye : la guerre judiciaire exportée</w:t>
      </w:r>
    </w:p>
    <w:p>
      <w:pPr>
        <w:spacing w:after="60"/>
      </w:pPr>
      <w:r>
        <w:rPr>
          <w:rFonts w:ascii="FreeSerif" w:hAnsi="FreeSerif"/>
          <w:sz w:val="22"/>
        </w:rPr>
        <w:t>La condamnation de Nantes n'a pas mis fin à la stratégie du réseau. En octobre 2025, Kerembessé — de son vrai nom Rodrigo Maïté, ancien militant du Kwa na Kwa (KNK), le parti de François Bozizé — a franchi une nouvelle étape. Le collectif des « 12 Apôtres », en association avec l'avocat canadien Maître Philippe Larochelle, a déposé auprès de la Cour pénale internationale une communication au titre de l'article 15 du Statut de Rome visant le président Faustin Archange Touadéra et les instructeurs russes présents en RCA.</w:t>
      </w:r>
    </w:p>
    <w:p>
      <w:pPr>
        <w:spacing w:after="60"/>
        <w:ind w:firstLine="567"/>
      </w:pPr>
      <w:r>
        <w:rPr>
          <w:rFonts w:ascii="FreeSerif" w:hAnsi="FreeSerif"/>
          <w:sz w:val="22"/>
        </w:rPr>
        <w:t xml:space="preserve">La cohérence politique du dispositif est avouée sans détour. Kerembessé lui-même a formulé l'alternative sans ambiguïté : </w:t>
      </w:r>
      <w:r>
        <w:rPr>
          <w:rFonts w:ascii="FreeSerif" w:hAnsi="FreeSerif"/>
          <w:i/>
          <w:sz w:val="22"/>
        </w:rPr>
        <w:t>« Deux options pour écarter Touadéra : le coup d'État ou la CPI. »</w:t>
      </w:r>
      <w:r>
        <w:rPr>
          <w:rFonts w:ascii="FreeSerif" w:hAnsi="FreeSerif"/>
          <w:sz w:val="22"/>
        </w:rPr>
        <w:t xml:space="preserve"> Quand la CPI est présentée ouvertement comme l'alternative d'un putsch, la cause n'est plus celle des droits humains — c'est celle du changement de régime par d'autres moyens.</w:t>
      </w:r>
    </w:p>
    <w:p>
      <w:pPr>
        <w:spacing w:after="60"/>
        <w:ind w:firstLine="567"/>
      </w:pPr>
      <w:r>
        <w:rPr>
          <w:rFonts w:ascii="FreeSerif" w:hAnsi="FreeSerif"/>
          <w:sz w:val="22"/>
        </w:rPr>
        <w:t>Le profil de l'avocat choisi complète le tableau. Philippe Larochelle n'est pas inconnu à la CPI : il a défendu Maxime Mokome, chef anti-balaka poursuivi pour crimes contre l'humanité et crimes de guerre en RCA. Qu'un avocat de la défense d'un milicien se retrouve, quelques années plus tard, à accuser le pouvoir central des mêmes types de crimes, n'est pas illégal en soi — mais le contraste interroge la géométrie des indignations. Larochelle fustige le « régime Touadéra » en reléguant systématiquement les violences des groupes armés au second plan ; or depuis 2013, c'est la Séléka et les anti-balaka qui ont ravagé la Centrafrique, et la CPC de Bozizé qui, en 2020, a rallumé le brasier d'attaques et de pillages après son échec putschiste.</w:t>
      </w:r>
    </w:p>
    <w:p>
      <w:pPr>
        <w:spacing w:after="60"/>
        <w:ind w:firstLine="567"/>
      </w:pPr>
      <w:r>
        <w:rPr>
          <w:rFonts w:ascii="FreeSerif" w:hAnsi="FreeSerif"/>
          <w:sz w:val="22"/>
        </w:rPr>
        <w:t>L'architecture est limpide : échec militaire de 2020 → stratégie judiciaire exportée vers La Haye → même réseau, même objectif, même financement. La « communication » à la CPI est construite comme un produit médiatique : témoignages anonymes, fragments agrégés, collecte numérique, emballement en ligne. La justice internationale, rappelons-le, exige des témoins à visage découvert et des preuves vérifiables — critères incompatibles avec les livestreams rageurs qui constituent le socle probatoire du collectif. La même fragilité qui a valu à Koulaninga et Adina Tomte leur condamnation à Nantes mine la crédibilité de la saisine internationale.</w:t>
      </w:r>
    </w:p>
    <w:p>
      <w:pPr>
        <w:spacing w:after="60"/>
        <w:ind w:firstLine="567"/>
      </w:pPr>
      <w:r>
        <w:rPr>
          <w:rFonts w:ascii="FreeSerif" w:hAnsi="FreeSerif"/>
          <w:sz w:val="22"/>
        </w:rPr>
        <w:t>Le fil conducteur — Kerembessé, Bozizé, Larochelle — n'est pas celui d'une quête de justice. C'est celui d'une structure diasporique politisée qui recycle un échec militaire en croisade judiciaire, en utilisant successivement Facebook, les prétoires français et la CPI comme terrains de la même guerre. La frontière entre droit international et propagande politique disparaît quand l'un des camps pose lui-même l'équivalence : « le putsch ou La Haye ».</w:t>
      </w:r>
    </w:p>
    <w:p>
      <w:pPr>
        <w:spacing w:before="120" w:after="120"/>
        <w:pBdr>
          <w:bottom w:val="single" w:sz="3" w:space="2" w:color="A07820"/>
        </w:pBdr>
      </w:pP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120" w:after="120"/>
        <w:pBdr>
          <w:bottom w:val="single" w:sz="3" w:space="2" w:color="A07820"/>
        </w:pBdr>
      </w:pP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120" w:after="120"/>
        <w:pBdr>
          <w:bottom w:val="single" w:sz="3" w:space="2" w:color="A07820"/>
        </w:pBdr>
      </w:pP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120" w:after="120"/>
        <w:pBdr>
          <w:bottom w:val="single" w:sz="3" w:space="2" w:color="A07820"/>
        </w:pBdr>
      </w:pP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120" w:after="120"/>
        <w:pBdr>
          <w:bottom w:val="single" w:sz="3" w:space="2" w:color="A07820"/>
        </w:pBdr>
      </w:pP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120" w:after="120"/>
        <w:pBdr>
          <w:bottom w:val="single" w:sz="3" w:space="2" w:color="A07820"/>
        </w:pBdr>
      </w:pP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120" w:after="120"/>
        <w:pBdr>
          <w:bottom w:val="single" w:sz="3" w:space="2" w:color="A07820"/>
        </w:pBdr>
      </w:pP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120" w:after="120"/>
        <w:pBdr>
          <w:bottom w:val="single" w:sz="3" w:space="2" w:color="A07820"/>
        </w:pBdr>
      </w:pP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120" w:after="120"/>
        <w:pBdr>
          <w:bottom w:val="single" w:sz="3" w:space="2" w:color="A07820"/>
        </w:pBdr>
      </w:pP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120" w:after="120"/>
        <w:pBdr>
          <w:bottom w:val="single" w:sz="3" w:space="2" w:color="A07820"/>
        </w:pBdr>
      </w:pP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120" w:after="120"/>
        <w:pBdr>
          <w:bottom w:val="single" w:sz="3" w:space="2" w:color="A07820"/>
        </w:pBdr>
      </w:pP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120" w:after="120"/>
        <w:pBdr>
          <w:bottom w:val="single" w:sz="3" w:space="2" w:color="A07820"/>
        </w:pBdr>
      </w:pP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120" w:after="120"/>
        <w:pBdr>
          <w:bottom w:val="single" w:sz="3" w:space="2" w:color="A07820"/>
        </w:pBdr>
      </w:pP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after="120"/>
        <w:pBdr>
          <w:bottom w:val="single" w:sz="3" w:space="2" w:color="A07820"/>
        </w:pBdr>
      </w:pP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La France vaincue à la table des vainqueurs</w:t>
      </w:r>
    </w:p>
    <w:p>
      <w:pPr>
        <w:spacing w:after="6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qu'une fraction de la puissance militaire des Alliés.</w:t>
      </w:r>
    </w:p>
    <w:p>
      <w:pPr>
        <w:spacing w:after="60"/>
        <w:ind w:firstLine="567"/>
      </w:pPr>
      <w:r>
        <w:rPr>
          <w:rFonts w:ascii="FreeSerif" w:hAnsi="FreeSerif"/>
          <w:sz w:val="22"/>
        </w:rPr>
        <w:t>La véritable force qui a libéré la France est américaine, britannique et canadienne — débarquement de Normandie, juin 1944. Les armées soviétiques ont mobilisé l'essentiel de la puissance de feu nazie sur le front de l'Est. Ce sont les États-Unis, l'Union soviétique et le Royaume-Uni qui ont gagné la guerre. La France, elle, a été libérée de l'extérieur.</w:t>
      </w:r>
    </w:p>
    <w:p>
      <w:pPr>
        <w:spacing w:after="60"/>
        <w:ind w:firstLine="567"/>
      </w:pPr>
      <w:r>
        <w:rPr>
          <w:rFonts w:ascii="FreeSerif" w:hAnsi="FreeSerif"/>
          <w:sz w:val="22"/>
        </w:rPr>
        <w:t>Pourtant, en 1945, lors de la fondation de l'ONU, la France obtient l'un des cinq sièges permanents. Comment ? 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60"/>
        <w:ind w:firstLine="567"/>
      </w:pPr>
      <w:r>
        <w:rPr>
          <w:rFonts w:ascii="FreeSerif" w:hAnsi="FreeSerif"/>
          <w:sz w:val="22"/>
        </w:rPr>
        <w:t>Un triomphe diplomatique sans équivalent dans l'histoire moderne.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after="60"/>
      </w:pPr>
      <w:r>
        <w:rPr>
          <w:rFonts w:ascii="FreeSerif" w:hAnsi="FreeSerif"/>
          <w:sz w:val="22"/>
        </w:rPr>
        <w:t>Le Conseil de sécurité de 1945 reflète le rapport de force de 1945. Le monde compte alors 51 États membres de l'ONU. En 2026, il en compte 193. L'Afrique — qui comptait moins de dix États indépendants en 1945 — en compte aujourd'hui 54 : plus du quart de l'Assemblée générale. Elle n'a toujours pas de siège permanent au Conseil de sécurité.</w:t>
      </w:r>
    </w:p>
    <w:p>
      <w:pPr>
        <w:spacing w:after="60"/>
        <w:ind w:firstLine="567"/>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60"/>
        <w:ind w:firstLine="567"/>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60"/>
        <w:ind w:firstLine="567"/>
      </w:pPr>
      <w:r>
        <w:rPr>
          <w:rFonts w:ascii="FreeSerif" w:hAnsi="FreeSerif"/>
          <w:sz w:val="22"/>
        </w:rPr>
        <w:t>Dans le contexte africain, ce mécanisme a été utilisé de manière systématique pour protéger les intérêts français.</w:t>
      </w:r>
    </w:p>
    <w:p>
      <w:pPr>
        <w:spacing w:after="60"/>
        <w:ind w:firstLine="567"/>
      </w:pPr>
      <w:r>
        <w:rPr>
          <w:rFonts w:ascii="FreeSerif" w:hAnsi="FreeSerif"/>
          <w:b/>
          <w:sz w:val="22"/>
        </w:rPr>
        <w:t>Mali — MINUSMA</w:t>
      </w:r>
      <w:r>
        <w:rPr>
          <w:rFonts w:ascii="FreeSerif" w:hAnsi="FreeSerif"/>
          <w:sz w:val="22"/>
        </w:rPr>
        <w:t xml:space="preserve"> : La MINUSMA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 Lorsque les autorités de transition maliennes ont demandé le retrait de la MINUSMA en 2023, Paris a tenté de conditionner ce retrait. Juge et partie, à perpétuité.</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renégociés avec des dispositions qui protégeaient certains acteurs locaux proches de Paris contre des enquêtes trop intrusives sur les violations des droits humains. Nommer les exactions françaises de la même période obligeait à comparer.</w:t>
      </w:r>
    </w:p>
    <w:p>
      <w:pPr>
        <w:spacing w:after="60"/>
        <w:ind w:firstLine="567"/>
      </w:pPr>
      <w:r>
        <w:rPr>
          <w:rFonts w:ascii="FreeSerif" w:hAnsi="FreeSerif"/>
          <w:b/>
          <w:sz w:val="22"/>
        </w:rPr>
        <w:t>Niger — 2023, le boomerang</w:t>
      </w:r>
      <w:r>
        <w:rPr>
          <w:rFonts w:ascii="FreeSerif" w:hAnsi="FreeSerif"/>
          <w:sz w:val="22"/>
        </w:rPr>
        <w:t xml:space="preserve"> : Après le coup d'État du 26 juillet 2023, la France a tenté d'utiliser le Conseil de sécurité pour légitimer une éventuelle intervention militaire via la CEDEAO. La résolution nécessaire n'a jamais été adoptée. La Russie et la Chine ont invoqué — symétriquement — la non-ingérence dans les affaires internes des États souverains. 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80"/>
      </w:pPr>
      <w:r>
        <w:rPr>
          <w:rFonts w:ascii="FreeSerif" w:hAnsi="FreeSerif"/>
          <w:b/>
          <w:color w:val="2C3A4A"/>
          <w:sz w:val="20"/>
        </w:rPr>
        <w:t>Nucléaire et siège P5 : le lien circulaire</w:t>
      </w:r>
    </w:p>
    <w:p>
      <w:pPr>
        <w:spacing w:after="60"/>
      </w:pPr>
      <w:r>
        <w:rPr>
          <w:rFonts w:ascii="FreeSerif" w:hAnsi="FreeSerif"/>
          <w:sz w:val="22"/>
        </w:rPr>
        <w:t>Juillet reprend l'argument que les présidents français répètent depuis de Gaulle : la France est membre permanent du Conseil de sécurité parce qu'elle est une puissance nucléaire, et elle maintient sa dissuasion nucléaire parce qu'elle est membre permanent. Les deux se renforcent mutuellement dans une logique circulaire.</w:t>
      </w:r>
    </w:p>
    <w:p>
      <w:pPr>
        <w:spacing w:after="60"/>
        <w:ind w:firstLine="567"/>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60"/>
        <w:ind w:firstLine="567"/>
      </w:pPr>
      <w:r>
        <w:rPr>
          <w:rFonts w:ascii="FreeSerif" w:hAnsi="FreeSerif"/>
          <w:sz w:val="22"/>
        </w:rPr>
        <w:t>Ce qui est réel : en 2026, la France peut menacer de représailles nucléaires tout en bénéficiant d'une immunité diplomatique au Conseil de sécurité. Cette combinaison lui confère une position que peu d'États dans le monde peuvent disputer.</w:t>
      </w:r>
    </w:p>
    <w:p>
      <w:pPr>
        <w:spacing w:after="60"/>
        <w:ind w:firstLine="567"/>
      </w:pPr>
      <w:r>
        <w:rPr>
          <w:rFonts w:ascii="FreeSerif" w:hAnsi="FreeSerif"/>
          <w:sz w:val="22"/>
        </w:rPr>
        <w:t>Et quand la France intervient militairement quelque part, elle peut invoquer — même rétrospectivement, même par des contorsions interprétatives — une résolution du Conseil de sécurité pour habiller l'opération d'un vernis multilatéral. Serval au Mali en 2013 a ainsi été présenté comme implicitement couvert par la résolution 2085 adoptée quelques semaines plus tôt — qui autorisait une force africaine sous mandat CEDEAO et non une intervention française unilatérale. Un détail que la communication de guerre pouvait dissimuler.</w:t>
      </w:r>
    </w:p>
    <w:p>
      <w:pPr>
        <w:spacing w:after="60"/>
        <w:ind w:firstLine="567"/>
      </w:pPr>
      <w:r>
        <w:rPr>
          <w:rFonts w:ascii="FreeSerif" w:hAnsi="FreeSerif"/>
          <w:sz w:val="22"/>
        </w:rPr>
        <w:t>Sans siège permanent, sans veto, la France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80"/>
      </w:pPr>
      <w:r>
        <w:rPr>
          <w:rFonts w:ascii="FreeSerif" w:hAnsi="FreeSerif"/>
          <w:b/>
          <w:color w:val="2C3A4A"/>
          <w:sz w:val="20"/>
        </w:rPr>
        <w:t>La demande africaine : vingt ans d'attente</w:t>
      </w:r>
    </w:p>
    <w:p>
      <w:pPr>
        <w:spacing w:after="60"/>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w:t>
      </w:r>
    </w:p>
    <w:p>
      <w:pPr>
        <w:spacing w:after="60"/>
        <w:ind w:firstLine="567"/>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60"/>
        <w:ind w:firstLine="567"/>
      </w:pPr>
      <w:r>
        <w:rPr>
          <w:rFonts w:ascii="FreeSerif" w:hAnsi="FreeSerif"/>
          <w:sz w:val="22"/>
        </w:rPr>
        <w:t>Pour l'AES spécifiquement, la réforme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w:t>
      </w:r>
    </w:p>
    <w:p>
      <w:pPr>
        <w:spacing w:before="200" w:after="80"/>
      </w:pPr>
      <w:r>
        <w:rPr>
          <w:rFonts w:ascii="FreeSerif" w:hAnsi="FreeSerif"/>
          <w:b/>
          <w:color w:val="2C3A4A"/>
          <w:sz w:val="20"/>
        </w:rPr>
        <w:t>La résistance française : protéger la rente</w:t>
      </w:r>
    </w:p>
    <w:p>
      <w:pPr>
        <w:spacing w:after="60"/>
      </w:pPr>
      <w:r>
        <w:rPr>
          <w:rFonts w:ascii="FreeSerif" w:hAnsi="FreeSerif"/>
          <w:sz w:val="22"/>
        </w:rPr>
        <w:t>La France est l'un des opposants les plus constants à toute réforme qui ajouterait des membres permanents avec droit de veto. La position officielle varie selon les gouvernements — parfois une ouverture rhétorique vers des sièges sans veto — mais sur le fond, aucun gouvernement français n'a jamais soutenu activement l'attribution d'un veto à un nouveau membre.</w:t>
      </w:r>
    </w:p>
    <w:p>
      <w:pPr>
        <w:spacing w:after="60"/>
        <w:ind w:firstLine="567"/>
      </w:pPr>
      <w:r>
        <w:rPr>
          <w:rFonts w:ascii="FreeSerif" w:hAnsi="FreeSerif"/>
          <w:sz w:val="22"/>
        </w:rPr>
        <w:t>La raison est simple : chaque nouveau veto accordé à un État réduit mécaniquement la valeur du veto français. Si l'Inde, le Brésil et deux États africains obtiennent des sièges permanents avec droit de veto, la France n'est plus une puissance unique — elle devient une puissance parmi huit ou neuf. Sa capacité à orienter les décisions du Conseil diminue. Sa monnaie d'échange diplomatique se dévalue.</w:t>
      </w:r>
    </w:p>
    <w:p>
      <w:pPr>
        <w:spacing w:after="60"/>
        <w:ind w:firstLine="567"/>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 Ce multilatéralisme sélectif est exactement ce que les gouvernements de l'AES ont désigné comme hypocrisie structurelle dans leurs discours de rupture.</w:t>
      </w:r>
    </w:p>
    <w:p>
      <w:pPr>
        <w:spacing w:after="60"/>
        <w:ind w:firstLine="567"/>
      </w:pPr>
      <w:r>
        <w:rPr>
          <w:rFonts w:ascii="FreeSerif" w:hAnsi="FreeSerif"/>
          <w:sz w:val="22"/>
        </w:rPr>
        <w:t>Le colonel Goïta, le capitaine Traoré, le général Tiani n'ont pas rejeté le droit international en général. Ils ont rejeté spécifiquement un ordre international dans lequel la France dispose d'un veto et l'Afrique non. Et pour eux, le siège permanent n'est pas une preuve de légitimité — c'est une preuve d'injustice institutionnalisée. La durée n'est pas la justice.</w:t>
      </w:r>
    </w:p>
    <w:p>
      <w:pPr>
        <w:spacing w:before="200" w:after="80"/>
      </w:pPr>
      <w:r>
        <w:rPr>
          <w:rFonts w:ascii="FreeSerif" w:hAnsi="FreeSerif"/>
          <w:b/>
          <w:color w:val="2C3A4A"/>
          <w:sz w:val="20"/>
        </w:rPr>
        <w:t>Ce que l'AES doit exiger</w:t>
      </w:r>
    </w:p>
    <w:p>
      <w:pPr>
        <w:spacing w:after="60"/>
      </w:pPr>
      <w:r>
        <w:rPr>
          <w:rFonts w:ascii="FreeSerif" w:hAnsi="FreeSerif"/>
          <w:sz w:val="22"/>
        </w:rPr>
        <w:t>Imaginons un Conseil de sécurité réformé comprenant deux sièges africains permanents avec droit de veto — scénario que l'UA défend depuis vingt ans. Qu'est-ce que cela changerait concrètement ?</w:t>
      </w:r>
    </w:p>
    <w:p>
      <w:pPr>
        <w:pStyle w:val="ListBullet"/>
      </w:pPr>
      <w:r>
        <w:rPr>
          <w:rFonts w:ascii="FreeSerif" w:hAnsi="FreeSerif"/>
          <w:b/>
          <w:sz w:val="21"/>
        </w:rPr>
        <w:t>Sur les opérations militaires</w:t>
      </w:r>
      <w:r>
        <w:rPr>
          <w:rFonts w:ascii="FreeSerif" w:hAnsi="FreeSerif"/>
          <w:sz w:val="21"/>
        </w:rPr>
        <w:t xml:space="preserve"> : toute résolution autorisant une intervention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pStyle w:val="ListBullet"/>
      </w:pPr>
      <w:r>
        <w:rPr>
          <w:rFonts w:ascii="FreeSerif" w:hAnsi="FreeSerif"/>
          <w:b/>
          <w:sz w:val="21"/>
        </w:rPr>
        <w:t>Sur les mandats des missions de paix</w:t>
      </w:r>
      <w:r>
        <w:rPr>
          <w:rFonts w:ascii="FreeSerif" w:hAnsi="FreeSerif"/>
          <w:sz w:val="21"/>
        </w:rPr>
        <w:t xml:space="preserve"> : leur définition ne pourrait plus être rédigée à Paris et présentée à New York. Elle devrait être négociée avec des partenaires disposant d'une capacité de blocage réelle.</w:t>
      </w:r>
    </w:p>
    <w:p>
      <w:pPr>
        <w:pStyle w:val="ListBullet"/>
      </w:pPr>
      <w:r>
        <w:rPr>
          <w:rFonts w:ascii="FreeSerif" w:hAnsi="FreeSerif"/>
          <w:b/>
          <w:sz w:val="21"/>
        </w:rPr>
        <w:t>Sur les sanctions</w:t>
      </w:r>
      <w:r>
        <w:rPr>
          <w:rFonts w:ascii="FreeSerif" w:hAnsi="FreeSerif"/>
          <w:sz w:val="21"/>
        </w:rPr>
        <w:t xml:space="preserve"> : les régimes de sanctions contre des États ou individus africains — dont la France est souvent l'initiatrice — seraient soumis à un filtre africain.</w:t>
      </w:r>
    </w:p>
    <w:p>
      <w:pPr>
        <w:pStyle w:val="ListBullet"/>
      </w:pPr>
      <w:r>
        <w:rPr>
          <w:rFonts w:ascii="FreeSerif" w:hAnsi="FreeSerif"/>
          <w:b/>
          <w:sz w:val="21"/>
        </w:rPr>
        <w:t>Sur la comptabilité des forces</w:t>
      </w:r>
      <w:r>
        <w:rPr>
          <w:rFonts w:ascii="FreeSerif" w:hAnsi="FreeSerif"/>
          <w:sz w:val="21"/>
        </w:rPr>
        <w:t xml:space="preserve"> : la capacité d'enquêter sur des violations, de demander des comptes sur des opérations, serait entre les mains d'États africains, non pas d'États ayant des intérêts à protéger dans ces opérations.</w:t>
      </w:r>
    </w:p>
    <w:p>
      <w:pPr>
        <w:spacing w:after="60"/>
        <w:ind w:firstLine="567"/>
      </w:pPr>
      <w:r>
        <w:rPr>
          <w:rFonts w:ascii="FreeSerif" w:hAnsi="FreeSerif"/>
          <w:sz w:val="22"/>
        </w:rPr>
        <w:t>Cette convergence réformatrice existe. L'Inde, le Brésil, l'Allemagne, le Japon portent depuis vingt ans le projet du G4. L'Union africaine le porte depuis le Consensus d'Ezulwini. La modification de la Charte de l'ONU exige l'accord des cinq membres permanents — chacun dispose d'un veto sur sa propre dépossession. Mais la pression s'accumule. Dans un monde multipolaire, la légitimité du statu quo s'érode.</w:t>
      </w:r>
    </w:p>
    <w:p>
      <w:pPr>
        <w:spacing w:after="60"/>
        <w:ind w:firstLine="567"/>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60"/>
        <w:ind w:firstLine="567"/>
      </w:pPr>
      <w:r>
        <w:rPr>
          <w:rFonts w:ascii="FreeSerif" w:hAnsi="FreeSerif"/>
          <w:sz w:val="22"/>
        </w:rPr>
        <w:t>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20" w:after="120"/>
        <w:pBdr>
          <w:bottom w:val="single" w:sz="3" w:space="2" w:color="A07820"/>
        </w:pBdr>
      </w:pPr>
    </w:p>
    <w:p>
      <w:pPr>
        <w:spacing w:after="60"/>
        <w:ind w:firstLine="567"/>
      </w:pPr>
      <w:r>
        <w:rPr>
          <w:rFonts w:ascii="FreeSerif" w:hAnsi="FreeSerif"/>
          <w:i/>
          <w:sz w:val="22"/>
        </w:rPr>
        <w:t>PARTIE IV — LA RÉVOLUTION DE LA SOUVERAINETÉ</w:t>
      </w:r>
    </w:p>
    <w:p>
      <w:pPr>
        <w:spacing w:before="120" w:after="120"/>
        <w:pBdr>
          <w:bottom w:val="single" w:sz="3" w:space="2" w:color="A07820"/>
        </w:pBdr>
      </w:pP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before="120" w:after="120"/>
        <w:pBdr>
          <w:bottom w:val="single" w:sz="3" w:space="2" w:color="A07820"/>
        </w:pBdr>
      </w:pP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 n'est pas un lapsus. C'est le programme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before="120" w:after="120"/>
        <w:pBdr>
          <w:bottom w:val="single" w:sz="3" w:space="2" w:color="A07820"/>
        </w:pBdr>
      </w:pP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Grief</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120" w:after="120"/>
        <w:pBdr>
          <w:bottom w:val="single" w:sz="3" w:space="2" w:color="A07820"/>
        </w:pBdr>
      </w:pP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Dispositif</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before="120" w:after="120"/>
        <w:pBdr>
          <w:bottom w:val="single" w:sz="3" w:space="2" w:color="A07820"/>
        </w:pBdr>
      </w:pP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20" w:after="120"/>
        <w:pBdr>
          <w:bottom w:val="single" w:sz="3" w:space="2" w:color="A07820"/>
        </w:pBdr>
      </w:pP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before="120" w:after="120"/>
        <w:pBdr>
          <w:bottom w:val="single" w:sz="3" w:space="2" w:color="A07820"/>
        </w:pBdr>
      </w:pP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w:t>
      </w:r>
    </w:p>
    <w:p>
      <w:pPr>
        <w:spacing w:after="60"/>
        <w:ind w:firstLine="567"/>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60"/>
        <w:ind w:firstLine="567"/>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démonétisé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60"/>
        <w:ind w:firstLine="567"/>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60"/>
        <w:ind w:firstLine="567"/>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60"/>
        <w:ind w:firstLine="567"/>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120" w:after="120"/>
        <w:pBdr>
          <w:bottom w:val="single" w:sz="3" w:space="2" w:color="A07820"/>
        </w:pBdr>
      </w:pPr>
    </w:p>
    <w:p>
      <w:pPr>
        <w:spacing w:after="60"/>
        <w:ind w:firstLine="567"/>
      </w:pPr>
      <w:r>
        <w:rPr>
          <w:rFonts w:ascii="FreeSerif" w:hAnsi="FreeSerif"/>
          <w:sz w:val="22"/>
        </w:rPr>
        <w:t>PARTIE V — LE RÉVEIL PANAFRICAIN</w:t>
      </w:r>
    </w:p>
    <w:p>
      <w:pPr>
        <w:spacing w:before="120" w:after="120"/>
        <w:pBdr>
          <w:bottom w:val="single" w:sz="3" w:space="2" w:color="A07820"/>
        </w:pBdr>
      </w:pP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120" w:after="120"/>
        <w:pBdr>
          <w:bottom w:val="single" w:sz="3" w:space="2" w:color="A07820"/>
        </w:pBdr>
      </w:pP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before="120" w:after="120"/>
        <w:pBdr>
          <w:bottom w:val="single" w:sz="3" w:space="2" w:color="A07820"/>
        </w:pBdr>
      </w:pPr>
    </w:p>
    <w:p>
      <w:pPr>
        <w:spacing w:after="60"/>
        <w:ind w:firstLine="567"/>
      </w:pPr>
      <w:r>
        <w:rPr>
          <w:rFonts w:ascii="FreeSerif" w:hAnsi="FreeSerif"/>
          <w:sz w:val="22"/>
        </w:rPr>
        <w:t>PARTIE VI — LES DÉFIS DE DEMAIN</w:t>
      </w:r>
    </w:p>
    <w:p>
      <w:pPr>
        <w:spacing w:before="120" w:after="120"/>
        <w:pBdr>
          <w:bottom w:val="single" w:sz="3" w:space="2" w:color="A07820"/>
        </w:pBdr>
      </w:pP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Donateur / année</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Dimension</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Partenaires Ou Nouveaux Maîtres?</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Indicateur</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pPr>
              <w:jc w:val="right"/>
            </w:pPr>
            <w:r>
              <w:rPr>
                <w:rFonts w:ascii="FreeSerif" w:hAnsi="FreeSerif"/>
                <w:i/>
                <w:color w:val="2C3A4A"/>
                <w:sz w:val="18"/>
              </w:rPr>
              <w:t>Fait documenté</w:t>
            </w:r>
          </w:p>
        </w:tc>
        <w:tc>
          <w:tcPr>
            <w:tcW w:type="dxa" w:w="4677"/>
            <w:tcBorders>
              <w:left w:val="none" w:sz="0" w:space="0" w:color="auto"/>
              <w:bottom w:val="none" w:sz="0" w:space="0" w:color="auto"/>
              <w:insideH w:val="none" w:sz="0" w:space="0" w:color="auto"/>
              <w:insideV w:val="none" w:sz="0" w:space="0" w:color="auto"/>
              <w:right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bottom w:val="none" w:sz="0" w:space="0" w:color="auto"/>
              <w:insideH w:val="none" w:sz="0" w:space="0" w:color="auto"/>
              <w:right w:val="none" w:sz="0" w:space="0" w:color="auto"/>
              <w:top w:val="none" w:sz="0" w:space="0" w:color="auto"/>
              <w:insideV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Ce n'est pas de la coïncidence. C'est une mécanique.</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n'est pas une réaction émotionnelle. C'est un projet.</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Il existe un mécanisme que personne ne formule à voix haute dans les chancelleries, mais que les peuples sahéliens ont compris intuitivement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before="120" w:after="120"/>
        <w:pBdr>
          <w:bottom w:val="single" w:sz="3" w:space="2" w:color="A07820"/>
        </w:pBdr>
      </w:pP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before="120" w:after="120"/>
        <w:pBdr>
          <w:bottom w:val="single" w:sz="3" w:space="2" w:color="A07820"/>
        </w:pBdr>
      </w:pP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before="120" w:after="120"/>
        <w:pBdr>
          <w:bottom w:val="single" w:sz="3" w:space="2" w:color="A07820"/>
        </w:pBdr>
      </w:pP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before="120" w:after="120"/>
        <w:pBdr>
          <w:bottom w:val="single" w:sz="3" w:space="2" w:color="A07820"/>
        </w:pBdr>
      </w:pP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On leur dit que les hommes de parole tiennent parole.</w:t>
      </w:r>
    </w:p>
    <w:p>
      <w:pPr>
        <w:spacing w:after="60"/>
        <w:ind w:firstLine="567"/>
      </w:pPr>
      <w:r>
        <w:rPr>
          <w:rFonts w:ascii="FreeSerif" w:hAnsi="FreeSerif"/>
          <w:sz w:val="22"/>
        </w:rPr>
        <w:t>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 crime prémédité, maquillé en rébellion</w:t>
      </w:r>
    </w:p>
    <w:p>
      <w:pPr>
        <w:spacing w:after="60"/>
      </w:pPr>
      <w:r>
        <w:rPr>
          <w:rFonts w:ascii="FreeSerif" w:hAnsi="FreeSerif"/>
          <w:sz w:val="22"/>
        </w:rPr>
        <w:t xml:space="preserve">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w:t>
      </w:r>
    </w:p>
    <w:p>
      <w:pPr>
        <w:spacing w:after="60"/>
        <w:ind w:firstLine="567"/>
      </w:pPr>
      <w:r>
        <w:rPr>
          <w:rFonts w:ascii="FreeSerif" w:hAnsi="FreeSerif"/>
          <w:sz w:val="22"/>
        </w:rPr>
        <w:t xml:space="preserve">La falsification a été organisée dès les premiers jours. Trois jours après le massacre, une circulaire est diffusée par le commandement français, affirmant que les soldats avaient perçu l'intégralité de leurs soldes de captivité — rendant ainsi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w:t>
      </w:r>
    </w:p>
    <w:p>
      <w:pPr>
        <w:spacing w:after="60"/>
        <w:ind w:firstLine="567"/>
      </w:pPr>
      <w:r>
        <w:rPr>
          <w:rFonts w:ascii="FreeSerif" w:hAnsi="FreeSerif"/>
          <w:sz w:val="22"/>
        </w:rPr>
        <w:t>La machine mémorielle a fonctionné à plein régime. Les archives ont été verrouillées. Les familles se sont heurtées à l'obstruction. Et quand François Hollande, lors de son premier voyage officiel en Afrique en 2012, promet de « restituer les archives » au Sénégal et qualifie les faits de « répression sanglante », quelques mois plus tard les copies remises sont en réalité le récit d'une histoire falsifiée — des rapports mensongers écrits sur ordre, des enquêtes à charge, des documents tronqués. On a livré la mise en scène du crime, pas la vérité du crime.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L'ingratitude comme doctrine</w:t>
      </w:r>
    </w:p>
    <w:p>
      <w:pPr>
        <w:spacing w:after="60"/>
      </w:pPr>
      <w:r>
        <w:rPr>
          <w:rFonts w:ascii="FreeSerif" w:hAnsi="FreeSerif"/>
          <w:sz w:val="22"/>
        </w:rPr>
        <w:t>Ce qui s'est passé à Thiaroye n'est pas un dérapage. C'est une doctrine.</w:t>
      </w:r>
    </w:p>
    <w:p>
      <w:pPr>
        <w:spacing w:after="60"/>
        <w:ind w:firstLine="567"/>
      </w:pPr>
      <w:r>
        <w:rPr>
          <w:rFonts w:ascii="FreeSerif" w:hAnsi="FreeSerif"/>
          <w:sz w:val="22"/>
        </w:rPr>
        <w:t>Le général de Gaulle ne permettra pas que ces soldats africains défilent sur les Champs-Élysées le 26 août 1944.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w:t>
      </w:r>
    </w:p>
    <w:p>
      <w:pPr>
        <w:spacing w:after="60"/>
        <w:ind w:firstLine="567"/>
      </w:pPr>
      <w:r>
        <w:rPr>
          <w:rFonts w:ascii="FreeSerif" w:hAnsi="FreeSerif"/>
          <w:sz w:val="22"/>
        </w:rPr>
        <w:t>Et pour les plus chanceux qui ont survécu à la guerre et à Thiaroye, une autre inégalité les attendait : les pensions versées aux anciens combattants africains étaient inférieures à celles de leurs homologues français. Un tirailleur africain percevait une fraction de ce que touchait un ancien combattant français — discrimination raciale institutionnalisée, maintenue des décennies durant, jusqu'à ce que la pression juridique et politique force des ajustements partiels.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80 ans après : l'obstruction continue</w:t>
      </w:r>
    </w:p>
    <w:p>
      <w:pPr>
        <w:spacing w:after="60"/>
      </w:pPr>
      <w:r>
        <w:rPr>
          <w:rFonts w:ascii="FreeSerif" w:hAnsi="FreeSerif"/>
          <w:sz w:val="22"/>
        </w:rPr>
        <w:t>En 2023, 78 ans après le massacre, aucune vérité officielle n'a été établie. Les archives restent inaccessibles ou falsifiées. Les fosses communes n'ont pas été ouvertes. Les condamnés de 1945 n'ont pas été réhabilités. Les familles des victimes attendent.</w:t>
      </w:r>
    </w:p>
    <w:p>
      <w:pPr>
        <w:spacing w:after="60"/>
        <w:ind w:firstLine="567"/>
      </w:pPr>
      <w:r>
        <w:rPr>
          <w:rFonts w:ascii="FreeSerif" w:hAnsi="FreeSerif"/>
          <w:sz w:val="22"/>
        </w:rPr>
        <w:t>Un film a été projeté en avant-première à Dakar — geste symbolique d'un comédien d'origine africaine naturalisé français. Des chercheurs hexagonaux ont commencé à s'emparer du sujet, après que les panafricanistes l'ont remis sur la table. La mécanique est connue : quand les Africains posent une question mémorielle, elle est ignorée ; quand un Français la reprend, elle devient légitime. Le dépôt mémoriel appartient à ceux qui ont le pouvoir de le valider.</w:t>
      </w:r>
    </w:p>
    <w:p>
      <w:pPr>
        <w:spacing w:after="60"/>
        <w:ind w:firstLine="567"/>
      </w:pPr>
      <w:r>
        <w:rPr>
          <w:rFonts w:ascii="FreeSerif" w:hAnsi="FreeSerif"/>
          <w:sz w:val="22"/>
        </w:rPr>
        <w:t>Albert Anatole Ayissi l'a dit sans détour : « Lorsqu'il faut parler du génocide arménien, on ne tient pas que des discours — il y a des actes. Mais pour Thiaroye, on nous vend du vent. » La comparaison est exacte. La hiérarchie des mémoires dit tout sur la hiérarchie des vies.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contentieux qui ne se négocie pas</w:t>
      </w:r>
    </w:p>
    <w:p>
      <w:pPr>
        <w:spacing w:after="60"/>
      </w:pPr>
      <w:r>
        <w:rPr>
          <w:rFonts w:ascii="FreeSerif" w:hAnsi="FreeSerif"/>
          <w:sz w:val="22"/>
        </w:rPr>
        <w:t>Thiaroye n'est pas un fait divers historique. C'est l'un des nœuds du contentieux franco-africain que ce livre décrit depuis son premier chapitre : une relation fondée sur l'extraction, l'ingratitude et l'impunité. Des hommes ont donné leur vie pour la France. La France les a tués, falsifié le bilan, condamné les survivants, et verrouillé les archives pendant 80 ans.</w:t>
      </w:r>
    </w:p>
    <w:p>
      <w:pPr>
        <w:spacing w:after="60"/>
        <w:ind w:firstLine="567"/>
      </w:pPr>
      <w:r>
        <w:rPr>
          <w:rFonts w:ascii="FreeSerif" w:hAnsi="FreeSerif"/>
          <w:sz w:val="22"/>
        </w:rPr>
        <w:t>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C'est un argument politique — et à Thiaroye, il est accablant.</w:t>
      </w:r>
    </w:p>
    <w:p>
      <w:pPr>
        <w:spacing w:after="60"/>
        <w:ind w:firstLine="567"/>
      </w:pPr>
      <w:r>
        <w:rPr>
          <w:rFonts w:ascii="FreeSerif" w:hAnsi="FreeSerif"/>
          <w:sz w:val="22"/>
        </w:rPr>
        <w:t>La France ne peut pas demander la confiance de l'Afrique tant qu'elle n'a pas ouvert ses archives, réhabilité ses victimes, nommé ses bourreaux. Ce n'est pas de l'anti-France. C'est de la comptabilité élémentaire.</w:t>
      </w:r>
    </w:p>
    <w:p>
      <w:pPr>
        <w:spacing w:before="120" w:after="120"/>
        <w:pBdr>
          <w:bottom w:val="single" w:sz="3" w:space="2" w:color="A07820"/>
        </w:pBdr>
      </w:pPr>
    </w:p>
    <w:p>
      <w:pPr>
        <w:spacing w:after="60"/>
        <w:ind w:firstLine="567"/>
      </w:pPr>
      <w:r>
        <w:rPr>
          <w:rFonts w:ascii="FreeSerif" w:hAnsi="FreeSerif"/>
          <w:i/>
          <w:sz w:val="22"/>
        </w:rPr>
        <w:t>Sources : Armelle Mabon, université Bretagne Sud, travaux sur le massacre de Thiaroye (archives France, Sénégal, Royaume-Uni) ; Albert Anatole Ayissi, directeur de publication du journal Le Cactus, émission Paroles Panafricanistes, Panafricaniste TV, 3 janvier 2023 ; François Hollande, déclaration lors de sa visite au Sénégal, 2012 ; procès militaire de mars 1945 (archives partiellement accessibles) ; Virginie Terrasse, documentaire Thiaroye 44 ; Global Slavery Index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before="120" w:after="120"/>
        <w:pBdr>
          <w:bottom w:val="single" w:sz="3" w:space="2" w:color="A07820"/>
        </w:pBdr>
      </w:pP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Ce n'est pas une métaphore.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Ce bilan est documenté dans ce livre depuis le chapitre 13 : la lettre malienne réécrite par les diplomates français, Iyad Ag Ghaly dans sa suite à l'hôtel Laïko à 4 kilomètres du palais présidentiel pendant que Gomart commandait les opérations spéciales, la Cour des comptes française établissant l'échec total. Le ministre ne dit pas autre chose. Il dit la même chose depuis l'intérieur.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Ce n'est pas de la propagande. Ce sont les mêmes faits que les données ACLED 2024-2026 documentent — imparfaitement, partiellement, mais dans la même direction. Les armées nationales progressent là où Barkhane avait échoué.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Cette phrase résume une doctrine que ce livre a tracée depuis son premier chapitre : la souveraineté n'est pas un slogan, c'est une organisation.</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before="120" w:after="120"/>
        <w:pBdr>
          <w:bottom w:val="single" w:sz="3" w:space="2" w:color="A07820"/>
        </w:pBdr>
      </w:pP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before="120" w:after="120"/>
        <w:pBdr>
          <w:bottom w:val="single" w:sz="3" w:space="2" w:color="A07820"/>
        </w:pBdr>
      </w:pP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Ce livre a documenté, chapitre après chapitre, comment ces groupes sont fabriqués, financés et dirigés depuis l'extérieur — depuis Paris, depuis N'Djamena, depuis Abu Dhabi. Mais une vérité complémentaire doit être dite : même fabriquée de l'extérieur, la rébellion trouve des relais à l'intérieur. Et c'est cet intérieur qu'il faut examiner.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n'est pas un outil de développement. C'est un outil d'extraction — au bénéfice de ceux qui la financent depuis l'extérieur, et de ceux qui en vivent à l'intérieur.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rébellion fabriquée, la complicité intérieure</w:t>
      </w:r>
    </w:p>
    <w:p>
      <w:pPr>
        <w:spacing w:after="60"/>
      </w:pPr>
      <w:r>
        <w:rPr>
          <w:rFonts w:ascii="FreeSerif" w:hAnsi="FreeSerif"/>
          <w:sz w:val="22"/>
        </w:rPr>
        <w:t>Ce livre l'a documenté : 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ne sont pas des attaques. Ce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n'est pas une opposition. C'est une concurrence pour le pouvoir sans projet pour le peuple.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n'est pas utopique. Il est la description de ce qu'un État fait quand il décide de gouverner plutôt que de se maintenir. Il est aussi la description de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 n'est pas de la colère. C'est de l'exigence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120" w:after="120"/>
        <w:pBdr>
          <w:bottom w:val="single" w:sz="3" w:space="2" w:color="A07820"/>
        </w:pBdr>
      </w:pP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before="120" w:after="120"/>
        <w:pBdr>
          <w:bottom w:val="single" w:sz="3" w:space="2" w:color="A07820"/>
        </w:pBdr>
      </w:pP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Ce n'est pas de l'analyse. C'est de la complicité.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Ce chapitre en a nommé d'autres avant celui-ci — le G-16, les communiqués diffusés depuis Paris, les cadres de la diaspora qui fournissaient la légitimité intellectuelle à la déstabilisation.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120" w:after="120"/>
        <w:pBdr>
          <w:bottom w:val="single" w:sz="3" w:space="2" w:color="A07820"/>
        </w:pBdr>
      </w:pP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before="120" w:after="120"/>
        <w:pBdr>
          <w:bottom w:val="single" w:sz="3" w:space="2" w:color="A07820"/>
        </w:pBdr>
      </w:pP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sélectivité comme argument</w:t>
      </w:r>
    </w:p>
    <w:p>
      <w:pPr>
        <w:spacing w:after="60"/>
      </w:pPr>
      <w:r>
        <w:rPr>
          <w:rFonts w:ascii="FreeSerif" w:hAnsi="FreeSerif"/>
          <w:sz w:val="22"/>
        </w:rPr>
        <w:t>Ce livre l'a documenté depuis son premier chapitre : la CPI est une institution à géométrie variable.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l'argument ne résout pas</w:t>
      </w:r>
    </w:p>
    <w:p>
      <w:pPr>
        <w:spacing w:after="60"/>
      </w:pPr>
      <w:r>
        <w:rPr>
          <w:rFonts w:ascii="FreeSerif" w:hAnsi="FreeSerif"/>
          <w:sz w:val="22"/>
        </w:rPr>
        <w:t>Pour autant, le retrait du Statut de Rome pose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Ce n'est pas de la souveraineté — c'est de l'abandon.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120" w:after="120"/>
        <w:pBdr>
          <w:bottom w:val="single" w:sz="3" w:space="2" w:color="A07820"/>
        </w:pBdr>
      </w:pP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before="120" w:after="120"/>
        <w:pBdr>
          <w:bottom w:val="single" w:sz="3" w:space="2" w:color="A07820"/>
        </w:pBdr>
      </w:pP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 n'est pas une migration spontanée. C'est une opération de transfert — organisée, logistiquée, orientée.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Ce n'est pas une coïncidence. C'est une continuité. Le terrorisme sahélien n'a jamais été un phénomène purement local. Ce livre l'a établi depuis le chapitre 13 : Iyad Ag Ghaly reçevait des financements du Golfe, les katibas du JNIM recrutaient au-delà des frontières nationales, les réseaux logistiques traversaient le Sahara depuis la Libye post-Kadhafi. Le flux syrien s'inscrit dans cette logique d'internationalisation.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La question n'est pas de savoir qui « envoie » ces combattants — les chaînes de commandement sont complexes et fragmentées. La question est : qui en tire profit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before="120" w:after="120"/>
        <w:pBdr>
          <w:bottom w:val="single" w:sz="3" w:space="2" w:color="A07820"/>
        </w:pBdr>
      </w:pP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before="120" w:after="120"/>
        <w:pBdr>
          <w:bottom w:val="single" w:sz="3" w:space="2" w:color="A07820"/>
        </w:pBdr>
      </w:pP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Ce n'est pas une coïncidence si c'est la France qui a été la plus pressée de déclencher les frappes.</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C'est précisément ce modèle — un État africain développé, souverain, indépendant des institutions de Bretton Woods, refusant l'alignement atlantiste — qui a été détruit. Pas pour protéger des civils. Pour éliminer un contre-exemple.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before="120" w:after="120"/>
        <w:pBdr>
          <w:bottom w:val="single" w:sz="3" w:space="2" w:color="A07820"/>
        </w:pBdr>
      </w:pP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before="120" w:after="120"/>
        <w:pBdr>
          <w:bottom w:val="single" w:sz="3" w:space="2" w:color="A07820"/>
        </w:pBdr>
      </w:pP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Ce livre l'a documenté : depuis 1966, chaque insurrection centrafricaine a été fabriquée ou entretenue de l'extérieur. La brutalité que ce soldat décrit n'est pas un trait culturel — c'est le résultat d'une déstabilisation organisée.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Ce n'est pas de l'ingratitude. C'est de la lucidité.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La question n'est pas de savoir si les soldats ont fait leur travail. La question est de savoir pourquoi ce travail n'a jamais produit de paix.</w:t>
      </w:r>
    </w:p>
    <w:p>
      <w:pPr>
        <w:spacing w:before="120" w:after="120"/>
        <w:pBdr>
          <w:bottom w:val="single" w:sz="3" w:space="2" w:color="A07820"/>
        </w:pBdr>
      </w:pP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before="120" w:after="120"/>
        <w:pBdr>
          <w:bottom w:val="single" w:sz="3" w:space="2" w:color="A07820"/>
        </w:pBdr>
      </w:pP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 n'est pas une simple renaissance institutionnelle. C'est la réactivation d'une doctrine.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before="120" w:after="120"/>
        <w:pBdr>
          <w:bottom w:val="single" w:sz="3" w:space="2" w:color="A07820"/>
        </w:pBdr>
      </w:pP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before="120" w:after="120"/>
        <w:pBdr>
          <w:bottom w:val="single" w:sz="3" w:space="2" w:color="A07820"/>
        </w:pBdr>
      </w:pPr>
    </w:p>
    <w:p>
      <w:pPr>
        <w:spacing w:after="60"/>
        <w:ind w:firstLine="567"/>
      </w:pPr>
      <w:r>
        <w:rPr>
          <w:rFonts w:ascii="FreeSerif" w:hAnsi="FreeSerif"/>
          <w:sz w:val="22"/>
        </w:rPr>
        <w:t>Il existe une équation que les chancelleries occidentales préfèrent ne pas énoncer trop clairement. La voici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Ce n'est pas de la coïncidence. C'est de la stratégie.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before="120" w:after="120"/>
        <w:pBdr>
          <w:bottom w:val="single" w:sz="3" w:space="2" w:color="A07820"/>
        </w:pBdr>
      </w:pPr>
    </w:p>
    <w:p>
      <w:pPr>
        <w:spacing w:after="60"/>
        <w:ind w:firstLine="567"/>
      </w:pPr>
      <w:r>
        <w:rPr>
          <w:rFonts w:ascii="FreeSerif" w:hAnsi="FreeSerif"/>
          <w:i/>
          <w:sz w:val="22"/>
        </w:rPr>
        <w:t>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before="120" w:after="120"/>
        <w:pBdr>
          <w:bottom w:val="single" w:sz="3" w:space="2" w:color="A07820"/>
        </w:pBdr>
      </w:pP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Ce n'est pas une théorie du complot. C'est de la comptabilité des échanges commerciaux.</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before="120" w:after="120"/>
        <w:pBdr>
          <w:bottom w:val="single" w:sz="3" w:space="2" w:color="A07820"/>
        </w:pBdr>
      </w:pP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before="120" w:after="120"/>
        <w:pBdr>
          <w:bottom w:val="single" w:sz="3" w:space="2" w:color="A07820"/>
        </w:pBdr>
      </w:pP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Ce n'est pas encore l'AES. C'est peut-être une voie différente vers les mêmes objectifs : la souveraineté par les institutions plutôt que par la rupture militaire.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before="120" w:after="120"/>
        <w:pBdr>
          <w:bottom w:val="single" w:sz="3" w:space="2" w:color="A07820"/>
        </w:pBdr>
      </w:pP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before="120" w:after="120"/>
        <w:pBdr>
          <w:bottom w:val="single" w:sz="3" w:space="2" w:color="A07820"/>
        </w:pBdr>
      </w:pP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before="120" w:after="120"/>
        <w:pBdr>
          <w:bottom w:val="single" w:sz="3" w:space="2" w:color="A07820"/>
        </w:pBdr>
      </w:pP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before="120" w:after="120"/>
        <w:pBdr>
          <w:bottom w:val="single" w:sz="3" w:space="2" w:color="A07820"/>
        </w:pBdr>
      </w:pP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péripétie régionale.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Ce chapitre en a documenté les résultats : plus de 4 000 combattants neutralisés selon le bilan malien officiel.</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Ce n'est pas du relativisme. C'est de la lecture des textes fondateurs du droit international — ceux que les puissances occidentales invoquent quand ça les arrange et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before="120" w:after="120"/>
        <w:pBdr>
          <w:bottom w:val="single" w:sz="3" w:space="2" w:color="A07820"/>
        </w:pBdr>
      </w:pP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