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49"/>
        </w:rPr>
        <w:t>LA PAIX, ON PEUT L'ÉVITER</w:t>
      </w:r>
    </w:p>
    <w:p>
      <w:pPr>
        <w:shd w:val="clear" w:color="auto" w:fill="2C3A4A"/>
      </w:pPr>
    </w:p>
    <w:p>
      <w:pPr>
        <w:shd w:val="clear" w:color="auto" w:fill="2C3A4A"/>
      </w:pPr>
    </w:p>
    <w:p>
      <w:pPr>
        <w:jc w:val="center"/>
        <w:shd w:val="clear" w:color="auto" w:fill="2C3A4A"/>
      </w:pPr>
      <w:r>
        <w:rPr>
          <w:rFonts w:ascii="FreeSerif" w:hAnsi="FreeSerif"/>
          <w:i/>
          <w:color w:val="A07820"/>
          <w:sz w:val="26"/>
        </w:rPr>
        <w:t>Enquête sur la naissance de l'Alliance des États du Sahel</w:t>
      </w: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olor w:val="FFFFFF"/>
          <w:sz w:val="34"/>
        </w:rPr>
        <w:t>BEN–H2O</w:t>
      </w:r>
    </w:p>
    <w:p>
      <w:pPr>
        <w:jc w:val="center"/>
        <w:shd w:val="clear" w:color="auto" w:fill="2C3A4A"/>
      </w:pPr>
      <w:r>
        <w:rPr>
          <w:rFonts w:ascii="FreeSerif" w:hAnsi="FreeSerif"/>
          <w:color w:val="A07820"/>
          <w:sz w:val="22"/>
        </w:rPr>
        <w:t>— 2026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color w:val="A07820"/>
          <w:sz w:val="18"/>
        </w:rPr>
        <w:t>© 2026 BEN–H2O — Tous droits réservés.</w:t>
      </w:r>
    </w:p>
    <w:p>
      <w:pPr>
        <w:shd w:val="clear" w:color="auto" w:fill="2C3A4A"/>
      </w:pPr>
    </w:p>
    <w:p>
      <w:pPr>
        <w:shd w:val="clear" w:color="auto" w:fill="2C3A4A"/>
      </w:pPr>
    </w:p>
    <w:p>
      <w:pPr>
        <w:shd w:val="clear" w:color="auto" w:fill="2C3A4A"/>
      </w:pPr>
    </w:p>
    <w:p>
      <w:r>
        <w:br w:type="page"/>
      </w: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after="60"/>
        <w:ind w:firstLine="567"/>
      </w:pPr>
      <w:r>
        <w:rPr>
          <w:rFonts w:ascii="FreeSerif" w:hAnsi="FreeSerif"/>
          <w:sz w:val="22"/>
        </w:rPr>
        <w:t xml:space="preserve">Cette phrase 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60"/>
        <w:ind w:firstLine="567"/>
      </w:pPr>
      <w:r>
        <w:rPr>
          <w:rFonts w:ascii="FreeSerif" w:hAnsi="FreeSerif"/>
          <w:sz w:val="22"/>
        </w:rPr>
        <w:t>Ce livre est une enquête, pas un tract ni une hagiographie.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
    <w:p/>
    <w:p/>
    <w:p/>
    <w:p/>
    <w:p/>
    <w:p/>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top w:val="none" w:sz="0" w:space="0" w:color="auto"/>
              <w:insideV w:val="none" w:sz="0" w:space="0" w:color="auto"/>
              <w:left w:val="none" w:sz="0" w:space="0" w:color="auto"/>
              <w:right w:val="none" w:sz="0" w:space="0" w:color="auto"/>
            </w:tcBorders>
          </w:tcPr>
          <w:p>
            <w:pPr>
              <w:spacing w:after="0"/>
            </w:pPr>
          </w:p>
        </w:tc>
      </w:tr>
    </w:tbl>
    <w:p/>
    <w:p/>
    <w:p/>
    <w:p/>
    <w:p/>
    <w:p/>
    <w:p/>
    <w:p/>
    <w:p/>
    <w:p/>
    <w:p/>
    <w:p/>
    <w:p/>
    <w:p/>
    <w:p/>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est une décision, pas un oubli.</w:t>
      </w: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est un indicateur de plus, pas un fait folklorique :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Date</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after="60"/>
        <w:ind w:firstLine="567"/>
      </w:pPr>
      <w:r>
        <w:rPr>
          <w:rFonts w:ascii="FreeSerif" w:hAnsi="FreeSerif"/>
          <w:sz w:val="22"/>
        </w:rPr>
        <w:t>Et quand les Sahéliens ne se battaient pas contre la France, ils se battaient pour elle — avec le même salaire de sang. 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after="60"/>
        <w:ind w:firstLine="567"/>
      </w:pPr>
      <w:r>
        <w:rPr>
          <w:rFonts w:ascii="FreeSerif" w:hAnsi="FreeSerif"/>
          <w:b/>
          <w:sz w:val="22"/>
        </w:rPr>
        <w:t>Un crime prémédité, maquillé en rébellion.</w:t>
      </w:r>
      <w:r>
        <w:rPr>
          <w:rFonts w:ascii="FreeSerif" w:hAnsi="FreeSerif"/>
          <w:sz w:val="22"/>
        </w:rPr>
        <w:t xml:space="preserve"> 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a été organisée dès les premiers jours : trois jours après le massacre, une circulaire du commandement français affirme que les soldats avaient perçu l'intégralité de leurs soldes de captivité — rendant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 Les archives ont été verrouillées. Et quand François Hollande, lors de son premier voyage officiel en Afrique en 2012, promet de « restituer les archives » au Sénégal et qualifie les faits de « répression sanglante », les copies remises quelques mois plus tard sont en réalité le récit d'une histoire falsifiée — rapports mensongers écrits sur ordre, enquêtes à charge, documents tronqués. On a livré la mise en scène du crime, pas la vérité du crime.</w:t>
      </w:r>
    </w:p>
    <w:p>
      <w:pPr>
        <w:spacing w:after="60"/>
        <w:ind w:firstLine="567"/>
      </w:pPr>
      <w:r>
        <w:rPr>
          <w:rFonts w:ascii="FreeSerif" w:hAnsi="FreeSerif"/>
          <w:b/>
          <w:sz w:val="22"/>
        </w:rPr>
        <w:t>L'ingratitude comme doctrine.</w:t>
      </w:r>
      <w:r>
        <w:rPr>
          <w:rFonts w:ascii="FreeSerif" w:hAnsi="FreeSerif"/>
          <w:sz w:val="22"/>
        </w:rPr>
        <w:t xml:space="preserve"> Ce qui s'est passé à Thiaroye est une doctrine, pas un dérapage. Le général de Gaulle ne permettra pas que ces soldats africains défilent sur les Champs-Élysées le 26 août 1944 :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 Et pour les survivants, une autre inégalité : les pensions versées aux anciens combattants africains étaient une fraction de celles de leurs homologues français — discrimination raciale institutionnalisée, maintenue des décennies durant, jusqu'à ce que la pression juridique et politique force des ajustements partiels.</w:t>
      </w:r>
    </w:p>
    <w:p>
      <w:pPr>
        <w:spacing w:after="60"/>
        <w:ind w:firstLine="567"/>
      </w:pPr>
      <w:r>
        <w:rPr>
          <w:rFonts w:ascii="FreeSerif" w:hAnsi="FreeSerif"/>
          <w:b/>
          <w:sz w:val="22"/>
        </w:rPr>
        <w:t>80 ans après : l'obstruction continue.</w:t>
      </w:r>
      <w:r>
        <w:rPr>
          <w:rFonts w:ascii="FreeSerif" w:hAnsi="FreeSerif"/>
          <w:sz w:val="22"/>
        </w:rPr>
        <w:t xml:space="preserve"> En 2023, 78 ans après le massacre, aucune vérité officielle n'a été établie. Les archives restent inaccessibles ou falsifiées. Les fosses communes n'ont pas été ouvertes. Les condamnés de 1945 n'ont pas été réhabilités. Les familles attendent. Un film a été projeté en avant-première à Dakar ; des chercheurs hexagonaux ont commencé à s'emparer du sujet, après que les panafricanistes l'ont remis sur la table. La mécanique est connue : quand les Africains posent une question mémorielle, elle est ignorée ; quand un Français la reprend, elle devient légitime. Albert Anatole Ayissi l'a dit sans détour : « Lorsqu'il faut parler du génocide arménien, on ne tient pas que des discours — il y a des actes. Mais pour Thiaroye, on nous vend du vent. » La hiérarchie des mémoires dit tout sur la hiérarchie des vies.</w:t>
      </w:r>
    </w:p>
    <w:p>
      <w:pPr>
        <w:spacing w:after="60"/>
        <w:ind w:firstLine="567"/>
      </w:pPr>
      <w:r>
        <w:rPr>
          <w:rFonts w:ascii="FreeSerif" w:hAnsi="FreeSerif"/>
          <w:sz w:val="22"/>
        </w:rPr>
        <w:t>Thiaroye est l'un des nœuds du contentieux franco-africain, pas un simple fait divers historique : une relation fondée sur l'extraction, l'ingratitude et l'impunité. 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 c'est un argument politique — et à Thiaroye, il est accablant. La France ne peut pas demander la confiance de l'Afrique tant qu'elle n'a pas ouvert ses archives, réhabilité ses victimes, nommé ses bourreaux. C'est de la comptabilité élémentaire, pas de l'anti-France.</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Virginie Terrasse, documentaire Thiaroye 44.</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r>
        <w:br w:type="page"/>
      </w:r>
    </w:p>
    <w:p/>
    <w:p/>
    <w:p/>
    <w:p/>
    <w:p/>
    <w:p/>
    <w:p/>
    <w:p/>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top w:val="none" w:sz="0" w:space="0" w:color="auto"/>
              <w:insideV w:val="none" w:sz="0" w:space="0" w:color="auto"/>
              <w:left w:val="none" w:sz="0" w:space="0" w:color="auto"/>
              <w:right w:val="none" w:sz="0" w:space="0" w:color="auto"/>
            </w:tcBorders>
          </w:tcPr>
          <w:p>
            <w:pPr>
              <w:spacing w:after="0"/>
            </w:pPr>
          </w:p>
        </w:tc>
      </w:tr>
    </w:tbl>
    <w:p/>
    <w:p/>
    <w:p/>
    <w:p/>
    <w:p/>
    <w:p/>
    <w:p/>
    <w:p/>
    <w:p/>
    <w:p/>
    <w:p/>
    <w:p/>
    <w:p/>
    <w:p/>
    <w:p/>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classement est le produit d'une architecture, pas d'une coïncidence statistique.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Les « nouveaux empires » : la privatisation comme deuxième colonisation</w:t>
      </w:r>
    </w:p>
    <w:p>
      <w:pPr>
        <w:spacing w:after="60"/>
      </w:pPr>
      <w:r>
        <w:rPr>
          <w:rFonts w:ascii="FreeSerif" w:hAnsi="FreeSerif"/>
          <w:sz w:val="22"/>
        </w:rPr>
        <w:t xml:space="preserve">Le pacte ne s'est pas arrêté aux indépendances, ni même à la génération Foccart. Il a changé de forme dans les années 1990, au moment précis où, d'après le rapport 2025 de l'association Survie </w:t>
      </w:r>
      <w:r>
        <w:rPr>
          <w:rFonts w:ascii="FreeSerif" w:hAnsi="FreeSerif"/>
          <w:i/>
          <w:sz w:val="22"/>
        </w:rPr>
        <w:t>Que reste-t-il des intérêts économiques de la France en Afrique ?</w:t>
      </w:r>
      <w:r>
        <w:rPr>
          <w:rFonts w:ascii="FreeSerif" w:hAnsi="FreeSerif"/>
          <w:sz w:val="22"/>
        </w:rPr>
        <w:t>, les grands groupes hexagonaux — Accor, Axa, L'Oréal, Peugeot, Renault, Saint-Gobain — désertaient massivement le continent pour se ruer vers l'Asie et les Amériques, jugées plus rentables. L'Afrique, marginalisée par la mondialisation du capitalisme français, devient alors le terrain de chasse d'un second cercle d'entreprises, moins connues du grand public mais tout aussi structurantes : ce sont les « nouveaux empires » de la Françafrique, bâtis non plus sur l'extraction brute mais sur les privatisations imposées par les plans d'ajustement structurel.</w:t>
      </w:r>
    </w:p>
    <w:p>
      <w:pPr>
        <w:spacing w:after="60"/>
        <w:ind w:firstLine="567"/>
      </w:pPr>
      <w:r>
        <w:rPr>
          <w:rFonts w:ascii="FreeSerif" w:hAnsi="FreeSerif"/>
          <w:sz w:val="22"/>
        </w:rPr>
        <w:t xml:space="preserve">Le mécanisme est documenté entreprise par entreprise. </w:t>
      </w:r>
      <w:r>
        <w:rPr>
          <w:rFonts w:ascii="FreeSerif" w:hAnsi="FreeSerif"/>
          <w:b/>
          <w:sz w:val="22"/>
        </w:rPr>
        <w:t>Bolloré</w:t>
      </w:r>
      <w:r>
        <w:rPr>
          <w:rFonts w:ascii="FreeSerif" w:hAnsi="FreeSerif"/>
          <w:sz w:val="22"/>
        </w:rPr>
        <w:t xml:space="preserve"> se construit en quelques années un empire du tabac — plantations, production, commercialisation —, revendu en 2001 au britannique Imperial Tobacco, avant de basculer vers la logistique et le rail : concessions des lignes Abidjan-Ouagadougou en 1995, Douala-Ngaoundéré au Cameroun en 1999, Cotonou-Parakou au Bénin en 2015, et surtout un quasi-monopole sur les concessions portuaires du golfe de Guinée — le poumon par lequel transite le commerce extérieur de plusieurs États. </w:t>
      </w:r>
      <w:r>
        <w:rPr>
          <w:rFonts w:ascii="FreeSerif" w:hAnsi="FreeSerif"/>
          <w:b/>
          <w:sz w:val="22"/>
        </w:rPr>
        <w:t>Castel</w:t>
      </w:r>
      <w:r>
        <w:rPr>
          <w:rFonts w:ascii="FreeSerif" w:hAnsi="FreeSerif"/>
          <w:sz w:val="22"/>
        </w:rPr>
        <w:t xml:space="preserve">, en rachetant la société des Brasseries et glacières internationales (BGI), met la main sur la production de bière angolaise et sur les Brasseries Saint-Georges en Éthiopie. </w:t>
      </w:r>
      <w:r>
        <w:rPr>
          <w:rFonts w:ascii="FreeSerif" w:hAnsi="FreeSerif"/>
          <w:b/>
          <w:sz w:val="22"/>
        </w:rPr>
        <w:t>Saur</w:t>
      </w:r>
      <w:r>
        <w:rPr>
          <w:rFonts w:ascii="FreeSerif" w:hAnsi="FreeSerif"/>
          <w:sz w:val="22"/>
        </w:rPr>
        <w:t>, alors filiale de Bouygues, s'empare dès la fin des années 1980 de l'électricité et de l'eau ivoiriennes, puis de la distribution d'eau en Centrafrique (1991), au Sénégal (1996), et de l'eau et de l'électricité au Mali (2000). Sa concurrente, la Compagnie générale des eaux — devenue Vivendi en 1998 — rafle les concessions du Gabon, du Tchad, des Comores et du Niger.</w:t>
      </w:r>
    </w:p>
    <w:p>
      <w:pPr>
        <w:spacing w:after="60"/>
        <w:ind w:firstLine="567"/>
      </w:pPr>
      <w:r>
        <w:rPr>
          <w:rFonts w:ascii="FreeSerif" w:hAnsi="FreeSerif"/>
          <w:sz w:val="22"/>
        </w:rPr>
        <w:t xml:space="preserve">Le cas le plus spectaculaire reste celui des télécommunications. </w:t>
      </w:r>
      <w:r>
        <w:rPr>
          <w:rFonts w:ascii="FreeSerif" w:hAnsi="FreeSerif"/>
          <w:b/>
          <w:sz w:val="22"/>
        </w:rPr>
        <w:t>France Télécom</w:t>
      </w:r>
      <w:r>
        <w:rPr>
          <w:rFonts w:ascii="FreeSerif" w:hAnsi="FreeSerif"/>
          <w:sz w:val="22"/>
        </w:rPr>
        <w:t xml:space="preserve">, fragilisé par la concurrence sur ses marchés européens, fait de l'Afrique un relais de croissance vital : en janvier 1997, elle prend le contrôle de l'opérateur ivoirien, puis entre au capital de la Sonatel sénégalaise, rachète les opérateurs mauricien et centrafricain, s'implante au Cameroun, au Niger, à Madagascar, en Guinée, en Guinée-Bissau, au Mali — puis part à la conquête des marchés anglophones, au Botswana, au Kenya, en Ouganda, en Sierra Leone. En une dizaine d'années, sous sa nouvelle marque </w:t>
      </w:r>
      <w:r>
        <w:rPr>
          <w:rFonts w:ascii="FreeSerif" w:hAnsi="FreeSerif"/>
          <w:b/>
          <w:sz w:val="22"/>
        </w:rPr>
        <w:t>Orange</w:t>
      </w:r>
      <w:r>
        <w:rPr>
          <w:rFonts w:ascii="FreeSerif" w:hAnsi="FreeSerif"/>
          <w:sz w:val="22"/>
        </w:rPr>
        <w:t>, le groupe plante son drapeau dans quinze pays africains et devient le second opérateur du continent. Ce ne sont pas des rachats isolés : c'est une reconquête méthodique, secteur par secteur, utilisant les anciennes colonies francophones comme base arrière avant l'incursion en terrain anglophone ou lusophone.</w:t>
      </w:r>
    </w:p>
    <w:p>
      <w:pPr>
        <w:spacing w:after="60"/>
        <w:ind w:firstLine="567"/>
      </w:pPr>
      <w:r>
        <w:rPr>
          <w:rFonts w:ascii="FreeSerif" w:hAnsi="FreeSerif"/>
          <w:sz w:val="22"/>
        </w:rPr>
        <w:t>Ce que ce second cercle d'entreprises révèle, c'est la continuité du pacte sous une forme actualisée : là où Foccart imposait des monopoles par décret officieux, les années 1990 les ont obtenus par la vague de privatisations — un habillage juridique et « libéral » pour la même finalité. Les infrastructures vitales du quotidien africain — eau, électricité, téléphonie, tabac, transport — passent des mains de l'État colonial aux mains d'entreprises privées françaises, sans jamais repasser par celles des peuples concernés.</w:t>
      </w: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Étape</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est une monnaie française déployée en Afrique, pas une monnaie africaine. Ce chapitre explique pourquoi cette phrase est une description technique, pas un slogan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Élément</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 le résultat d'une architecture, pas d'une malchance.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 xml:space="preserve">En 2025, l'association Survie publie </w:t>
      </w:r>
      <w:r>
        <w:rPr>
          <w:rFonts w:ascii="FreeSerif" w:hAnsi="FreeSerif"/>
          <w:i/>
          <w:sz w:val="22"/>
        </w:rPr>
        <w:t>Que reste-t-il des intérêts économiques de la France en Afrique ?</w:t>
      </w:r>
      <w:r>
        <w:rPr>
          <w:rFonts w:ascii="FreeSerif" w:hAnsi="FreeSerif"/>
          <w:sz w:val="22"/>
        </w:rPr>
        <w:t xml:space="preserve"> — un rapport qui ne vient pas du camp panafricaniste mais d'une ONG française croisant les statistiques officielles du commerce extérieur, d'Eurostat et de la Banque de France. Ce n'est donc pas une thèse militante : ce sont des chiffres d'État. Et ces chiffres confirment, par une autre voie, l'architecture de captivité décrite dans ce chapitre.</w:t>
      </w:r>
    </w:p>
    <w:p>
      <w:pPr>
        <w:spacing w:after="60"/>
        <w:ind w:firstLine="567"/>
      </w:pPr>
      <w:r>
        <w:rPr>
          <w:rFonts w:ascii="FreeSerif" w:hAnsi="FreeSerif"/>
          <w:sz w:val="22"/>
        </w:rPr>
        <w:t xml:space="preserve">Le rapport documente d'abord l'ampleur de l'effondrement commercial français en Afrique subsaharienne : la part de marché française y est passée de </w:t>
      </w:r>
      <w:r>
        <w:rPr>
          <w:rFonts w:ascii="FreeSerif" w:hAnsi="FreeSerif"/>
          <w:b/>
          <w:sz w:val="22"/>
        </w:rPr>
        <w:t>15 % à la fin des années 1970 à 3 % aujourd'hui</w:t>
      </w:r>
      <w:r>
        <w:rPr>
          <w:rFonts w:ascii="FreeSerif" w:hAnsi="FreeSerif"/>
          <w:sz w:val="22"/>
        </w:rPr>
        <w:t xml:space="preserve"> — divisée par cinq. Mais ce recul global masque une réalité à deux vitesses que Survie met en évidence noir sur blanc : dans les anciennes colonies utilisant le franc CFA, la part de marché française </w:t>
      </w:r>
      <w:r>
        <w:rPr>
          <w:rFonts w:ascii="FreeSerif" w:hAnsi="FreeSerif"/>
          <w:b/>
          <w:sz w:val="22"/>
        </w:rPr>
        <w:t>se stabilise depuis le milieu des années 2010 entre 10 et 12 %</w:t>
      </w:r>
      <w:r>
        <w:rPr>
          <w:rFonts w:ascii="FreeSerif" w:hAnsi="FreeSerif"/>
          <w:sz w:val="22"/>
        </w:rPr>
        <w:t xml:space="preserve"> — près de six fois supérieure à ce qu'elle est dans le reste du continent, et quatre fois plus élevée que dans le reste du monde. Le pré carré CFA reste, à cette date, le seul endroit du globe où la France conserve une position dominante — c'est-à-dire précisément le seul endroit où la monnaie n'est pas la sienne, mais où elle continue d'en fixer les règles.</w:t>
      </w:r>
    </w:p>
    <w:p>
      <w:pPr>
        <w:spacing w:after="60"/>
        <w:ind w:firstLine="567"/>
      </w:pPr>
      <w:r>
        <w:rPr>
          <w:rFonts w:ascii="FreeSerif" w:hAnsi="FreeSerif"/>
          <w:sz w:val="22"/>
        </w:rPr>
        <w:t xml:space="preserve">Le rapport interroge lui-même la fonction du franc CFA dans cette résilience, dans un encadré intitulé « Le franc CFA au service des intérêts hexagonaux ? ». Sa conclusion est prudente sur le plan strictement statistique — faute de données publiques sur la rentabilité des investissements français par pays, Survie ne peut pas démontrer que les entreprises hexagonales sont plus rentables en zone CFA qu'ailleurs sur le continent. Mais le rapport documente ce qui compte davantage que la rentabilité comptable : le </w:t>
      </w:r>
      <w:r>
        <w:rPr>
          <w:rFonts w:ascii="FreeSerif" w:hAnsi="FreeSerif"/>
          <w:b/>
          <w:sz w:val="22"/>
        </w:rPr>
        <w:t>mécanisme</w:t>
      </w:r>
      <w:r>
        <w:rPr>
          <w:rFonts w:ascii="FreeSerif" w:hAnsi="FreeSerif"/>
          <w:sz w:val="22"/>
        </w:rPr>
        <w:t>. Le taux de change fixe, la libre convertibilité euro-CFA et la liberté de transfert des capitaux réduisent les coûts de transaction, garantissent la valeur des actifs français détenus sur place et suppriment le risque de change — donc son coût de couverture. Un franc CFA structurellement surévalué, comme c'est le cas aujourd'hui, fonctionne comme une subvention aux exportations européennes dans la zone, au prix de la compétitivité des producteurs locaux, africains comme étrangers, qui doivent vendre plus cher que leurs concurrents en devises non arrimées. Ce n'est pas une théorie du complot : c'est la définition même d'un taux de change fixé de l'extérieur au bénéfice de celui qui l'a fixé.</w:t>
      </w:r>
    </w:p>
    <w:p>
      <w:pPr>
        <w:spacing w:after="60"/>
        <w:ind w:firstLine="567"/>
      </w:pPr>
      <w:r>
        <w:rPr>
          <w:rFonts w:ascii="FreeSerif" w:hAnsi="FreeSerif"/>
          <w:sz w:val="22"/>
        </w:rPr>
        <w:t xml:space="preserve">Le rapport ajoute une pièce que la presse française ne relaie jamais : au-delà des flux commerciaux, ce sont </w:t>
      </w:r>
      <w:r>
        <w:rPr>
          <w:rFonts w:ascii="FreeSerif" w:hAnsi="FreeSerif"/>
          <w:b/>
          <w:sz w:val="22"/>
        </w:rPr>
        <w:t>2 421 filiales d'entreprises françaises</w:t>
      </w:r>
      <w:r>
        <w:rPr>
          <w:rFonts w:ascii="FreeSerif" w:hAnsi="FreeSerif"/>
          <w:sz w:val="22"/>
        </w:rPr>
        <w:t xml:space="preserve"> implantées en Afrique subsaharienne, générant en moyenne </w:t>
      </w:r>
      <w:r>
        <w:rPr>
          <w:rFonts w:ascii="FreeSerif" w:hAnsi="FreeSerif"/>
          <w:b/>
          <w:sz w:val="22"/>
        </w:rPr>
        <w:t>41,2 milliards d'euros de chiffre d'affaires par an</w:t>
      </w:r>
      <w:r>
        <w:rPr>
          <w:rFonts w:ascii="FreeSerif" w:hAnsi="FreeSerif"/>
          <w:sz w:val="22"/>
        </w:rPr>
        <w:t xml:space="preserve"> — près de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 c'est-à-dire dans la zone franc et ses abords immédiats. Le franc CFA n'a donc pas seulement pour fonction de fixer un taux de change : il crée un climat de sécurité juridique et financière qui retient sur place un tissu de filiales que même les statistiques du commerce extérieur, à elles seules, ne permettent pas de voir. C'est la démonstration, produite par une source française elle-même hostile au système qu'elle décrit, que la boucle fermée analysée plus haut dans ce chapitre n'est pas une paranoïa panafricaniste : c'est une architecture documentée, chiffrée, et années après années reconduite.</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after="60"/>
        <w:ind w:firstLine="567"/>
      </w:pPr>
      <w:r>
        <w:rPr>
          <w:rFonts w:ascii="FreeSerif" w:hAnsi="FreeSerif"/>
          <w:i/>
          <w:sz w:val="22"/>
        </w:rPr>
        <w:t xml:space="preserve">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 ; Survie, </w:t>
      </w:r>
      <w:r>
        <w:rPr>
          <w:rFonts w:ascii="FreeSerif" w:hAnsi="FreeSerif"/>
          <w:sz w:val="22"/>
        </w:rPr>
        <w:t>Que reste-t-il des intérêts économiques de la France en Afrique ?</w:t>
      </w:r>
      <w:r>
        <w:rPr>
          <w:rFonts w:ascii="FreeSerif" w:hAnsi="FreeSerif"/>
          <w:i/>
          <w:sz w:val="22"/>
        </w:rPr>
        <w:t>, 2025 (parts de marché françaises en zone CFA, filiales et chiffre d'affaires, mécanisme du franc CFA).</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parle d'un système, pas d'une anomalie. L'Afrique subsaharienne a été construite et maintenue dans un rôle unique : celui de producteur de matières premières à très bas coût. Ce rôle est l'objectif recherché, pas le fruit du hasard.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C'est un ordre mondial qu'on défend, pas un simple contrat.</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Indicateur</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20 %</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0,80 €/kg</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200 $/kg</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280" w:after="120"/>
        <w:pBdr>
          <w:bottom w:val="single" w:sz="7" w:space="3" w:color="A07820"/>
        </w:pBdr>
      </w:pPr>
      <w:r>
        <w:rPr>
          <w:rFonts w:ascii="FreeSerif" w:hAnsi="FreeSerif"/>
          <w:b/>
          <w:color w:val="2C3A4A"/>
          <w:sz w:val="22"/>
        </w:rPr>
        <w:t>Ce que la diversification française révèle — et ne révèle pas</w:t>
      </w:r>
    </w:p>
    <w:p>
      <w:pPr>
        <w:spacing w:after="60"/>
      </w:pPr>
      <w:r>
        <w:rPr>
          <w:rFonts w:ascii="FreeSerif" w:hAnsi="FreeSerif"/>
          <w:sz w:val="22"/>
        </w:rPr>
        <w:t xml:space="preserve">Le rapport 2025 de l'association Survie, </w:t>
      </w:r>
      <w:r>
        <w:rPr>
          <w:rFonts w:ascii="FreeSerif" w:hAnsi="FreeSerif"/>
          <w:i/>
          <w:sz w:val="22"/>
        </w:rPr>
        <w:t>Que reste-t-il des intérêts économiques de la France en Afrique ?</w:t>
      </w:r>
      <w:r>
        <w:rPr>
          <w:rFonts w:ascii="FreeSerif" w:hAnsi="FreeSerif"/>
          <w:sz w:val="22"/>
        </w:rPr>
        <w:t xml:space="preserve">, apporte sur le dossier uranium une pièce que les défenseurs d'Orano brandissent volontiers, mais qu'il faut lire jusqu'au bout pour en comprendre le sens réel. Depuis la fermeture de la dernière mine hexagonale en 2001, </w:t>
      </w:r>
      <w:r>
        <w:rPr>
          <w:rFonts w:ascii="FreeSerif" w:hAnsi="FreeSerif"/>
          <w:b/>
          <w:sz w:val="22"/>
        </w:rPr>
        <w:t>la totalité de l'uranium naturel nécessaire aux centrales nucléaires françaises — environ 8 000 tonnes par an — est importée.</w:t>
      </w:r>
      <w:r>
        <w:rPr>
          <w:rFonts w:ascii="FreeSerif" w:hAnsi="FreeSerif"/>
          <w:sz w:val="22"/>
        </w:rPr>
        <w:t xml:space="preserve"> Son origine exacte reste, note le rapport lui-même, « un secret bien gardé » : avant de devenir combustible, l'uranium transite par des usines de conversion et d'enrichissement qui ne sont pas nécessairement situées en France, si bien que l'uranium canadien, converti ailleurs, n'apparaît pas dans les statistiques d'importation françaises tout en alimentant pourtant les réacteurs d'EDF.</w:t>
      </w:r>
    </w:p>
    <w:p>
      <w:pPr>
        <w:spacing w:after="60"/>
        <w:ind w:firstLine="567"/>
      </w:pPr>
      <w:r>
        <w:rPr>
          <w:rFonts w:ascii="FreeSerif" w:hAnsi="FreeSerif"/>
          <w:sz w:val="22"/>
        </w:rPr>
        <w:t xml:space="preserve">Depuis 2004, EDF a engagé une politique de diversification de ses fournisseurs à chaque étape du cycle du combustible. Le Canadien Cameco et l'Anglo-Australien BHP Billiton figurent aujourd'hui en bonne place parmi ses fournisseurs, et Orano ne couvre plus qu'environ </w:t>
      </w:r>
      <w:r>
        <w:rPr>
          <w:rFonts w:ascii="FreeSerif" w:hAnsi="FreeSerif"/>
          <w:b/>
          <w:sz w:val="22"/>
        </w:rPr>
        <w:t>40 % du total des approvisionnements français</w:t>
      </w:r>
      <w:r>
        <w:rPr>
          <w:rFonts w:ascii="FreeSerif" w:hAnsi="FreeSerif"/>
          <w:sz w:val="22"/>
        </w:rPr>
        <w:t xml:space="preserve"> — la part précise du Niger dans le mix final d'EDF n'étant, faute de publication officielle, plus mesurable avec certitude. Sur la période 2008-2012, dernières données consolidées disponibles, le Niger assurait néanmoins </w:t>
      </w:r>
      <w:r>
        <w:rPr>
          <w:rFonts w:ascii="FreeSerif" w:hAnsi="FreeSerif"/>
          <w:b/>
          <w:sz w:val="22"/>
        </w:rPr>
        <w:t>22,6 % de l'uranium naturel utilisé dans les centrales françaises</w:t>
      </w:r>
      <w:r>
        <w:rPr>
          <w:rFonts w:ascii="FreeSerif" w:hAnsi="FreeSerif"/>
          <w:sz w:val="22"/>
        </w:rPr>
        <w:t>, derrière le Kazakhstan (27,6 %) mais devant le Canada (21,8 %) et l'Australie (16,1 %).</w:t>
      </w:r>
    </w:p>
    <w:p>
      <w:pPr>
        <w:spacing w:after="60"/>
        <w:ind w:firstLine="567"/>
      </w:pPr>
      <w:r>
        <w:rPr>
          <w:rFonts w:ascii="FreeSerif" w:hAnsi="FreeSerif"/>
          <w:sz w:val="22"/>
        </w:rPr>
        <w:t>Cette diversification, présentée à Paris comme la preuve que le Niger n'était « pas stratégique », change en réalité la question plus qu'elle n'y répond. Elle réduit la dépendance de l'</w:t>
      </w:r>
      <w:r>
        <w:rPr>
          <w:rFonts w:ascii="FreeSerif" w:hAnsi="FreeSerif"/>
          <w:b/>
          <w:sz w:val="22"/>
        </w:rPr>
        <w:t>consommateur final</w:t>
      </w:r>
      <w:r>
        <w:rPr>
          <w:rFonts w:ascii="FreeSerif" w:hAnsi="FreeSerif"/>
          <w:sz w:val="22"/>
        </w:rPr>
        <w:t xml:space="preserve"> — EDF — sans réduire celle de l'</w:t>
      </w:r>
      <w:r>
        <w:rPr>
          <w:rFonts w:ascii="FreeSerif" w:hAnsi="FreeSerif"/>
          <w:b/>
          <w:sz w:val="22"/>
        </w:rPr>
        <w:t>extracteur</w:t>
      </w:r>
      <w:r>
        <w:rPr>
          <w:rFonts w:ascii="FreeSerif" w:hAnsi="FreeSerif"/>
          <w:sz w:val="22"/>
        </w:rPr>
        <w:t xml:space="preserve"> : en 2020-2022, dernière période documentée par le rapport, Orano dépendait toujours du Niger pour </w:t>
      </w:r>
      <w:r>
        <w:rPr>
          <w:rFonts w:ascii="FreeSerif" w:hAnsi="FreeSerif"/>
          <w:b/>
          <w:sz w:val="22"/>
        </w:rPr>
        <w:t>un tiers de ses approvisionnements mondiaux</w:t>
      </w:r>
      <w:r>
        <w:rPr>
          <w:rFonts w:ascii="FreeSerif" w:hAnsi="FreeSerif"/>
          <w:sz w:val="22"/>
        </w:rPr>
        <w:t>, ses tentatives de diversification en Mongolie et en Ouzbékistan peinant à se concrétiser. Autrement dit, la France a pu se targuer, la main sur le cœur, de ne plus dépendre du Niger — pendant qu'Orano, elle, en dépendait toujours pour un tiers de son activité, et donc pour une part considérable de ses profits. Ce sont deux dépendances différentes, et la France n'a communiqué que sur celle qui l'arrangeait.</w:t>
      </w: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C'est une méthode, pas une coïncidence géographique.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after="60"/>
        <w:ind w:firstLine="567"/>
      </w:pPr>
      <w:r>
        <w:rPr>
          <w:rFonts w:ascii="FreeSerif" w:hAnsi="FreeSerif"/>
          <w:i/>
          <w:sz w:val="22"/>
        </w:rPr>
        <w:t xml:space="preserve">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 ; Survie, </w:t>
      </w:r>
      <w:r>
        <w:rPr>
          <w:rFonts w:ascii="FreeSerif" w:hAnsi="FreeSerif"/>
          <w:sz w:val="22"/>
        </w:rPr>
        <w:t>Que reste-t-il des intérêts économiques de la France en Afrique ?</w:t>
      </w:r>
      <w:r>
        <w:rPr>
          <w:rFonts w:ascii="FreeSerif" w:hAnsi="FreeSerif"/>
          <w:i/>
          <w:sz w:val="22"/>
        </w:rPr>
        <w:t>, 2025 (diversification des fournisseurs d'EDF, dépendance d'Orano au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C'est un modèle d'action décrit par l'un de ses propres exécutants, pas une théorie du complot.</w:t>
      </w: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C'est la signature d'un système rodé, pas une coïncidence.</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Niveau</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Terme officiel</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C'est le pilotage actif d'un étranglement économique, pas une conversation d'analyse.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Une entreprise camerounaise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Indicateur</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
    <w:p/>
    <w:p/>
    <w:p/>
    <w:p/>
    <w:p/>
    <w:p/>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top w:val="none" w:sz="0" w:space="0" w:color="auto"/>
              <w:insideV w:val="none" w:sz="0" w:space="0" w:color="auto"/>
              <w:left w:val="none" w:sz="0" w:space="0" w:color="auto"/>
              <w:right w:val="none" w:sz="0" w:space="0" w:color="auto"/>
            </w:tcBorders>
          </w:tcPr>
          <w:p>
            <w:pPr>
              <w:spacing w:after="0"/>
            </w:pPr>
          </w:p>
        </w:tc>
      </w:tr>
    </w:tbl>
    <w:p/>
    <w:p/>
    <w:p/>
    <w:p/>
    <w:p/>
    <w:p/>
    <w:p/>
    <w:p/>
    <w:p/>
    <w:p/>
    <w:p/>
    <w:p/>
    <w:p/>
    <w:p/>
    <w:p/>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Projet</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Ce qui s'est déversé vers le Sahel</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C'est un combat dont il faut savoir, à l'avance, qu'il a un prix —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Réalité des corridors transsahariens</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C'est une opération de transfert — organisée, logistiquée, orientée —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Indicateur</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C'est un </w:t>
      </w:r>
      <w:r>
        <w:rPr>
          <w:rFonts w:ascii="FreeSerif" w:hAnsi="FreeSerif"/>
          <w:b/>
          <w:sz w:val="22"/>
        </w:rPr>
        <w:t>produit de communication stratégique</w:t>
      </w:r>
      <w:r>
        <w:rPr>
          <w:rFonts w:ascii="FreeSerif" w:hAnsi="FreeSerif"/>
          <w:sz w:val="22"/>
        </w:rPr>
        <w:t xml:space="preserve"> financé par l'institution militaire française, pas un podcast journalistique.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est une condition structurelle du statut mondial que Paris revendique, pas un choix idéologique ou sentimental.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est un repositionnement géographique, pas un retrait d'Afrique.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est une preuve d'injustice institutionnalisée, pas de légitimité.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60"/>
        <w:ind w:firstLine="567"/>
      </w:pPr>
      <w:r>
        <w:rPr>
          <w:rFonts w:ascii="FreeSerif" w:hAnsi="FreeSerif"/>
          <w:i/>
          <w:sz w:val="22"/>
        </w:rPr>
        <w:t>PARTIE IV — LA RÉVOLUTION DE LA SOUVERAINETÉ</w:t>
      </w: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
    <w:p/>
    <w:p/>
    <w:p/>
    <w:p/>
    <w:p/>
    <w:p/>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top w:val="none" w:sz="0" w:space="0" w:color="auto"/>
              <w:insideV w:val="none" w:sz="0" w:space="0" w:color="auto"/>
              <w:left w:val="none" w:sz="0" w:space="0" w:color="auto"/>
              <w:right w:val="none" w:sz="0" w:space="0" w:color="auto"/>
            </w:tcBorders>
          </w:tcPr>
          <w:p>
            <w:pPr>
              <w:spacing w:after="0"/>
            </w:pPr>
          </w:p>
        </w:tc>
      </w:tr>
    </w:tbl>
    <w:p/>
    <w:p/>
    <w:p/>
    <w:p/>
    <w:p/>
    <w:p/>
    <w:p/>
    <w:p/>
    <w:p/>
    <w:p/>
    <w:p/>
    <w:p/>
    <w:p/>
    <w:p/>
    <w:p/>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C'est le programme, pas un lapsus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est un choix, pas un oubli.</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Grief</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est une organisation, pas un slogan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Dispositif</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est un signal adressé au JNIM, pas une prédiction destinée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C'est de la politique, pas de l'impuissance juridique.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after="60"/>
        <w:ind w:firstLine="567"/>
      </w:pPr>
      <w:r>
        <w:rPr>
          <w:rFonts w:ascii="FreeSerif" w:hAnsi="FreeSerif"/>
          <w:sz w:val="22"/>
        </w:rPr>
        <w:t>PARTIE V — LE RÉVEIL PANAFRICAIN</w:t>
      </w: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 au bénéfice de ceux qui la financent depuis l'extérieur, et de ceux qui en vivent à l'intérieur.</w:t>
      </w: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est une concurrence pour le pouvoir sans projet pour le peuple, pas une opposition.</w:t>
      </w: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C'est de l'exigence, pas de la colère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
    <w:p/>
    <w:p/>
    <w:p/>
    <w:p/>
    <w:p/>
    <w:p/>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top w:val="none" w:sz="0" w:space="0" w:color="auto"/>
              <w:insideV w:val="none" w:sz="0" w:space="0" w:color="auto"/>
              <w:left w:val="none" w:sz="0" w:space="0" w:color="auto"/>
              <w:right w:val="none" w:sz="0" w:space="0" w:color="auto"/>
            </w:tcBorders>
          </w:tcPr>
          <w:p>
            <w:pPr>
              <w:spacing w:after="0"/>
            </w:pPr>
          </w:p>
        </w:tc>
      </w:tr>
    </w:tbl>
    <w:p/>
    <w:p/>
    <w:p/>
    <w:p/>
    <w:p/>
    <w:p/>
    <w:p/>
    <w:p/>
    <w:p/>
    <w:p/>
    <w:p/>
    <w:p/>
    <w:p/>
    <w:p/>
    <w:p/>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C'est la réactivation d'une doctrine, pas une simple renaissance institutionnelle.</w:t>
      </w: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est une révolution contre la limite structurelle, pas contre la mauvaise gouvernance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c'est une </w:t>
      </w:r>
      <w:r>
        <w:rPr>
          <w:rFonts w:ascii="FreeSerif" w:hAnsi="FreeSerif"/>
          <w:b/>
          <w:sz w:val="22"/>
        </w:rPr>
        <w:t>victoire politique arrachée</w:t>
      </w:r>
      <w:r>
        <w:rPr>
          <w:rFonts w:ascii="FreeSerif" w:hAnsi="FreeSerif"/>
          <w:sz w:val="22"/>
        </w:rPr>
        <w:t xml:space="preserve"> par une diplomatie africaine qui a décidé de ne plus attendre, pas un geste de générosité, ni la conscience tardive de l'Europe qui s'éveille.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after="60"/>
        <w:ind w:firstLine="567"/>
      </w:pPr>
      <w:r>
        <w:rPr>
          <w:rFonts w:ascii="FreeSerif" w:hAnsi="FreeSerif"/>
          <w:sz w:val="22"/>
        </w:rPr>
        <w:t>PARTIE VI — LES DÉFIS DE DEMAIN</w:t>
      </w: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r>
        <w:br w:type="page"/>
      </w:r>
    </w:p>
    <w:p/>
    <w:p/>
    <w:p/>
    <w:p/>
    <w:p/>
    <w:p/>
    <w:p/>
    <w:p/>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top w:val="none" w:sz="0" w:space="0" w:color="auto"/>
              <w:insideV w:val="none" w:sz="0" w:space="0" w:color="auto"/>
              <w:left w:val="none" w:sz="0" w:space="0" w:color="auto"/>
              <w:right w:val="none" w:sz="0" w:space="0" w:color="auto"/>
            </w:tcBorders>
          </w:tcPr>
          <w:p>
            <w:pPr>
              <w:spacing w:after="0"/>
            </w:pPr>
          </w:p>
        </w:tc>
      </w:tr>
    </w:tbl>
    <w:p/>
    <w:p/>
    <w:p/>
    <w:p/>
    <w:p/>
    <w:p/>
    <w:p/>
    <w:p/>
    <w:p/>
    <w:p/>
    <w:p/>
    <w:p/>
    <w:p/>
    <w:p/>
    <w:p/>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Donateur / année</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C'est la suppression juridique des instruments de l'extraction, pas une simple déclaration politique.</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est un écosystème numérique, pas une monnaie,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Dimension</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client.</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xml:space="preserve">, permet de mesurer précisément l'écart entre le récit du déclin français et la réalité de son emprise résiduelle — un écart qui est la clé de voûte de la recomposition décrite dans ce chapitre. Sur le plan commercial pur, le constat est sans appel : la part de marché française en Afrique subsaharienne est passée de </w:t>
      </w:r>
      <w:r>
        <w:rPr>
          <w:rFonts w:ascii="FreeSerif" w:hAnsi="FreeSerif"/>
          <w:b/>
          <w:sz w:val="22"/>
        </w:rPr>
        <w:t>15 % à la fin des années 1970 à 3 % aujourd'hui</w:t>
      </w:r>
      <w:r>
        <w:rPr>
          <w:rFonts w:ascii="FreeSerif" w:hAnsi="FreeSerif"/>
          <w:sz w:val="22"/>
        </w:rPr>
        <w:t>, et la France ne représente plus, pour l'essentiel du sous-continent, qu'un partenaire commercial secondaire. Ce recul, précise le rapport, est antérieur à la concurrence chinoise : il résulte d'abord de la désindustrialisation française elle-même, qui a réduit les besoins directs de l'Hexagone en matières premières africaines — coton, bauxite, minerai de fer — bien avant l'irruption des produits asiatiques sur le continent.</w:t>
      </w:r>
    </w:p>
    <w:p>
      <w:pPr>
        <w:spacing w:after="60"/>
        <w:ind w:firstLine="567"/>
      </w:pPr>
      <w:r>
        <w:rPr>
          <w:rFonts w:ascii="FreeSerif" w:hAnsi="FreeSerif"/>
          <w:sz w:val="22"/>
        </w:rPr>
        <w:t xml:space="preserve">Mais les chiffres du commerce extérieur, prévient le rapport, sont « très imparfaits » pour mesurer la réalité des intérêts français : la mondialisation a fragmenté les chaînes de valeur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La France y présente une singularité que ni l'Allemagne ni les Pays-Bas, pourtant plus gros exportateurs vers certains marchés africains, ne possèdent : </w:t>
      </w:r>
      <w:r>
        <w:rPr>
          <w:rFonts w:ascii="FreeSerif" w:hAnsi="FreeSerif"/>
          <w:b/>
          <w:sz w:val="22"/>
        </w:rPr>
        <w:t>2 421 filiales d'entreprises françaises</w:t>
      </w:r>
      <w:r>
        <w:rPr>
          <w:rFonts w:ascii="FreeSerif" w:hAnsi="FreeSerif"/>
          <w:sz w:val="22"/>
        </w:rPr>
        <w:t xml:space="preserve"> implantées en Afrique subsaharienne — six fois plus que les filiales allemandes, neuf fois plus que les filiales néerlandaises — générant en moyenne </w:t>
      </w:r>
      <w:r>
        <w:rPr>
          <w:rFonts w:ascii="FreeSerif" w:hAnsi="FreeSerif"/>
          <w:b/>
          <w:sz w:val="22"/>
        </w:rPr>
        <w:t>41,2 milliards d'euros de chiffre d'affaires annuel</w:t>
      </w:r>
      <w:r>
        <w:rPr>
          <w:rFonts w:ascii="FreeSerif" w:hAnsi="FreeSerif"/>
          <w:sz w:val="22"/>
        </w:rPr>
        <w:t>, près de quatre fois le montant total des exportations françaises vers la région. Ce chiffre d'affaires ne transite par aucune douane, n'apparaît dans aucune statistique commerciale, et pourtant il pèse directement sur les économies africaines où ces filiales opèrent — avant que les profits ne soient rapatriés vers les maisons mères.</w:t>
      </w:r>
    </w:p>
    <w:p>
      <w:pPr>
        <w:spacing w:after="60"/>
        <w:ind w:firstLine="567"/>
      </w:pPr>
      <w:r>
        <w:rPr>
          <w:rFonts w:ascii="FreeSerif" w:hAnsi="FreeSerif"/>
          <w:sz w:val="22"/>
        </w:rPr>
        <w:t xml:space="preserve">Cette emprise, le rapport le documente chiffre à l'appui, se concentre presque exclusivement dans l'ancien pré carré. Le poids de ces filiales dans le PIB national atteint des niveaux considérables : </w:t>
      </w:r>
      <w:r>
        <w:rPr>
          <w:rFonts w:ascii="FreeSerif" w:hAnsi="FreeSerif"/>
          <w:b/>
          <w:sz w:val="22"/>
        </w:rPr>
        <w:t>16,3 % au Gabon, 15,6 % au Sénégal, 13,2 % au Congo, 12,4 % au Burkina Faso, 11,6 % en Côte d'Ivoire</w:t>
      </w:r>
      <w:r>
        <w:rPr>
          <w:rFonts w:ascii="FreeSerif" w:hAnsi="FreeSerif"/>
          <w:sz w:val="22"/>
        </w:rPr>
        <w:t xml:space="preserve"> (données 2019-2021) — soit davantage que le poids du secteur informel dans nombre de ces économies, alors que ce même chiffre d'affaires ne représente que </w:t>
      </w:r>
      <w:r>
        <w:rPr>
          <w:rFonts w:ascii="FreeSerif" w:hAnsi="FreeSerif"/>
          <w:b/>
          <w:sz w:val="22"/>
        </w:rPr>
        <w:t>2,3 % de l'activité totale des multinationales françaises à l'étranger</w:t>
      </w:r>
      <w:r>
        <w:rPr>
          <w:rFonts w:ascii="FreeSerif" w:hAnsi="FreeSerif"/>
          <w:sz w:val="22"/>
        </w:rPr>
        <w:t>.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à la France. C'est très exactement la définition d'une relation asymétrique — et c'est très exactement ce qui explique pourquoi les mobilisations populaires, du mouvement « Auchan dégage » à Dakar en 2018 aux émeutes contre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est une architecture, pas un simple héritage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Indicateur</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85 %</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11 %</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C'est une </w:t>
      </w:r>
      <w:r>
        <w:rPr>
          <w:rFonts w:ascii="FreeSerif" w:hAnsi="FreeSerif"/>
          <w:b/>
          <w:sz w:val="22"/>
        </w:rPr>
        <w:t>fermeture de frontière par la preuve de richesse</w:t>
      </w:r>
      <w:r>
        <w:rPr>
          <w:rFonts w:ascii="FreeSerif" w:hAnsi="FreeSerif"/>
          <w:sz w:val="22"/>
        </w:rPr>
        <w:t>, pas une mise à jour administrative.</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Fait documenté</w:t>
            </w:r>
          </w:p>
        </w:tc>
        <w:tc>
          <w:tcPr>
            <w:tcW w:type="dxa" w:w="4677"/>
            <w:tcBorders>
              <w:insideV w:val="none" w:sz="0" w:space="0" w:color="auto"/>
              <w:bottom w:val="none" w:sz="0" w:space="0" w:color="auto"/>
              <w:top w:val="none" w:sz="0" w:space="0" w:color="auto"/>
              <w:insideH w:val="none" w:sz="0" w:space="0" w:color="auto"/>
              <w:left w:val="none" w:sz="0" w:space="0" w:color="auto"/>
              <w:righ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insideH w:val="none" w:sz="0" w:space="0" w:color="auto"/>
              <w:top w:val="none" w:sz="0" w:space="0" w:color="auto"/>
              <w:bottom w:val="none" w:sz="0" w:space="0" w:color="auto"/>
              <w:insideV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insideH w:val="none" w:sz="0" w:space="0" w:color="auto"/>
              <w:top w:val="none" w:sz="0" w:space="0" w:color="auto"/>
              <w:bottom w:val="none" w:sz="0" w:space="0" w:color="auto"/>
              <w:insideV w:val="none" w:sz="0" w:space="0" w:color="auto"/>
              <w:right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C'est un document déclassifié, pas une théorie du complot.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simple péripétie régionale :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est un projet,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architecture, pas un accident. Voici les pierres de l'édifice — et les premières lézardes qui l'ont fissuré.</w:t>
      </w: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4 — Les résistances oubliées</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12 — L'explosion du terrorisme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23 — Sankara avait raison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