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la rhétorique de souveraineté n'est plus réservée aux trois États de l'AES: elle irrigue désormais même les États encore dans l'orbite occidentale, contraints de répondre à leurs populations par un langage que l'AES a rendu audible et légitime.</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Kerembeisse,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r>
        <w:t>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financière française (désignée sous l'acronyme GAF)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Essouet, Maître Jeanvier Momo, Hamzat) comme le moment où la RCA formule sa propre doctrine souverainiste: «vous semblez ignorer que la République centrafricaine est un État souverain.»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La RCA cumule ainsi cinq registres d'ingérence simultanés documentés: armes SPEAR orphelines, territoire vendu pour déportés américains, CPI comme arme juridique, diaspora-France comme levier électoral, ONG américaine comme couverture de renseignement.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