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i w:val="0"/>
          <w:color w:val="C8960A"/>
          <w:sz w:val="44"/>
        </w:rPr>
        <w:t>LA PAIX, ON PEUT L'ÉVITER</w:t>
      </w:r>
    </w:p>
    <w:p>
      <w:pPr>
        <w:spacing w:before="0" w:after="80"/>
        <w:jc w:val="center"/>
      </w:pPr>
      <w:r>
        <w:rPr>
          <w:b w:val="0"/>
          <w:i w:val="0"/>
          <w:color w:val="7A6535"/>
          <w:sz w:val="26"/>
        </w:rPr>
        <w:t>Géopolitique de la résistance africaine</w:t>
      </w:r>
    </w:p>
    <w:p>
      <w:pPr>
        <w:spacing w:before="0" w:after="40"/>
        <w:jc w:val="center"/>
      </w:pPr>
      <w:r>
        <w:rPr>
          <w:b w:val="0"/>
          <w:i w:val="0"/>
          <w:color w:val="7A6535"/>
          <w:sz w:val="22"/>
        </w:rPr>
        <w:t>BEN–H2O</w:t>
      </w:r>
    </w:p>
    <w:p>
      <w:pPr>
        <w:spacing w:before="0" w:after="320"/>
        <w:jc w:val="center"/>
      </w:pPr>
      <w:r>
        <w:rPr>
          <w:b w:val="0"/>
          <w:i/>
          <w:color w:val="7A6535"/>
          <w:sz w:val="18"/>
        </w:rPr>
        <w:t>Corpus analytique — 130+ sources — Mai 2026</w:t>
      </w:r>
    </w:p>
    <w:p>
      <w:pPr>
        <w:spacing w:before="160" w:after="160"/>
        <w:jc w:val="center"/>
      </w:pPr>
      <w:r>
        <w:rPr>
          <w:color w:val="C8960A"/>
          <w:sz w:val="20"/>
        </w:rPr>
        <w:t>⬥  ⬥  ⬥</w:t>
      </w:r>
    </w:p>
    <w:p>
      <w:pPr>
        <w:spacing w:before="240" w:after="120"/>
        <w:jc w:val="left"/>
      </w:pPr>
      <w:r>
        <w:rPr>
          <w:b/>
          <w:i w:val="0"/>
          <w:color w:val="C8960A"/>
          <w:sz w:val="26"/>
        </w:rPr>
        <w:t>DESCRIPTION</w:t>
      </w:r>
    </w:p>
    <w:p>
      <w:pPr>
        <w:spacing w:before="0" w:after="200"/>
        <w:jc w:val="left"/>
      </w:pPr>
      <w:r>
        <w:rPr>
          <w:b w:val="0"/>
          <w:i w:val="0"/>
          <w:color w:val="1A1A1A"/>
          <w:sz w:val="22"/>
        </w:rPr>
        <w:t>Cinq mots écrits sur un tableau blanc dans une villa de Niamey ont tout dit : « La paix, on peut l'éviter. » Ces mots ne viennent pas de philosophes. Ils viennent de stratèges. Leur mission : maintenir l'instabilité pour maintenir l'accès. Maintenir l'accès pour maintenir l'extraction — de l'uranium, de l'or, du pétrole.</w:t>
      </w:r>
    </w:p>
    <w:p>
      <w:pPr>
        <w:spacing w:before="0" w:after="200"/>
        <w:jc w:val="left"/>
      </w:pPr>
      <w:r>
        <w:rPr>
          <w:b w:val="0"/>
          <w:i w:val="0"/>
          <w:color w:val="1A1A1A"/>
          <w:sz w:val="22"/>
        </w:rPr>
        <w:t>En septembre 2023, Mali, Burkina Faso et Niger signent la Charte du Liptako-Gourma et forment l'Alliance des États du Sahel (AES) — premier bloc souverain, armé et explicitement anti-néocolonial depuis les indépendances. La presse occidentale couvre l'événement avec condescendance. Ce livre prend le pari inverse : il prend l'AES au sérieux.</w:t>
        <w:br/>
        <w:br/>
        <w:t>S'appuyant sur plus de 130 sources — françaises critiques mainstream, académiques, officielles, panafricanistes et institutionnelles adverses — BEN–H2O démontre, étape par étape, que la déstabilisation du Sahel n'est pas un accident. C'est un système.</w:t>
      </w:r>
    </w:p>
    <w:p>
      <w:pPr>
        <w:spacing w:before="160" w:after="160"/>
        <w:jc w:val="center"/>
      </w:pPr>
      <w:r>
        <w:rPr>
          <w:color w:val="C8960A"/>
          <w:sz w:val="20"/>
        </w:rPr>
        <w:t>⬥  ⬥  ⬥</w:t>
      </w:r>
    </w:p>
    <w:p>
      <w:pPr>
        <w:spacing w:before="200" w:after="160"/>
        <w:jc w:val="left"/>
      </w:pPr>
      <w:r>
        <w:rPr>
          <w:b/>
          <w:i w:val="0"/>
          <w:color w:val="C8960A"/>
          <w:sz w:val="26"/>
        </w:rPr>
        <w:t>CE QUE CE LIVRE RÉVÈLE</w:t>
      </w:r>
    </w:p>
    <w:p>
      <w:pPr>
        <w:spacing w:before="80" w:after="120"/>
        <w:ind w:left="240"/>
      </w:pPr>
      <w:r>
        <w:rPr>
          <w:b/>
          <w:color w:val="9A7820"/>
          <w:sz w:val="22"/>
        </w:rPr>
        <w:t xml:space="preserve">▸ Comment le franc CFA est né : </w:t>
      </w:r>
      <w:r>
        <w:rPr>
          <w:color w:val="1A1A1A"/>
          <w:sz w:val="22"/>
        </w:rPr>
        <w:t>non comme une monnaie d'échange, mais comme un instrument d'extraction fiscale — documenté par les institutions françaises elles-mêmes.</w:t>
      </w:r>
    </w:p>
    <w:p>
      <w:pPr>
        <w:spacing w:before="80" w:after="120"/>
        <w:ind w:left="240"/>
      </w:pPr>
      <w:r>
        <w:rPr>
          <w:b/>
          <w:color w:val="9A7820"/>
          <w:sz w:val="22"/>
        </w:rPr>
        <w:t xml:space="preserve">▸ Pourquoi Barkhane n'a pas échoué : </w:t>
      </w:r>
      <w:r>
        <w:rPr>
          <w:color w:val="1A1A1A"/>
          <w:sz w:val="22"/>
        </w:rPr>
        <w:t>Les attaques jihadistes ont triplé en sept ans de présence militaire française. Ce n'est pas l'échec d'une stratégie : c'est la cohérence d'un système dont l'objectif n'a jamais été la victoire militaire.</w:t>
      </w:r>
    </w:p>
    <w:p>
      <w:pPr>
        <w:spacing w:before="80" w:after="120"/>
        <w:ind w:left="240"/>
      </w:pPr>
      <w:r>
        <w:rPr>
          <w:b/>
          <w:color w:val="9A7820"/>
          <w:sz w:val="22"/>
        </w:rPr>
        <w:t xml:space="preserve">▸ Les aveux institutionnels français : </w:t>
      </w:r>
      <w:r>
        <w:rPr>
          <w:color w:val="1A1A1A"/>
          <w:sz w:val="22"/>
        </w:rPr>
        <w:t>Une commission parlementaire qualifie officiellement la politique africaine de la France de « domination ». L'ancien chef de la DGSE documente le déclin français continent par continent. Loïk Le Floch-Prigent (ex-PDG d'Elf) explique lui-même comment le pétrole africain était acheté à 4 dollars et revendu à 80.</w:t>
      </w:r>
    </w:p>
    <w:p>
      <w:pPr>
        <w:spacing w:before="80" w:after="120"/>
        <w:ind w:left="240"/>
      </w:pPr>
      <w:r>
        <w:rPr>
          <w:b/>
          <w:color w:val="9A7820"/>
          <w:sz w:val="22"/>
        </w:rPr>
        <w:t xml:space="preserve">▸ La CEDEAO comme instrument : </w:t>
      </w:r>
      <w:r>
        <w:rPr>
          <w:color w:val="1A1A1A"/>
          <w:sz w:val="22"/>
        </w:rPr>
        <w:t>Analyse juridique précise des violations du droit international lors des sanctions contre le Niger en 2023 — et de la télécommande parisienne derrière l'ultimatum.</w:t>
      </w:r>
    </w:p>
    <w:p>
      <w:pPr>
        <w:spacing w:before="80" w:after="120"/>
        <w:ind w:left="240"/>
      </w:pPr>
      <w:r>
        <w:rPr>
          <w:b/>
          <w:color w:val="9A7820"/>
          <w:sz w:val="22"/>
        </w:rPr>
        <w:t xml:space="preserve">▸ La guerre informationnelle en cours : </w:t>
      </w:r>
      <w:r>
        <w:rPr>
          <w:color w:val="1A1A1A"/>
          <w:sz w:val="22"/>
        </w:rPr>
        <w:t>Comment l'école cyber du 43e BIMA forme des « e-patrouilleurs » ciblant les panafricanistes. L'appel d'offre public de septembre 2025 pour recruter des influenceurs africains contre l'AES — confirmé par deux sources indépendantes.</w:t>
      </w:r>
    </w:p>
    <w:p>
      <w:pPr>
        <w:spacing w:before="80" w:after="120"/>
        <w:ind w:left="240"/>
      </w:pPr>
      <w:r>
        <w:rPr>
          <w:b/>
          <w:color w:val="9A7820"/>
          <w:sz w:val="22"/>
        </w:rPr>
        <w:t xml:space="preserve">▸ Les défis internes de l'AES : </w:t>
      </w:r>
      <w:r>
        <w:rPr>
          <w:color w:val="1A1A1A"/>
          <w:sz w:val="22"/>
        </w:rPr>
        <w:t>Ce livre n'est pas une hagiographie. Il analyse avec la même rigueur les risques de personnalisation du pouvoir, de compradorisme militaire et de dépendance russe qui menacent le projet souverain de l'intérieur.</w:t>
      </w:r>
    </w:p>
    <w:p>
      <w:pPr>
        <w:spacing w:before="160" w:after="160"/>
        <w:jc w:val="center"/>
      </w:pPr>
      <w:r>
        <w:rPr>
          <w:color w:val="C8960A"/>
          <w:sz w:val="20"/>
        </w:rPr>
        <w:t>⬥  ⬥  ⬥</w:t>
      </w:r>
    </w:p>
    <w:p>
      <w:pPr>
        <w:spacing w:before="200" w:after="80"/>
        <w:jc w:val="center"/>
      </w:pPr>
      <w:r>
        <w:rPr>
          <w:b w:val="0"/>
          <w:i/>
          <w:color w:val="9A7820"/>
          <w:sz w:val="22"/>
        </w:rPr>
        <w:t>« L'essentiel de la richesse de la France vient de l'exploitation de l'Afrique depuis des siècles. »</w:t>
      </w:r>
    </w:p>
    <w:p>
      <w:pPr>
        <w:spacing w:before="0" w:after="200"/>
        <w:jc w:val="center"/>
      </w:pPr>
      <w:r>
        <w:rPr>
          <w:b w:val="0"/>
          <w:i w:val="0"/>
          <w:color w:val="7A6535"/>
          <w:sz w:val="20"/>
        </w:rPr>
        <w:t>— Jacques Chirac, président de la République française</w:t>
      </w:r>
    </w:p>
    <w:p>
      <w:pPr>
        <w:spacing w:before="160" w:after="160"/>
        <w:jc w:val="center"/>
      </w:pPr>
      <w:r>
        <w:rPr>
          <w:color w:val="C8960A"/>
          <w:sz w:val="20"/>
        </w:rPr>
        <w:t>⬥  ⬥  ⬥</w:t>
      </w:r>
    </w:p>
    <w:p>
      <w:pPr>
        <w:spacing w:before="200" w:after="160"/>
        <w:jc w:val="left"/>
      </w:pPr>
      <w:r>
        <w:rPr>
          <w:b/>
          <w:i w:val="0"/>
          <w:color w:val="C8960A"/>
          <w:sz w:val="26"/>
        </w:rPr>
        <w:t>STRUCTURE DE L'OUVRAGE</w:t>
      </w:r>
    </w:p>
    <w:p>
      <w:pPr>
        <w:spacing w:before="60" w:after="80"/>
      </w:pPr>
      <w:r>
        <w:rPr>
          <w:b/>
          <w:color w:val="C8960A"/>
          <w:sz w:val="21"/>
        </w:rPr>
        <w:t xml:space="preserve">Partie I — Ce que la France a effacé : </w:t>
      </w:r>
      <w:r>
        <w:rPr>
          <w:color w:val="1A1A1A"/>
          <w:sz w:val="21"/>
        </w:rPr>
        <w:t>Empires africains précoloniaux, conquête coloniale, 1960 : l'indépendance confisquée.</w:t>
      </w:r>
    </w:p>
    <w:p>
      <w:pPr>
        <w:spacing w:before="60" w:after="80"/>
      </w:pPr>
      <w:r>
        <w:rPr>
          <w:b/>
          <w:color w:val="C8960A"/>
          <w:sz w:val="21"/>
        </w:rPr>
        <w:t xml:space="preserve">Partie II — L'Empire du mensonge : </w:t>
      </w:r>
      <w:r>
        <w:rPr>
          <w:color w:val="1A1A1A"/>
          <w:sz w:val="21"/>
        </w:rPr>
        <w:t>Françafrique, franc CFA, pillage des ressources, l'APD comme outil de contrôle.</w:t>
      </w:r>
    </w:p>
    <w:p>
      <w:pPr>
        <w:spacing w:before="60" w:after="80"/>
      </w:pPr>
      <w:r>
        <w:rPr>
          <w:b/>
          <w:color w:val="C8960A"/>
          <w:sz w:val="21"/>
        </w:rPr>
        <w:t xml:space="preserve">Partie III — Ce que la France admet en privé : </w:t>
      </w:r>
      <w:r>
        <w:rPr>
          <w:color w:val="1A1A1A"/>
          <w:sz w:val="21"/>
        </w:rPr>
        <w:t>Aveux parlementaires, diagnostic de déclin, la doctrine Avé de la propagande cognitive.</w:t>
      </w:r>
    </w:p>
    <w:p>
      <w:pPr>
        <w:spacing w:before="60" w:after="80"/>
      </w:pPr>
      <w:r>
        <w:rPr>
          <w:b/>
          <w:color w:val="C8960A"/>
          <w:sz w:val="21"/>
        </w:rPr>
        <w:t xml:space="preserve">Partie IV — Les trois couronnes de la trahison : </w:t>
      </w:r>
      <w:r>
        <w:rPr>
          <w:color w:val="1A1A1A"/>
          <w:sz w:val="21"/>
        </w:rPr>
        <w:t>CEDEAO, élites compradore, guerre informationnelle multi-frontale.</w:t>
      </w:r>
    </w:p>
    <w:p>
      <w:pPr>
        <w:spacing w:before="60" w:after="80"/>
      </w:pPr>
      <w:r>
        <w:rPr>
          <w:b/>
          <w:color w:val="C8960A"/>
          <w:sz w:val="21"/>
        </w:rPr>
        <w:t xml:space="preserve">Partie V — Les fils de Liptako-Gourma : </w:t>
      </w:r>
      <w:r>
        <w:rPr>
          <w:color w:val="1A1A1A"/>
          <w:sz w:val="21"/>
        </w:rPr>
        <w:t>Genèse et doctrine de l'AES, la Charte du 16 septembre 2023.</w:t>
      </w:r>
    </w:p>
    <w:p>
      <w:pPr>
        <w:spacing w:before="60" w:after="80"/>
      </w:pPr>
      <w:r>
        <w:rPr>
          <w:b/>
          <w:color w:val="C8960A"/>
          <w:sz w:val="21"/>
        </w:rPr>
        <w:t xml:space="preserve">Partie VI — La géopolitique de la rupture : </w:t>
      </w:r>
      <w:r>
        <w:rPr>
          <w:color w:val="1A1A1A"/>
          <w:sz w:val="21"/>
        </w:rPr>
        <w:t>Nouveaux partenariats, rôle des Émirats arabes unis, recomposition régionale.</w:t>
      </w:r>
    </w:p>
    <w:p>
      <w:pPr>
        <w:spacing w:before="60" w:after="80"/>
      </w:pPr>
      <w:r>
        <w:rPr>
          <w:b/>
          <w:color w:val="C8960A"/>
          <w:sz w:val="21"/>
        </w:rPr>
        <w:t xml:space="preserve">Partie VII — La guerre proxy : </w:t>
      </w:r>
      <w:r>
        <w:rPr>
          <w:color w:val="1A1A1A"/>
          <w:sz w:val="21"/>
        </w:rPr>
        <w:t>Attaques du 25 avril 2026, ex-légionnaires et GUR ukrainien au Mali, chronologie.</w:t>
      </w:r>
    </w:p>
    <w:p>
      <w:pPr>
        <w:spacing w:before="60" w:after="80"/>
      </w:pPr>
      <w:r>
        <w:rPr>
          <w:b/>
          <w:color w:val="C8960A"/>
          <w:sz w:val="21"/>
        </w:rPr>
        <w:t xml:space="preserve">Partie VIII — Les défis internes de l'AES : </w:t>
      </w:r>
      <w:r>
        <w:rPr>
          <w:color w:val="1A1A1A"/>
          <w:sz w:val="21"/>
        </w:rPr>
        <w:t>Analyse sans complaisance des risques qui menacent le projet de l'intérieur.</w:t>
      </w:r>
    </w:p>
    <w:p>
      <w:pPr>
        <w:spacing w:before="60" w:after="80"/>
      </w:pPr>
      <w:r>
        <w:rPr>
          <w:b/>
          <w:color w:val="C8960A"/>
          <w:sz w:val="21"/>
        </w:rPr>
        <w:t xml:space="preserve">Partie IX — L'horizon souverain : </w:t>
      </w:r>
      <w:r>
        <w:rPr>
          <w:color w:val="1A1A1A"/>
          <w:sz w:val="21"/>
        </w:rPr>
        <w:t>Souveraineté monétaire, conditions du succès et de l'échec, bilan prospectif.</w:t>
      </w:r>
    </w:p>
    <w:p>
      <w:pPr>
        <w:spacing w:before="160" w:after="160"/>
        <w:jc w:val="center"/>
      </w:pPr>
      <w:r>
        <w:rPr>
          <w:color w:val="C8960A"/>
          <w:sz w:val="20"/>
        </w:rPr>
        <w:t>⬥  ⬥  ⬥</w:t>
      </w:r>
    </w:p>
    <w:p>
      <w:pPr>
        <w:spacing w:before="200" w:after="160"/>
        <w:jc w:val="left"/>
      </w:pPr>
      <w:r>
        <w:rPr>
          <w:b/>
          <w:i w:val="0"/>
          <w:color w:val="C8960A"/>
          <w:sz w:val="26"/>
        </w:rPr>
        <w:t>POURQUOI CE LIVRE EST DIFFÉRENT</w:t>
      </w:r>
    </w:p>
    <w:p>
      <w:pPr>
        <w:spacing w:before="0" w:after="320"/>
        <w:jc w:val="left"/>
      </w:pPr>
      <w:r>
        <w:rPr>
          <w:b w:val="0"/>
          <w:i w:val="0"/>
          <w:color w:val="1A1A1A"/>
          <w:sz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w:t>
        <w:br/>
        <w:br/>
        <w:t>Ce livre n'est ni un tract, ni une hagiographie. C'est une analyse. Les informations non vérifiables sont signalées comme telles. Les validations croisées — lorsque RTL France, la Cour des comptes française ou une commission parlementaire confirment ce que les panafricanistes disent depuis des décennies — sont explicitement documentées.</w:t>
        <w:br/>
        <w:br/>
        <w:t>La paix des cimetières a été imposée trop longtemps. La justice ne peut pas être évitée. La dignité, non. La liberté, jamais.</w:t>
      </w:r>
    </w:p>
    <w:p>
      <w:pPr>
        <w:spacing w:before="120" w:after="80"/>
        <w:jc w:val="left"/>
      </w:pPr>
      <w:r>
        <w:rPr>
          <w:b/>
          <w:i w:val="0"/>
          <w:color w:val="C8960A"/>
          <w:sz w:val="22"/>
        </w:rPr>
        <w:t>MOTS-CLÉS KINDLE</w:t>
      </w:r>
    </w:p>
    <w:p>
      <w:pPr>
        <w:spacing w:before="0" w:after="200"/>
        <w:jc w:val="left"/>
      </w:pPr>
      <w:r>
        <w:rPr>
          <w:b w:val="0"/>
          <w:i/>
          <w:color w:val="7A6535"/>
          <w:sz w:val="20"/>
        </w:rPr>
        <w:t>Alliance des États du Sahel · AES · Géopolitique africaine · Françafrique · Franc CFA · Souveraineté africaine · Mali · Burkina Faso · Niger · Néocolonialisme · Panafricanisme · Goïta · Traoré · Tiani · BEN-H2O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