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 xml:space="preserve">           </w:t>
      </w:r>
      <w:r w:rsidR="00000000">
        <w:rPr>
          <w:rFonts w:ascii="Garamond" w:hAnsi="Garamond"/>
        </w:rPr>
        <w:t xml:space="preserve">Chapitre 25f — Dieu comme terrain de guerre </w:t>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pPr>
        <w:pStyle w:val="Normal"/>
        <w:spacing/>
      </w:pPr>
      <w:r>
        <w:rPr/>
        <w:t xml:space="preserve">    Chapitre 39 — Conclusion : L’irréversibilité africaine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200"/>
        <w:ind w:left="680"/>
      </w:pPr>
      <w:r>
        <w:rPr>
          <w:rFonts w:ascii="Garamond" w:hAnsi="Garamond"/>
          <w:i/>
          <w:sz w:val="19"/>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200"/>
        <w:ind w:left="680"/>
      </w:pPr>
      <w:r>
        <w:rPr>
          <w:rFonts w:ascii="Garamond" w:hAnsi="Garamond"/>
          <w:i/>
          <w:sz w:val="19"/>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200"/>
        <w:ind w:left="680"/>
      </w:pPr>
      <w:r>
        <w:rPr>
          <w:rFonts w:ascii="Garamond" w:hAnsi="Garamond"/>
          <w:i/>
          <w:sz w:val="19"/>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200"/>
        <w:ind w:left="680"/>
      </w:pPr>
      <w:r>
        <w:rPr>
          <w:rFonts w:ascii="Garamond" w:hAnsi="Garamond"/>
          <w:i/>
          <w:sz w:val="19"/>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200"/>
        <w:ind w:left="680"/>
      </w:pPr>
      <w:r>
        <w:rPr>
          <w:rFonts w:ascii="Garamond" w:hAnsi="Garamond"/>
          <w:i/>
          <w:sz w:val="19"/>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