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w:t>
      </w:r>
    </w:p>
    <w:p>
      <w:pPr>
        <w:spacing w:after="80"/>
      </w:pPr>
      <w:r>
        <w:rPr>
          <w:rFonts w:ascii="FreeSerif" w:hAnsi="FreeSerif"/>
          <w:sz w:val="22"/>
        </w:rPr>
        <w:t>La France tolère l'organisation de coups d'État depuis son sol — la déclaration publique de 2022 n'a eu aucune conséquence judiciaire française.</w:t>
      </w:r>
    </w:p>
    <w:p>
      <w:pPr>
        <w:spacing w:after="80"/>
      </w:pPr>
      <w:r>
        <w:rPr>
          <w:rFonts w:ascii="FreeSerif" w:hAnsi="FreeSerif"/>
          <w:sz w:val="22"/>
        </w:rPr>
        <w:t>La protection de l'État est conditionnelle — l'honorable correspondant est utile tant que la politique le demande. Gênant quand elle change.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epuces"/>
      </w:pPr>
      <w:r>
        <w:rPr>
          <w:rFonts w:ascii="FreeSerif" w:hAnsi="FreeSerif"/>
          <w:sz w:val="21"/>
        </w:rPr>
        <w:t>Un **Programme spatial africain**</w:t>
      </w:r>
    </w:p>
    <w:p>
      <w:pPr>
        <w:pStyle w:val="Listepuces"/>
      </w:pPr>
      <w:r>
        <w:rPr>
          <w:rFonts w:ascii="FreeSerif" w:hAnsi="FreeSerif"/>
          <w:sz w:val="21"/>
        </w:rPr>
        <w:t>Un **Réseau panafricain dans les bio et nanotechnologies**</w:t>
      </w:r>
    </w:p>
    <w:p>
      <w:pPr>
        <w:pStyle w:val="Listepuces"/>
      </w:pPr>
      <w:r>
        <w:rPr>
          <w:rFonts w:ascii="FreeSerif" w:hAnsi="FreeSerif"/>
          <w:sz w:val="21"/>
        </w:rPr>
        <w:t>Un **Réseau intégré de TGV** à l'échelle du continent</w:t>
      </w:r>
    </w:p>
    <w:p>
      <w:pPr>
        <w:pStyle w:val="Listepuces"/>
      </w:pPr>
      <w:r>
        <w:rPr>
          <w:rFonts w:ascii="FreeSerif" w:hAnsi="FreeSerif"/>
          <w:sz w:val="21"/>
        </w:rPr>
        <w:t>Un **Grand musée africain**</w:t>
      </w:r>
    </w:p>
    <w:p>
      <w:pPr>
        <w:pStyle w:val="Listepuces"/>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Mais pour peser sur la scène internationale, il faut valoir quelque chose. Et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d'autre part, elle est confrontée à une véritable crise de légitimité interne.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total vis-à-vis de ces puissances. Elle est tiraillée entre ses propres intérêts et les intérêts de ceux qui la financent. La question n'est pas de savoir si ce tiraillement existe — il est documenté. La question est de savoir jusqu'à quand il est soutenable.</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Que fait-on de l'ancienne Constitution ? Ce qui était illégal à la base est devenu légal par accumulation de faits accomplis. Et l'Union africaine a absorbé ce changement sans mécanisme correctif effectif.</w:t>
      </w:r>
    </w:p>
    <w:p>
      <w:pPr>
        <w:spacing w:after="80"/>
      </w:pPr>
      <w:r>
        <w:rPr>
          <w:rFonts w:ascii="FreeSerif" w:hAnsi="FreeSerif"/>
          <w:sz w:val="22"/>
        </w:rPr>
        <w:t>La comparaison avec le traitement réservé aux États de l'AES est instructive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epuces"/>
      </w:pPr>
      <w:r>
        <w:rPr>
          <w:rFonts w:ascii="FreeSerif" w:hAnsi="FreeSerif"/>
          <w:sz w:val="21"/>
        </w:rPr>
        <w:t>**À l'Ouest** : le Sahel (Mali, Burkina Faso, Niger, Mauritanie)</w:t>
      </w:r>
    </w:p>
    <w:p>
      <w:pPr>
        <w:pStyle w:val="Listepuces"/>
      </w:pPr>
      <w:r>
        <w:rPr>
          <w:rFonts w:ascii="FreeSerif" w:hAnsi="FreeSerif"/>
          <w:sz w:val="21"/>
        </w:rPr>
        <w:t>**À l'Est** : l'Éthiopie (Tigré, Oromia)</w:t>
      </w:r>
    </w:p>
    <w:p>
      <w:pPr>
        <w:pStyle w:val="Listepuces"/>
      </w:pPr>
      <w:r>
        <w:rPr>
          <w:rFonts w:ascii="FreeSerif" w:hAnsi="FreeSerif"/>
          <w:sz w:val="21"/>
        </w:rPr>
        <w:t>**Au Nord** : la Libye, toujours fragmentée</w:t>
      </w:r>
    </w:p>
    <w:p>
      <w:pPr>
        <w:pStyle w:val="Listepuces"/>
      </w:pPr>
      <w:r>
        <w:rPr>
          <w:rFonts w:ascii="FreeSerif" w:hAnsi="FreeSerif"/>
          <w:sz w:val="21"/>
        </w:rPr>
        <w:t>**Au Nord-Est** : le Soudan et le Soudan du Sud</w:t>
      </w:r>
    </w:p>
    <w:p>
      <w:pPr>
        <w:pStyle w:val="Listepuces"/>
      </w:pPr>
      <w:r>
        <w:rPr>
          <w:rFonts w:ascii="FreeSerif" w:hAnsi="FreeSerif"/>
          <w:sz w:val="21"/>
        </w:rPr>
        <w:t>**Au Centre** : le Cameroun (Anglophone Crisis) et la RDC (est du pays)</w:t>
      </w:r>
    </w:p>
    <w:p>
      <w:pPr>
        <w:pStyle w:val="Listepuces"/>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epuces"/>
      </w:pPr>
      <w:r>
        <w:rPr>
          <w:rFonts w:ascii="FreeSerif" w:hAnsi="FreeSerif"/>
          <w:sz w:val="21"/>
        </w:rPr>
        <w:t>Ne les a pas protégés contre l'insécurité jihadiste malgré des années de crise</w:t>
      </w:r>
    </w:p>
    <w:p>
      <w:pPr>
        <w:pStyle w:val="Listepuces"/>
      </w:pPr>
      <w:r>
        <w:rPr>
          <w:rFonts w:ascii="FreeSerif" w:hAnsi="FreeSerif"/>
          <w:sz w:val="21"/>
        </w:rPr>
        <w:t>Les a sanctionnés plus sévèrement que d'autres putschistes dont la politique étrangère convenait aux grandes puissances</w:t>
      </w:r>
    </w:p>
    <w:p>
      <w:pPr>
        <w:pStyle w:val="Listepuces"/>
      </w:pPr>
      <w:r>
        <w:rPr>
          <w:rFonts w:ascii="FreeSerif" w:hAnsi="FreeSerif"/>
          <w:sz w:val="21"/>
        </w:rPr>
        <w:t>Est financée à 61 % par les puissances étrangères dont elle devrait défendre les populations africaines contre l'influence</w:t>
      </w:r>
    </w:p>
    <w:p>
      <w:pPr>
        <w:pStyle w:val="Listepuces"/>
      </w:pPr>
      <w:r>
        <w:rPr>
          <w:rFonts w:ascii="FreeSerif" w:hAnsi="FreeSerif"/>
          <w:sz w:val="21"/>
        </w:rPr>
        <w:t>N'a pas d'armée propre capable d'intervenir</w:t>
      </w:r>
    </w:p>
    <w:p>
      <w:pPr>
        <w:pStyle w:val="Listepuces"/>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clair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epuces"/>
      </w:pPr>
      <w:r>
        <w:rPr>
          <w:rFonts w:ascii="FreeSerif" w:hAnsi="FreeSerif"/>
          <w:sz w:val="21"/>
        </w:rPr>
        <w:t>L'**Assemblée des chefs d'État** concentre l'essentiel du pouvoir mais ne se réunit qu'une fois par an</w:t>
      </w:r>
    </w:p>
    <w:p>
      <w:pPr>
        <w:pStyle w:val="Listepuces"/>
      </w:pPr>
      <w:r>
        <w:rPr>
          <w:rFonts w:ascii="FreeSerif" w:hAnsi="FreeSerif"/>
          <w:sz w:val="21"/>
        </w:rPr>
        <w:t>Le **Parlement panafricain** existe mais ne décide de rien — chambre consultative uniquement</w:t>
      </w:r>
    </w:p>
    <w:p>
      <w:pPr>
        <w:pStyle w:val="Listepuces"/>
      </w:pPr>
      <w:r>
        <w:rPr>
          <w:rFonts w:ascii="FreeSerif" w:hAnsi="FreeSerif"/>
          <w:sz w:val="21"/>
        </w:rPr>
        <w:t>La **Commission de l'UA** doit constamment demander la permission aux États pour agir, même sur des questions techniques</w:t>
      </w:r>
    </w:p>
    <w:p>
      <w:pPr>
        <w:pStyle w:val="Listepuces"/>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w:t>
      </w:r>
    </w:p>
    <w:p>
      <w:pPr>
        <w:spacing w:after="80"/>
      </w:pPr>
      <w:r>
        <w:rPr>
          <w:rFonts w:ascii="FreeSerif" w:hAnsi="FreeSerif"/>
          <w:sz w:val="22"/>
        </w:rPr>
        <w:t>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w:t>
      </w:r>
    </w:p>
    <w:p>
      <w:pPr>
        <w:spacing w:after="80"/>
      </w:pPr>
      <w:r>
        <w:rPr>
          <w:rFonts w:ascii="FreeSerif" w:hAnsi="FreeSerif"/>
          <w:sz w:val="22"/>
        </w:rPr>
        <w:t>Dès 1963, lors de la création de l'OUA, deux grandes tendances s'opposent :</w:t>
      </w:r>
    </w:p>
    <w:p>
      <w:pPr>
        <w:pStyle w:val="Listepuces"/>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epuces"/>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I. 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w:t>
      </w:r>
    </w:p>
    <w:p>
      <w:pPr>
        <w:spacing w:before="200" w:after="60"/>
        <w:pBdr>
          <w:bottom w:val="single" w:sz="7" w:space="3" w:color="A07820"/>
        </w:pBdr>
      </w:pPr>
      <w:r>
        <w:rPr>
          <w:rFonts w:ascii="FreeSerif" w:hAnsi="FreeSerif"/>
          <w:b/>
          <w:color w:val="2C3A4A"/>
          <w:sz w:val="23"/>
        </w:rPr>
        <w:t>II. 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w:t>
      </w:r>
    </w:p>
    <w:p>
      <w:pPr>
        <w:spacing w:before="200" w:after="60"/>
        <w:pBdr>
          <w:bottom w:val="single" w:sz="7" w:space="3" w:color="A07820"/>
        </w:pBdr>
      </w:pPr>
      <w:r>
        <w:rPr>
          <w:rFonts w:ascii="FreeSerif" w:hAnsi="FreeSerif"/>
          <w:b/>
          <w:color w:val="2C3A4A"/>
          <w:sz w:val="23"/>
        </w:rPr>
        <w:t>III. Les silences sélectifs</w:t>
      </w:r>
    </w:p>
    <w:p>
      <w:pPr>
        <w:spacing w:after="80"/>
      </w:pPr>
      <w:r>
        <w:rPr>
          <w:rFonts w:ascii="FreeSerif" w:hAnsi="FreeSerif"/>
          <w:sz w:val="22"/>
        </w:rPr>
        <w:t>Les cas que le Parlement européen n'a pas commentés :</w:t>
      </w:r>
    </w:p>
    <w:p>
      <w:pPr>
        <w:pStyle w:val="Listepuces"/>
      </w:pPr>
      <w:r>
        <w:rPr>
          <w:rFonts w:ascii="FreeSerif" w:hAnsi="FreeSerif"/>
          <w:sz w:val="21"/>
        </w:rPr>
        <w:t>**Kemi** — arrêtée arbitrairement en France</w:t>
      </w:r>
    </w:p>
    <w:p>
      <w:pPr>
        <w:pStyle w:val="Listepuces"/>
      </w:pPr>
      <w:r>
        <w:rPr>
          <w:rFonts w:ascii="FreeSerif" w:hAnsi="FreeSerif"/>
          <w:sz w:val="21"/>
        </w:rPr>
        <w:t>**Franklin Nyamsi** — avoirs gelés en France</w:t>
      </w:r>
    </w:p>
    <w:p>
      <w:pPr>
        <w:pStyle w:val="Listepuces"/>
      </w:pPr>
      <w:r>
        <w:rPr>
          <w:rFonts w:ascii="FreeSerif" w:hAnsi="FreeSerif"/>
          <w:sz w:val="21"/>
        </w:rPr>
        <w:t>**Dieudonné Mbalambala** — persécuté judiciairement en France depuis des décennies</w:t>
      </w:r>
    </w:p>
    <w:p>
      <w:pPr>
        <w:pStyle w:val="Listepuces"/>
      </w:pPr>
      <w:r>
        <w:rPr>
          <w:rFonts w:ascii="FreeSerif" w:hAnsi="FreeSerif"/>
          <w:sz w:val="21"/>
        </w:rPr>
        <w:t>**Héine Dorgou, Sylvain Afo, Jacques Beau** — sans réaction</w:t>
      </w:r>
    </w:p>
    <w:p>
      <w:pPr>
        <w:pStyle w:val="Listepuces"/>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before="200" w:after="60"/>
        <w:pBdr>
          <w:bottom w:val="single" w:sz="7" w:space="3" w:color="A07820"/>
        </w:pBdr>
      </w:pPr>
      <w:r>
        <w:rPr>
          <w:rFonts w:ascii="FreeSerif" w:hAnsi="FreeSerif"/>
          <w:b/>
          <w:color w:val="2C3A4A"/>
          <w:sz w:val="23"/>
        </w:rPr>
        <w:t>IV. 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w:t>
      </w:r>
    </w:p>
    <w:p>
      <w:pPr>
        <w:spacing w:before="200" w:after="60"/>
        <w:pBdr>
          <w:bottom w:val="single" w:sz="7" w:space="3" w:color="A07820"/>
        </w:pBdr>
      </w:pPr>
      <w:r>
        <w:rPr>
          <w:rFonts w:ascii="FreeSerif" w:hAnsi="FreeSerif"/>
          <w:b/>
          <w:color w:val="2C3A4A"/>
          <w:sz w:val="23"/>
        </w:rPr>
        <w:t>V. 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w:t>
      </w:r>
    </w:p>
    <w:p>
      <w:pPr>
        <w:pStyle w:val="Listepuces"/>
      </w:pPr>
      <w:r>
        <w:rPr>
          <w:rFonts w:ascii="FreeSerif" w:hAnsi="FreeSerif"/>
          <w:sz w:val="21"/>
        </w:rPr>
        <w:t>En France, l'ONG **Urgence Palestine** et la **Ligue de défense noire africaine** ont été dissoutes.</w:t>
      </w:r>
    </w:p>
    <w:p>
      <w:pPr>
        <w:pStyle w:val="Listepuces"/>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epuces"/>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epuces"/>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w:t>
      </w:r>
    </w:p>
    <w:p>
      <w:pPr>
        <w:spacing w:before="200" w:after="60"/>
        <w:pBdr>
          <w:bottom w:val="single" w:sz="7" w:space="3" w:color="A07820"/>
        </w:pBdr>
      </w:pPr>
      <w:r>
        <w:rPr>
          <w:rFonts w:ascii="FreeSerif" w:hAnsi="FreeSerif"/>
          <w:b/>
          <w:color w:val="2C3A4A"/>
          <w:sz w:val="23"/>
        </w:rPr>
        <w:t>VI. 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w:t>
      </w:r>
    </w:p>
    <w:p>
      <w:pPr>
        <w:spacing w:before="200" w:after="60"/>
        <w:pBdr>
          <w:bottom w:val="single" w:sz="7" w:space="3" w:color="A07820"/>
        </w:pBdr>
      </w:pPr>
      <w:r>
        <w:rPr>
          <w:rFonts w:ascii="FreeSerif" w:hAnsi="FreeSerif"/>
          <w:b/>
          <w:color w:val="2C3A4A"/>
          <w:sz w:val="23"/>
        </w:rPr>
        <w:t>VII. Les injonctions — sommation à un État souverain</w:t>
      </w:r>
    </w:p>
    <w:p>
      <w:pPr>
        <w:spacing w:after="80"/>
      </w:pPr>
      <w:r>
        <w:rPr>
          <w:rFonts w:ascii="FreeSerif" w:hAnsi="FreeSerif"/>
          <w:sz w:val="22"/>
        </w:rPr>
        <w:t>Le dispositif de la résolution accumule les injonctions :</w:t>
      </w:r>
    </w:p>
    <w:p>
      <w:pPr>
        <w:pStyle w:val="Listepuces"/>
      </w:pPr>
      <w:r>
        <w:rPr>
          <w:rFonts w:ascii="FreeSerif" w:hAnsi="FreeSerif"/>
          <w:sz w:val="21"/>
        </w:rPr>
        <w:t>**Abrogation d'une loi** de droit interne burkinabè</w:t>
      </w:r>
    </w:p>
    <w:p>
      <w:pPr>
        <w:pStyle w:val="Listepuces"/>
      </w:pPr>
      <w:r>
        <w:rPr>
          <w:rFonts w:ascii="FreeSerif" w:hAnsi="FreeSerif"/>
          <w:sz w:val="21"/>
        </w:rPr>
        <w:t>**Enquêtes indépendantes** — le Parlement européen se prescrit comme autorité de supervision des procédures pénales d'un État souverain</w:t>
      </w:r>
    </w:p>
    <w:p>
      <w:pPr>
        <w:pStyle w:val="Listepuces"/>
      </w:pPr>
      <w:r>
        <w:rPr>
          <w:rFonts w:ascii="FreeSerif" w:hAnsi="FreeSerif"/>
          <w:sz w:val="21"/>
        </w:rPr>
        <w:t>**Feuille de route crédible vers des élections** — Zelenski n'organise pas d'élections depuis 2024 ; aucune résolution ne lui a demandé de feuille de route</w:t>
      </w:r>
    </w:p>
    <w:p>
      <w:pPr>
        <w:pStyle w:val="Listepuces"/>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VIII. 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w:t>
      </w:r>
    </w:p>
    <w:p>
      <w:pPr>
        <w:spacing w:after="80"/>
      </w:pPr>
      <w:r>
        <w:rPr>
          <w:rFonts w:ascii="FreeSerif" w:hAnsi="FreeSerif"/>
          <w:sz w:val="22"/>
        </w:rPr>
        <w:t>La réponse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IX. 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