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80" w:after="40"/>
        <w:jc w:val="center"/>
      </w:pPr>
      <w:r>
        <w:rPr>
          <w:b w:val="0"/>
          <w:i/>
          <w:color w:val="6A4040"/>
          <w:sz w:val="18"/>
          <w:rFonts w:ascii="FreeSans" w:hAnsi="FreeSans" w:cs="FreeSans"/>
        </w:rPr>
        <w:t>« Un peuple sans connaissance de son histoire, de son origine et de sa culture est comme un arbre sans racines. »</w:t>
      </w:r>
    </w:p>
    <w:p>
      <w:pPr>
        <w:spacing w:after="160"/>
        <w:jc w:val="center"/>
      </w:pPr>
      <w:r>
        <w:rPr>
          <w:b w:val="0"/>
          <w:i/>
          <w:color w:val="6A4040"/>
          <w:sz w:val="17"/>
          <w:rFonts w:ascii="FreeSans" w:hAnsi="FreeSans" w:cs="FreeSans"/>
        </w:rPr>
        <w:t>— Marcus Garvey</w:t>
      </w:r>
    </w:p>
    <w:p>
      <w:pPr>
        <w:spacing w:before="80" w:after="40"/>
        <w:jc w:val="center"/>
      </w:pPr>
      <w:r>
        <w:rPr>
          <w:b w:val="0"/>
          <w:i/>
          <w:color w:val="6A4040"/>
          <w:sz w:val="18"/>
          <w:rFonts w:ascii="FreeSans" w:hAnsi="FreeSans" w:cs="FreeSans"/>
        </w:rPr>
        <w:t>« La liberté ne se donne pas, elle se prend. »</w:t>
      </w:r>
    </w:p>
    <w:p>
      <w:pPr>
        <w:spacing w:after="160"/>
        <w:jc w:val="center"/>
      </w:pPr>
      <w:r>
        <w:rPr>
          <w:b w:val="0"/>
          <w:i/>
          <w:color w:val="6A4040"/>
          <w:sz w:val="17"/>
          <w:rFonts w:ascii="FreeSans" w:hAnsi="FreeSans" w:cs="FreeSans"/>
        </w:rPr>
        <w:t>— Frantz Fanon, *Les Damnés de la Terre*, 1961</w:t>
      </w:r>
    </w:p>
    <w:p>
      <w:pPr>
        <w:spacing w:before="80" w:after="40"/>
        <w:jc w:val="center"/>
      </w:pPr>
      <w:r>
        <w:rPr>
          <w:b w:val="0"/>
          <w:i/>
          <w:color w:val="6A4040"/>
          <w:sz w:val="18"/>
          <w:rFonts w:ascii="FreeSans" w:hAnsi="FreeSans" w:cs="FreeSans"/>
        </w:rPr>
        <w:t>« Il faut oser inventer l'avenir. »</w:t>
      </w:r>
    </w:p>
    <w:p>
      <w:pPr>
        <w:spacing w:after="160"/>
        <w:jc w:val="center"/>
      </w:pPr>
      <w:r>
        <w:rPr>
          <w:b w:val="0"/>
          <w:i/>
          <w:color w:val="6A4040"/>
          <w:sz w:val="17"/>
          <w:rFonts w:ascii="FreeSans" w:hAnsi="FreeSans" w:cs="FreeSans"/>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PARTIE I — L'AFRIQUE AVANT LA DOMINATION</w:t>
            </w:r>
          </w:p>
        </w:tc>
      </w:tr>
      <w:tr>
        <w:tc>
          <w:tcPr>
            <w:tcW w:type="dxa" w:w="6624"/>
            <w:shd w:val="clear" w:fill="FFF0EE"/>
          </w:tcPr>
          <w:p>
            <w:r>
              <w:rPr>
                <w:rFonts w:ascii="FreeSans" w:hAnsi="FreeSans"/>
                <w:color w:val="0A0A0A"/>
                <w:sz w:val="18"/>
              </w:rPr>
              <w:t>Chapitre 1 — Les grands empires</w:t>
            </w:r>
          </w:p>
        </w:tc>
      </w:tr>
      <w:tr>
        <w:tc>
          <w:tcPr>
            <w:tcW w:type="dxa" w:w="6624"/>
            <w:shd w:val="clear" w:fill="FFF0EE"/>
          </w:tcPr>
          <w:p>
            <w:r>
              <w:rPr>
                <w:rFonts w:ascii="FreeSans" w:hAnsi="FreeSans"/>
                <w:color w:val="0A0A0A"/>
                <w:sz w:val="18"/>
              </w:rPr>
              <w:t>Chapitre 2 — Les civilisations du Sahel</w:t>
            </w:r>
          </w:p>
        </w:tc>
      </w:tr>
      <w:tr>
        <w:tc>
          <w:tcPr>
            <w:tcW w:type="dxa" w:w="6624"/>
            <w:shd w:val="clear" w:fill="FFF0EE"/>
          </w:tcPr>
          <w:p>
            <w:r>
              <w:rPr>
                <w:rFonts w:ascii="FreeSans" w:hAnsi="FreeSans"/>
                <w:color w:val="0A0A0A"/>
                <w:sz w:val="18"/>
              </w:rPr>
              <w:t>Chapitre 3 — La conquête coloniale</w:t>
            </w:r>
          </w:p>
        </w:tc>
      </w:tr>
      <w:tr>
        <w:tc>
          <w:tcPr>
            <w:tcW w:type="dxa" w:w="6624"/>
            <w:shd w:val="clear" w:fill="FFF0EE"/>
          </w:tcPr>
          <w:p>
            <w:r>
              <w:rPr>
                <w:rFonts w:ascii="FreeSans" w:hAnsi="FreeSans"/>
                <w:color w:val="0A0A0A"/>
                <w:sz w:val="18"/>
              </w:rPr>
              <w:t>Chapitre 4 — Les résistances oubliées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PARTIE II — COMMENT LA DÉPENDANCE A ÉTÉ ORGANISÉE</w:t>
            </w:r>
          </w:p>
        </w:tc>
      </w:tr>
      <w:tr>
        <w:tc>
          <w:tcPr>
            <w:tcW w:type="dxa" w:w="6624"/>
            <w:shd w:val="clear" w:fill="FFF0EE"/>
          </w:tcPr>
          <w:p>
            <w:r>
              <w:rPr>
                <w:rFonts w:ascii="FreeSans" w:hAnsi="FreeSans"/>
                <w:color w:val="0A0A0A"/>
                <w:sz w:val="18"/>
              </w:rPr>
              <w:t>Chapitre 5 — 1960 : les indépendances inachevées</w:t>
            </w:r>
          </w:p>
        </w:tc>
      </w:tr>
      <w:tr>
        <w:tc>
          <w:tcPr>
            <w:tcW w:type="dxa" w:w="6624"/>
            <w:shd w:val="clear" w:fill="FFF0EE"/>
          </w:tcPr>
          <w:p>
            <w:r>
              <w:rPr>
                <w:rFonts w:ascii="FreeSans" w:hAnsi="FreeSans"/>
                <w:color w:val="0A0A0A"/>
                <w:sz w:val="18"/>
              </w:rPr>
              <w:t>Chapitre 6 — Le pacte néocolonial</w:t>
            </w:r>
          </w:p>
        </w:tc>
      </w:tr>
      <w:tr>
        <w:tc>
          <w:tcPr>
            <w:tcW w:type="dxa" w:w="6624"/>
            <w:shd w:val="clear" w:fill="FFF0EE"/>
          </w:tcPr>
          <w:p>
            <w:r>
              <w:rPr>
                <w:rFonts w:ascii="FreeSans" w:hAnsi="FreeSans"/>
                <w:color w:val="0A0A0A"/>
                <w:sz w:val="18"/>
              </w:rPr>
              <w:t>Chapitre 7 — Le franc CFA</w:t>
            </w:r>
          </w:p>
        </w:tc>
      </w:tr>
      <w:tr>
        <w:tc>
          <w:tcPr>
            <w:tcW w:type="dxa" w:w="6624"/>
            <w:shd w:val="clear" w:fill="FFF0EE"/>
          </w:tcPr>
          <w:p>
            <w:r>
              <w:rPr>
                <w:rFonts w:ascii="FreeSans" w:hAnsi="FreeSans"/>
                <w:color w:val="0A0A0A"/>
                <w:sz w:val="18"/>
              </w:rPr>
              <w:t>Chapitre 8 — Les ressources stratégiques</w:t>
            </w:r>
          </w:p>
        </w:tc>
      </w:tr>
      <w:tr>
        <w:tc>
          <w:tcPr>
            <w:tcW w:type="dxa" w:w="6624"/>
            <w:shd w:val="clear" w:fill="FFF0EE"/>
          </w:tcPr>
          <w:p>
            <w:r>
              <w:rPr>
                <w:rFonts w:ascii="FreeSans" w:hAnsi="FreeSans"/>
                <w:color w:val="0A0A0A"/>
                <w:sz w:val="18"/>
              </w:rPr>
              <w:t>Chapitre 9 — L'aide, la dette, les assassins financiers</w:t>
            </w:r>
          </w:p>
        </w:tc>
      </w:tr>
      <w:tr>
        <w:tc>
          <w:tcPr>
            <w:tcW w:type="dxa" w:w="6624"/>
            <w:shd w:val="clear" w:fill="FFF0EE"/>
          </w:tcPr>
          <w:p>
            <w:r>
              <w:rPr>
                <w:rFonts w:ascii="FreeSans" w:hAnsi="FreeSans"/>
                <w:color w:val="0A0A0A"/>
                <w:sz w:val="18"/>
              </w:rPr>
              <w:t>Chapitre 10 — Les réseaux d'influence</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PARTIE III — LA GUERRE DU SAHEL</w:t>
            </w:r>
          </w:p>
        </w:tc>
      </w:tr>
      <w:tr>
        <w:tc>
          <w:tcPr>
            <w:tcW w:type="dxa" w:w="6624"/>
            <w:shd w:val="clear" w:fill="FFF0EE"/>
          </w:tcPr>
          <w:p>
            <w:r>
              <w:rPr>
                <w:rFonts w:ascii="FreeSans" w:hAnsi="FreeSans"/>
                <w:color w:val="0A0A0A"/>
                <w:sz w:val="18"/>
              </w:rPr>
              <w:t>Chapitre 11 — La crise libyenne</w:t>
            </w:r>
          </w:p>
        </w:tc>
      </w:tr>
      <w:tr>
        <w:tc>
          <w:tcPr>
            <w:tcW w:type="dxa" w:w="6624"/>
            <w:shd w:val="clear" w:fill="FFF0EE"/>
          </w:tcPr>
          <w:p>
            <w:r>
              <w:rPr>
                <w:rFonts w:ascii="FreeSans" w:hAnsi="FreeSans"/>
                <w:color w:val="0A0A0A"/>
                <w:sz w:val="18"/>
              </w:rPr>
              <w:t>Chapitre 12 — L'explosion du terrorisme</w:t>
            </w:r>
          </w:p>
        </w:tc>
      </w:tr>
      <w:tr>
        <w:tc>
          <w:tcPr>
            <w:tcW w:type="dxa" w:w="6624"/>
            <w:shd w:val="clear" w:fill="FFF0EE"/>
          </w:tcPr>
          <w:p>
            <w:r>
              <w:rPr>
                <w:rFonts w:ascii="FreeSans" w:hAnsi="FreeSans"/>
                <w:color w:val="0A0A0A"/>
                <w:sz w:val="18"/>
              </w:rPr>
              <w:t>Chapitre 13 — Serval, Barkhane et leurs limites</w:t>
            </w:r>
          </w:p>
        </w:tc>
      </w:tr>
      <w:tr>
        <w:tc>
          <w:tcPr>
            <w:tcW w:type="dxa" w:w="6624"/>
            <w:shd w:val="clear" w:fill="FFF0EE"/>
          </w:tcPr>
          <w:p>
            <w:r>
              <w:rPr>
                <w:rFonts w:ascii="FreeSans" w:hAnsi="FreeSans"/>
                <w:color w:val="0A0A0A"/>
                <w:sz w:val="18"/>
              </w:rPr>
              <w:t>Chapitre 14 — La bataille de l'information</w:t>
            </w:r>
          </w:p>
        </w:tc>
      </w:tr>
      <w:tr>
        <w:tc>
          <w:tcPr>
            <w:tcW w:type="dxa" w:w="6624"/>
            <w:shd w:val="clear" w:fill="FFF0EE"/>
          </w:tcPr>
          <w:p>
            <w:r>
              <w:rPr>
                <w:rFonts w:ascii="FreeSans" w:hAnsi="FreeSans"/>
                <w:color w:val="0A0A0A"/>
                <w:sz w:val="18"/>
              </w:rPr>
              <w:t>Chapitre 15 — Ce que la France admet en privé</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PARTIE IV — LA RÉVOLUTION DE LA SOUVERAINETÉ</w:t>
            </w:r>
          </w:p>
        </w:tc>
      </w:tr>
      <w:tr>
        <w:tc>
          <w:tcPr>
            <w:tcW w:type="dxa" w:w="6624"/>
            <w:shd w:val="clear" w:fill="FFF0EE"/>
          </w:tcPr>
          <w:p>
            <w:r>
              <w:rPr>
                <w:rFonts w:ascii="FreeSans" w:hAnsi="FreeSans"/>
                <w:color w:val="0A0A0A"/>
                <w:sz w:val="18"/>
              </w:rPr>
              <w:t>Chapitre 16 — Mali : la première rupture</w:t>
            </w:r>
          </w:p>
        </w:tc>
      </w:tr>
      <w:tr>
        <w:tc>
          <w:tcPr>
            <w:tcW w:type="dxa" w:w="6624"/>
            <w:shd w:val="clear" w:fill="FFF0EE"/>
          </w:tcPr>
          <w:p>
            <w:r>
              <w:rPr>
                <w:rFonts w:ascii="FreeSans" w:hAnsi="FreeSans"/>
                <w:color w:val="0A0A0A"/>
                <w:sz w:val="18"/>
              </w:rPr>
              <w:t>Chapitre 17 — Burkina Faso : la doctrine Traoré</w:t>
            </w:r>
          </w:p>
        </w:tc>
      </w:tr>
      <w:tr>
        <w:tc>
          <w:tcPr>
            <w:tcW w:type="dxa" w:w="6624"/>
            <w:shd w:val="clear" w:fill="FFF0EE"/>
          </w:tcPr>
          <w:p>
            <w:r>
              <w:rPr>
                <w:rFonts w:ascii="FreeSans" w:hAnsi="FreeSans"/>
                <w:color w:val="0A0A0A"/>
                <w:sz w:val="18"/>
              </w:rPr>
              <w:t>Chapitre 18 — Niger : le verrou final</w:t>
            </w:r>
          </w:p>
        </w:tc>
      </w:tr>
      <w:tr>
        <w:tc>
          <w:tcPr>
            <w:tcW w:type="dxa" w:w="6624"/>
            <w:shd w:val="clear" w:fill="FFF0EE"/>
          </w:tcPr>
          <w:p>
            <w:r>
              <w:rPr>
                <w:rFonts w:ascii="FreeSans" w:hAnsi="FreeSans"/>
                <w:color w:val="0A0A0A"/>
                <w:sz w:val="18"/>
              </w:rPr>
              <w:t>Chapitre 19 — La naissance de l'AES</w:t>
            </w:r>
          </w:p>
        </w:tc>
      </w:tr>
      <w:tr>
        <w:tc>
          <w:tcPr>
            <w:tcW w:type="dxa" w:w="6624"/>
            <w:shd w:val="clear" w:fill="FFF0EE"/>
          </w:tcPr>
          <w:p>
            <w:r>
              <w:rPr>
                <w:rFonts w:ascii="FreeSans" w:hAnsi="FreeSans"/>
                <w:color w:val="0A0A0A"/>
                <w:sz w:val="18"/>
              </w:rPr>
              <w:t>Chapitre 20 — La guerre proxy</w:t>
            </w:r>
          </w:p>
        </w:tc>
      </w:tr>
      <w:tr>
        <w:tc>
          <w:tcPr>
            <w:tcW w:type="dxa" w:w="6624"/>
            <w:shd w:val="clear" w:fill="FFF0EE"/>
          </w:tcPr>
          <w:p>
            <w:r>
              <w:rPr>
                <w:rFonts w:ascii="FreeSans" w:hAnsi="FreeSans"/>
                <w:color w:val="0A0A0A"/>
                <w:sz w:val="18"/>
              </w:rPr>
              <w:t>Chapitre 21 — L'environnement régional</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PARTIE V — LE RÉVEIL PANAFRICAIN</w:t>
            </w:r>
          </w:p>
        </w:tc>
      </w:tr>
      <w:tr>
        <w:tc>
          <w:tcPr>
            <w:tcW w:type="dxa" w:w="6624"/>
            <w:shd w:val="clear" w:fill="FFF0EE"/>
          </w:tcPr>
          <w:p>
            <w:r>
              <w:rPr>
                <w:rFonts w:ascii="FreeSans" w:hAnsi="FreeSans"/>
                <w:color w:val="0A0A0A"/>
                <w:sz w:val="18"/>
              </w:rPr>
              <w:t>Chapitre 22 — Nkrumah, Lumumba, Keïta : la première vague</w:t>
            </w:r>
          </w:p>
        </w:tc>
      </w:tr>
      <w:tr>
        <w:tc>
          <w:tcPr>
            <w:tcW w:type="dxa" w:w="6624"/>
            <w:shd w:val="clear" w:fill="FFF0EE"/>
          </w:tcPr>
          <w:p>
            <w:r>
              <w:rPr>
                <w:rFonts w:ascii="FreeSans" w:hAnsi="FreeSans"/>
                <w:color w:val="0A0A0A"/>
                <w:sz w:val="18"/>
              </w:rPr>
              <w:t>Chapitre 23 — Sankara avait raison</w:t>
            </w:r>
          </w:p>
        </w:tc>
      </w:tr>
      <w:tr>
        <w:tc>
          <w:tcPr>
            <w:tcW w:type="dxa" w:w="6624"/>
            <w:shd w:val="clear" w:fill="FFF0EE"/>
          </w:tcPr>
          <w:p>
            <w:r>
              <w:rPr>
                <w:rFonts w:ascii="FreeSans" w:hAnsi="FreeSans"/>
                <w:color w:val="0A0A0A"/>
                <w:sz w:val="18"/>
              </w:rPr>
              <w:t>Chapitre 24 — La jeunesse connectée, la diaspora en première ligne</w:t>
            </w:r>
          </w:p>
        </w:tc>
      </w:tr>
      <w:tr>
        <w:tc>
          <w:tcPr>
            <w:tcW w:type="dxa" w:w="6624"/>
            <w:shd w:val="clear" w:fill="FFF0EE"/>
          </w:tcPr>
          <w:p>
            <w:r>
              <w:rPr>
                <w:rFonts w:ascii="FreeSans" w:hAnsi="FreeSans"/>
                <w:color w:val="0A0A0A"/>
                <w:sz w:val="18"/>
              </w:rPr>
              <w:t>Chapitre 25 — L'AES, laboratoire panafricain</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PARTIE VI — LES DÉFIS DE DEMAIN</w:t>
            </w:r>
          </w:p>
        </w:tc>
      </w:tr>
      <w:tr>
        <w:tc>
          <w:tcPr>
            <w:tcW w:type="dxa" w:w="6624"/>
            <w:shd w:val="clear" w:fill="FFF0EE"/>
          </w:tcPr>
          <w:p>
            <w:r>
              <w:rPr>
                <w:rFonts w:ascii="FreeSans" w:hAnsi="FreeSans"/>
                <w:color w:val="0A0A0A"/>
                <w:sz w:val="18"/>
              </w:rPr>
              <w:t>Chapitre 26 — Sécurité : vaincre sans trahir</w:t>
            </w:r>
          </w:p>
        </w:tc>
      </w:tr>
      <w:tr>
        <w:tc>
          <w:tcPr>
            <w:tcW w:type="dxa" w:w="6624"/>
            <w:shd w:val="clear" w:fill="FFF0EE"/>
          </w:tcPr>
          <w:p>
            <w:r>
              <w:rPr>
                <w:rFonts w:ascii="FreeSans" w:hAnsi="FreeSans"/>
                <w:color w:val="0A0A0A"/>
                <w:sz w:val="18"/>
              </w:rPr>
              <w:t>Chapitre 27 — Industrialisation et éducation : l'économie de guerre et l'arme des cerveaux</w:t>
            </w:r>
          </w:p>
        </w:tc>
      </w:tr>
      <w:tr>
        <w:tc>
          <w:tcPr>
            <w:tcW w:type="dxa" w:w="6624"/>
            <w:shd w:val="clear" w:fill="FFF0EE"/>
          </w:tcPr>
          <w:p>
            <w:r>
              <w:rPr>
                <w:rFonts w:ascii="FreeSans" w:hAnsi="FreeSans"/>
                <w:color w:val="0A0A0A"/>
                <w:sz w:val="18"/>
              </w:rPr>
              <w:t>Chapitre 28 — La monnaie : briser la chaîne du CFA</w:t>
            </w:r>
          </w:p>
        </w:tc>
      </w:tr>
      <w:tr>
        <w:tc>
          <w:tcPr>
            <w:tcW w:type="dxa" w:w="6624"/>
            <w:shd w:val="clear" w:fill="FFF0EE"/>
          </w:tcPr>
          <w:p>
            <w:r>
              <w:rPr>
                <w:rFonts w:ascii="FreeSans" w:hAnsi="FreeSans"/>
                <w:color w:val="0A0A0A"/>
                <w:sz w:val="18"/>
              </w:rPr>
              <w:t>Chapitre 29 — Le monde multipolaire : partenaires ou nouveaux maîtres ?</w:t>
            </w:r>
          </w:p>
        </w:tc>
      </w:tr>
      <w:tr>
        <w:tc>
          <w:tcPr>
            <w:tcW w:type="dxa" w:w="6624"/>
            <w:shd w:val="clear" w:fill="FFF0EE"/>
          </w:tcPr>
          <w:p>
            <w:r>
              <w:rPr>
                <w:rFonts w:ascii="FreeSans" w:hAnsi="FreeSans"/>
                <w:color w:val="0A0A0A"/>
                <w:sz w:val="18"/>
              </w:rPr>
              <w:t>Chapitre 30 — France-Afrique 2.0 : la recomposition de la domination</w:t>
            </w:r>
          </w:p>
        </w:tc>
      </w:tr>
      <w:tr>
        <w:tc>
          <w:tcPr>
            <w:tcW w:type="dxa" w:w="6624"/>
            <w:shd w:val="clear" w:fill="FFF0EE"/>
          </w:tcPr>
          <w:p>
            <w:r>
              <w:rPr>
                <w:rFonts w:ascii="FreeSans" w:hAnsi="FreeSans"/>
                <w:color w:val="0A0A0A"/>
                <w:sz w:val="18"/>
              </w:rPr>
              <w:t>Chapitre 31 — Ce que l'AES doit réussir pour survivre</w:t>
            </w:r>
          </w:p>
        </w:tc>
      </w:tr>
      <w:tr>
        <w:tc>
          <w:tcPr>
            <w:tcW w:type="dxa" w:w="6624"/>
            <w:shd w:val="clear" w:fill="FFF0EE"/>
          </w:tcPr>
          <w:p>
            <w:r>
              <w:rPr>
                <w:rFonts w:ascii="FreeSans" w:hAnsi="FreeSans"/>
                <w:color w:val="0A0A0A"/>
                <w:sz w:val="18"/>
              </w:rPr>
              <w:t>Conclusion — Retour à la villa de Niamey</w:t>
            </w:r>
          </w:p>
        </w:tc>
      </w:tr>
      <w:tr>
        <w:tc>
          <w:tcPr>
            <w:tcW w:type="dxa" w:w="6624"/>
            <w:shd w:val="clear" w:fill="FFF0EE"/>
          </w:tcPr>
          <w:p>
            <w:r>
              <w:rPr>
                <w:rFonts w:ascii="FreeSans" w:hAnsi="FreeSans"/>
                <w:color w:val="0A0A0A"/>
                <w:sz w:val="18"/>
              </w:rPr>
              <w:t>Chronologie — du partage de l'Afrique à l'Alliance des États du Sahel</w:t>
            </w:r>
          </w:p>
        </w:tc>
      </w:tr>
      <w:tr>
        <w:tc>
          <w:tcPr>
            <w:tcW w:type="dxa" w:w="6624"/>
            <w:shd w:val="clear" w:fill="FFF0EE"/>
          </w:tcPr>
          <w:p>
            <w:r>
              <w:rPr>
                <w:rFonts w:ascii="FreeSans" w:hAnsi="FreeSans"/>
                <w:color w:val="0A0A0A"/>
                <w:sz w:val="18"/>
              </w:rPr>
              <w:t>Glossaire des sigles</w:t>
            </w:r>
          </w:p>
        </w:tc>
      </w:tr>
      <w:tr>
        <w:tc>
          <w:tcPr>
            <w:tcW w:type="dxa" w:w="6624"/>
            <w:shd w:val="clear" w:fill="FFF0EE"/>
          </w:tcPr>
          <w:p>
            <w:r>
              <w:rPr>
                <w:rFonts w:ascii="FreeSans" w:hAnsi="FreeSans"/>
                <w:color w:val="0A0A0A"/>
                <w:sz w:val="18"/>
              </w:rPr>
              <w:t>Index des personnages</w:t>
            </w:r>
          </w:p>
        </w:tc>
      </w:tr>
      <w:tr>
        <w:tc>
          <w:tcPr>
            <w:tcW w:type="dxa" w:w="6624"/>
            <w:shd w:val="clear" w:fill="FFF0EE"/>
          </w:tcPr>
          <w:p>
            <w:r>
              <w:rPr>
                <w:rFonts w:ascii="FreeSans" w:hAnsi="FreeSans"/>
                <w:color w:val="0A0A0A"/>
                <w:sz w:val="18"/>
              </w:rPr>
              <w:t>Notes méthodologiques &amp; corpus de sources</w:t>
            </w:r>
          </w:p>
        </w:tc>
      </w:tr>
    </w:tbl>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rPr>
          <w:i/>
        </w:rP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w:t>
      </w:r>
      <w:r>
        <w:rPr>
          <w:i/>
        </w:rPr>
        <w:t>La Guerre au Mali</w:t>
      </w:r>
      <w:r>
        <w:t>,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(1222);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 xml:space="preserve">Paris, 1954. Un jeune chercheur sénégalais publie aux éditions Présence Africaine un livre qui va faire scandale: </w:t>
      </w:r>
      <w:r>
        <w:rPr>
          <w:i/>
        </w:rPr>
        <w:t>Nations nègres et culture</w:t>
      </w:r>
      <w:r>
        <w:t>.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des droits proclamés en 1222</w:t>
      </w:r>
    </w:p>
    <w:p>
      <w:r>
        <w:t>L'autre preuve est juridique. La Charte du Mandé — dite aussi Kouroukan Fouga, 1222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(1222):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rPr>
          <w:b/>
        </w:rPr>
        <w:t>Sylvanus Olympio</w:t>
      </w:r>
      <w:r>
        <w:t xml:space="preserve">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rPr>
          <w:b/>
        </w:rPr>
        <w:t>Patrice Lumumba</w:t>
      </w:r>
      <w: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rPr>
          <w:b/>
        </w:rPr>
        <w:t>Modibo Keïta</w:t>
      </w:r>
      <w: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rPr>
          <w:b/>
        </w:rPr>
        <w:t>Kwame Nkrumah</w:t>
      </w:r>
      <w:r>
        <w:t xml:space="preserve">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référendum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1. Extraction des ressources africaines à prix décoté (4 $ pour un pétrole revendu 80 $)</w:t>
            </w:r>
          </w:p>
        </w:tc>
      </w:tr>
      <w:tr>
        <w:tc>
          <w:tcPr>
            <w:tcW w:type="dxa" w:w="6624"/>
            <w:shd w:val="clear" w:fill="FFF0EE"/>
          </w:tcPr>
          <w:p>
            <w:r>
              <w:rPr>
                <w:rFonts w:ascii="FreeSans" w:hAnsi="FreeSans"/>
                <w:color w:val="0A0A0A"/>
                <w:sz w:val="18"/>
              </w:rPr>
              <w:t>2. Cargaisons non déclarées, chiffres invérifiables par les États producteurs</w:t>
            </w:r>
          </w:p>
        </w:tc>
      </w:tr>
      <w:tr>
        <w:tc>
          <w:tcPr>
            <w:tcW w:type="dxa" w:w="6624"/>
            <w:shd w:val="clear" w:fill="FFF0EE"/>
          </w:tcPr>
          <w:p>
            <w:r>
              <w:rPr>
                <w:rFonts w:ascii="FreeSans" w:hAnsi="FreeSans"/>
                <w:color w:val="0A0A0A"/>
                <w:sz w:val="18"/>
              </w:rPr>
              <w:t>3. Financement politique par mallettes (Bourgi) et réseaux offshore</w:t>
            </w:r>
          </w:p>
        </w:tc>
      </w:tr>
      <w:tr>
        <w:tc>
          <w:tcPr>
            <w:tcW w:type="dxa" w:w="6624"/>
            <w:shd w:val="clear" w:fill="FFF0EE"/>
          </w:tcPr>
          <w:p>
            <w:r>
              <w:rPr>
                <w:rFonts w:ascii="FreeSans" w:hAnsi="FreeSans"/>
                <w:color w:val="0A0A0A"/>
                <w:sz w:val="18"/>
              </w:rPr>
              <w:t>4. Financement retour: des campagnes électorales françaises payées par les chefs d'État africains</w:t>
            </w:r>
          </w:p>
        </w:tc>
      </w:tr>
      <w:tr>
        <w:tc>
          <w:tcPr>
            <w:tcW w:type="dxa" w:w="6624"/>
            <w:shd w:val="clear" w:fill="FFF0EE"/>
          </w:tcPr>
          <w:p>
            <w:r>
              <w:rPr>
                <w:rFonts w:ascii="FreeSans" w:hAnsi="FreeSans"/>
                <w:color w:val="0A0A0A"/>
                <w:sz w:val="18"/>
              </w:rPr>
              <w:t>5. 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résistance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w:t>
      </w:r>
      <w:r>
        <w:rPr>
          <w:i/>
        </w:rPr>
        <w:t>Confessions of an Economic Hit Man</w:t>
      </w:r>
      <w:r>
        <w:t xml:space="preserve">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Rappelons-le: l'authenticité de cet enregistrement n'a jamais été officiellement confirmée — il est seulement non démenti publiquement par les intéressés. Mais s'il est ce qu'il paraît être, 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un dictateur qui disparaît. C'est un verrou qui saute. Et derrière ce verrou, il y a le Sahel.</w:t>
      </w:r>
    </w:p>
    <w:p>
      <w:pPr>
        <w:pStyle w:val="Heading2"/>
      </w:pPr>
      <w:r>
        <w:t>Un personnage double</w:t>
      </w:r>
    </w:p>
    <w:p>
      <w:r>
        <w:t>Soyons honnêtes d'emblée: Kadhafi n'était pas un saint. Son régime a emprisonné, torturé, fait disparaître des opposants pendant quatre décennies. En juin 1996, la répression d'une mutinerie à la prison d'Abou Salim, à Tripoli, s'est soldée par le massacre d'environ 1 200 détenus — un événement que les familles des victimes n'ont jamais cessé de commémorer, et dont l'anniversaire a d'ailleurs servi d'étincelle aux manifestations de Benghazi en février 2011. La Libye de Kadhafi ne connaissait ni presse libre, ni élections, ni opposition tolérée. Ces faits existent. Aucune lecture géopolitique sérieuse ne peut les effacer.</w:t>
      </w:r>
    </w:p>
    <w:p>
      <w:r>
        <w:t>Mais 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15 février 2011, dans le sillage des soulèvements tunisien et égyptien, des manifestations éclatent à Benghazi. La répression est brutale, le pays bascule dans la guerre civile. 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w:t>
      </w:r>
      <w:r>
        <w:rPr>
          <w:i/>
        </w:rPr>
        <w:t>La Guerre au Mali</w:t>
      </w:r>
      <w:r>
        <w:t>,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w:t>
      </w:r>
      <w:r>
        <w:rPr>
          <w:i/>
        </w:rPr>
        <w:t>La Guerre au Mali</w:t>
      </w:r>
      <w:r>
        <w:t>,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w:t>
      </w:r>
      <w:r>
        <w:rPr>
          <w:i/>
        </w:rPr>
        <w:t>De l'huile sur le feu</w:t>
      </w:r>
      <w:r>
        <w:t>,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La formule est excessive —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r>
        <w:t>« L'aide publique au développement est une aide-intérêt dont la finalité est d'abord de servir de relais d'influence pour le pays donateur», écrit Raphaël Granvaud (</w:t>
      </w:r>
      <w:r>
        <w:rPr>
          <w:i/>
        </w:rPr>
        <w:t>De l'huile sur le feu</w:t>
      </w:r>
      <w:r>
        <w:t>,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multilatérales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w:t>
      </w:r>
      <w:r>
        <w:rPr>
          <w:i/>
        </w:rPr>
        <w:t>La Guerre au Mali</w:t>
      </w:r>
      <w:r>
        <w:t>,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Le contrepoint doit être posé honnêtement: cette transition ne fixe pas de calendrier électoral, concentre les pouvoirs et ne tolère guère la contestation. Ses partisans répondent qu'on ne vote pas sous les bombes; ses critiques, que l'exception devient vite une habitude. Le débat est légitime — il sera repris au chapitre 25. Mais une chose est acquise: avec le Mali et le Burkina, deux des trois pays du Liptako-Gourma ont rompu.</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Le jugement le plus sévère sur ces accords ne vient pas d'un militant, mais de l'intérieur du système onusien — Anatole Ayissi, haut fonctionnaire de l'ONU: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Il faut le dire sans naïveté: la première vague avait aussi ses ombres. Nkrumah a glissé vers le parti unique et l'emprisonnement d'opposants; la Guinée de Sékou Touré a sombré dans une répression intérieure féroce. Ces dérives sont réelles et elles ont fourni, à l'époque comme aujourd'hui, des arguments commodes à ceux qui préféraient ne retenir que cela. Mais elles n'expliquent ni un peloton d'exécution au Katanga, ni un renversement orchestré pendant un voyage officiel, ni une mort en détention à Bamako. 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r>
        <w:rPr>
          <w:i/>
        </w:rPr>
        <w:t>« La dette, c'est une reconquête savamment organisée. On nous a paupérisés, on nous a mis dans des conditions telles que nous sommes obligés d'aller mendier.»</w:t>
      </w:r>
      <w:r>
        <w:t xml:space="preserve">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⚠[À SOURCER: implication française évoquée au dossier, non tranchée par le jugement].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L'honnêteté oblige à rappeler que la révolution sankariste avait ses ombres: tribunaux populaires expéditifs, enseignants grévistes licenciés en 1984, rapports brutaux avec les syndicats et les chefferies. Sankara lui-même, dans ses derniers mois, parlait de rectifier. Ces ombres sont documentées et elles comptent. Mais elles ne pèsent rien face au constat central: 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 Suisse et tient tête aux ambassadeurs français sur les réseaux. Franklin Nyamsi, philosophe franco-camerounais, retourne depuis Paris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r>
        <w:rPr>
          <w:i/>
        </w:rPr>
        <w:t>« Nous ne pouvons pas combattre l'injustice venue de l'extérieur en pratiquant l'injustice à l'intérieur.»</w:t>
      </w:r>
      <w:r>
        <w:t xml:space="preserve">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 non en la résolvant.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 Mais cette lecture n'autorise aucune complaisance: une transition qui repousse indéfiniment son terme cesse d'être une transition. Le fardeau de la preuve est désormais du côté de l'AES.</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des partenaires sans changer de maîtres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vaincre sans trahir</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before="40" w:after="120"/>
        <w:ind w:left="567"/>
        <w:pBdr>
          <w:left w:val="single" w:sz="18" w:space="8" w:color="D4A017"/>
        </w:pBdr>
      </w:pPr>
      <w:r>
        <w:rPr>
          <w:i/>
          <w:color w:val="8B1A1A"/>
          <w:sz w:val="20"/>
        </w:rPr>
        <w:t>**BLOCUS JNIM — CHRONOLOGIE**</w:t>
      </w:r>
    </w:p>
    <w:p>
      <w:pPr>
        <w:spacing w:before="40" w:after="120"/>
        <w:ind w:left="567"/>
        <w:pBdr>
          <w:left w:val="single" w:sz="18" w:space="8" w:color="D4A017"/>
        </w:pBdr>
      </w:pPr>
      <w:r>
        <w:rPr>
          <w:i/>
          <w:color w:val="8B1A1A"/>
          <w:sz w:val="20"/>
        </w:rPr>
        <w:t>- **Septembre 2025**: début du blocus méthodique des convois de carburant vers le Mali</w:t>
      </w:r>
    </w:p>
    <w:p>
      <w:pPr>
        <w:spacing w:before="40" w:after="120"/>
        <w:ind w:left="567"/>
        <w:pBdr>
          <w:left w:val="single" w:sz="18" w:space="8" w:color="D4A017"/>
        </w:pBdr>
      </w:pPr>
      <w:r>
        <w:rPr>
          <w:i/>
          <w:color w:val="8B1A1A"/>
          <w:sz w:val="20"/>
        </w:rPr>
        <w:t>- **29-30 octobre 2025**: un convoi des FAMa brise le blocus — effet dissuasif immédiat sur le terrain</w:t>
      </w:r>
    </w:p>
    <w:p>
      <w:pPr>
        <w:spacing w:before="40" w:after="120"/>
        <w:ind w:left="567"/>
        <w:pBdr>
          <w:left w:val="single" w:sz="18" w:space="8" w:color="D4A017"/>
        </w:pBdr>
      </w:pPr>
      <w:r>
        <w:rPr>
          <w:i/>
          <w:color w:val="8B1A1A"/>
          <w:sz w:val="20"/>
        </w:rPr>
        <w:t>- **9-12 novembre 2025**: pic de la crise sécuritaire et énergétique</w:t>
      </w:r>
    </w:p>
    <w:p>
      <w:pPr>
        <w:spacing w:before="40" w:after="120"/>
        <w:ind w:left="567"/>
        <w:pBdr>
          <w:left w:val="single" w:sz="18" w:space="8" w:color="D4A017"/>
        </w:pBdr>
      </w:pPr>
      <w:r>
        <w:rPr>
          <w:i/>
          <w:color w:val="8B1A1A"/>
          <w:sz w:val="20"/>
        </w:rPr>
        <w:t>- **11 novembre 2025**: réouverture des écoles maliennes</w:t>
      </w:r>
    </w:p>
    <w:p>
      <w:pPr>
        <w:spacing w:before="40" w:after="120"/>
        <w:ind w:left="567"/>
        <w:pBdr>
          <w:left w:val="single" w:sz="18" w:space="8" w:color="D4A017"/>
        </w:pBdr>
      </w:pPr>
      <w:r>
        <w:rPr>
          <w:i/>
          <w:color w:val="8B1A1A"/>
          <w:sz w:val="20"/>
        </w:rPr>
        <w:t>- Le blocus a échoué à plier le gouvernement. Il a solidifié l'opinion contre le JNIM.</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 Leur rapport aux droits humains pose des problèmes tout aussi documentés, par Human Rights Watch comme par Amnesty International.</w:t>
      </w:r>
    </w:p>
    <w:p>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w:t>
      </w:r>
      <w:r>
        <w:rPr>
          <w:i/>
        </w:rPr>
        <w:t>De l'huile sur le feu</w:t>
      </w:r>
      <w:r>
        <w:t>,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 — et un risque mortel. Tant que la distinction entre un combattant ennemi et un homme peul sur son territoire ancestral ne sera pas opérationnelle sur le terrain, le recrutement jihadiste disposera d'un réservoir inépuisable. Une doctrine de protection des populations — et pas seulement de neutralisation des ennemis — est la réponse institutionnelle à ce risque. Elle reste à consolider. Et l'on n'oubliera pas que ces choix se font sous des gouvernements militaires non issus d'élections — une question entière, que nous avons traitée au chapitre 25.</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spacing w:before="40" w:after="120"/>
        <w:ind w:left="567"/>
        <w:pBdr>
          <w:left w:val="single" w:sz="18" w:space="8" w:color="D4A017"/>
        </w:pBdr>
      </w:pPr>
      <w:r>
        <w:rPr>
          <w:i/>
          <w:color w:val="8B1A1A"/>
          <w:sz w:val="20"/>
        </w:rPr>
        <w:t>**DÉNONCIATION DES CONVENTIONS FISCALES AVEC LA FRANCE — SÉQUENCE AES**</w:t>
      </w:r>
    </w:p>
    <w:p>
      <w:pPr>
        <w:spacing w:before="40" w:after="120"/>
        <w:ind w:left="567"/>
        <w:pBdr>
          <w:left w:val="single" w:sz="18" w:space="8" w:color="D4A017"/>
        </w:pBdr>
      </w:pPr>
      <w:r>
        <w:rPr>
          <w:i/>
          <w:color w:val="8B1A1A"/>
          <w:sz w:val="20"/>
        </w:rPr>
        <w:t>- **7 août 2023**: le Burkina Faso dénonce la convention fiscale franco-burkinabè</w:t>
      </w:r>
    </w:p>
    <w:p>
      <w:pPr>
        <w:spacing w:before="40" w:after="120"/>
        <w:ind w:left="567"/>
        <w:pBdr>
          <w:left w:val="single" w:sz="18" w:space="8" w:color="D4A017"/>
        </w:pBdr>
      </w:pPr>
      <w:r>
        <w:rPr>
          <w:i/>
          <w:color w:val="8B1A1A"/>
          <w:sz w:val="20"/>
        </w:rPr>
        <w:t>- **8 novembre 2023**: prise d'effet côté burkinabè et français</w:t>
      </w:r>
    </w:p>
    <w:p>
      <w:pPr>
        <w:spacing w:before="40" w:after="120"/>
        <w:ind w:left="567"/>
        <w:pBdr>
          <w:left w:val="single" w:sz="18" w:space="8" w:color="D4A017"/>
        </w:pBdr>
      </w:pPr>
      <w:r>
        <w:rPr>
          <w:i/>
          <w:color w:val="8B1A1A"/>
          <w:sz w:val="20"/>
        </w:rPr>
        <w:t>- **5 décembre 2023**: le Mali et le Niger dénoncent leurs conventions</w:t>
      </w:r>
    </w:p>
    <w:p>
      <w:pPr>
        <w:spacing w:before="40" w:after="120"/>
        <w:ind w:left="567"/>
        <w:pBdr>
          <w:left w:val="single" w:sz="18" w:space="8" w:color="D4A017"/>
        </w:pBdr>
      </w:pPr>
      <w:r>
        <w:rPr>
          <w:i/>
          <w:color w:val="8B1A1A"/>
          <w:sz w:val="20"/>
        </w:rPr>
        <w:t>- **Conséquence**: fin des exonérations sur dividendes, intérêts et redevances — retour au droit commun</w:t>
      </w:r>
    </w:p>
    <w:p>
      <w:pPr>
        <w:spacing w:before="40" w:after="120"/>
        <w:ind w:left="567"/>
        <w:pBdr>
          <w:left w:val="single" w:sz="18" w:space="8" w:color="D4A017"/>
        </w:pBdr>
      </w:pPr>
      <w:r>
        <w:rPr>
          <w:i/>
          <w:color w:val="8B1A1A"/>
          <w:sz w:val="20"/>
        </w:rPr>
        <w:t>- (Source: BOFiP, administration fiscale française, 17 juillet 2024)</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spacing w:before="40" w:after="120"/>
        <w:ind w:left="567"/>
        <w:pBdr>
          <w:left w:val="single" w:sz="18" w:space="8" w:color="D4A017"/>
        </w:pBdr>
      </w:pPr>
      <w:r>
        <w:rPr>
          <w:i/>
          <w:color w:val="8B1A1A"/>
          <w:sz w:val="20"/>
        </w:rPr>
        <w:t>**ENJEUX D'UNE MONNAIE SOUVERAINE AES**</w:t>
      </w:r>
    </w:p>
    <w:p>
      <w:pPr>
        <w:spacing w:before="40" w:after="120"/>
        <w:ind w:left="567"/>
        <w:pBdr>
          <w:left w:val="single" w:sz="18" w:space="8" w:color="D4A017"/>
        </w:pBdr>
      </w:pPr>
      <w:r>
        <w:rPr>
          <w:i/>
          <w:color w:val="8B1A1A"/>
          <w:sz w:val="20"/>
        </w:rPr>
        <w:t>- **Atouts**: uranium (Niger), or (Mali), coton, pétrole (Niger) pour adosser la monnaie à des ressources réelles</w:t>
      </w:r>
    </w:p>
    <w:p>
      <w:pPr>
        <w:spacing w:before="40" w:after="120"/>
        <w:ind w:left="567"/>
        <w:pBdr>
          <w:left w:val="single" w:sz="18" w:space="8" w:color="D4A017"/>
        </w:pBdr>
      </w:pPr>
      <w:r>
        <w:rPr>
          <w:i/>
          <w:color w:val="8B1A1A"/>
          <w:sz w:val="20"/>
        </w:rPr>
        <w:t>- **Prérequis**: banque centrale AES indépendante, système de compensation inter-AES</w:t>
      </w:r>
    </w:p>
    <w:p>
      <w:pPr>
        <w:spacing w:before="40" w:after="120"/>
        <w:ind w:left="567"/>
        <w:pBdr>
          <w:left w:val="single" w:sz="18" w:space="8" w:color="D4A017"/>
        </w:pBdr>
      </w:pPr>
      <w:r>
        <w:rPr>
          <w:i/>
          <w:color w:val="8B1A1A"/>
          <w:sz w:val="20"/>
        </w:rPr>
        <w:t>- **Leçons à méditer**: Sango Coin (2022, échec technique) et $CAR (2025, −90 % le jour du lancement) — la précipitation tue</w:t>
      </w:r>
    </w:p>
    <w:p>
      <w:pPr>
        <w:spacing w:before="40" w:after="120"/>
        <w:ind w:left="567"/>
        <w:pBdr>
          <w:left w:val="single" w:sz="18" w:space="8" w:color="D4A017"/>
        </w:pBdr>
      </w:pPr>
      <w:r>
        <w:rPr>
          <w:i/>
          <w:color w:val="8B1A1A"/>
          <w:sz w:val="20"/>
        </w:rPr>
        <w:t>- **Risques**: pression inflationniste de transition, attaques spéculatives contre la nouvelle monnaie</w:t>
      </w:r>
    </w:p>
    <w:p>
      <w:pPr>
        <w:spacing w:before="40" w:after="120"/>
        <w:ind w:left="567"/>
        <w:pBdr>
          <w:left w:val="single" w:sz="18" w:space="8" w:color="D4A017"/>
        </w:pBdr>
      </w:pPr>
      <w:r>
        <w:rPr>
          <w:i/>
          <w:color w:val="8B1A1A"/>
          <w:sz w:val="20"/>
        </w:rPr>
        <w:t>- **Horizon**: Institut monétaire africain annoncé pour septembre 2026</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spacing w:before="40" w:after="120"/>
        <w:ind w:left="567"/>
        <w:pBdr>
          <w:left w:val="single" w:sz="18" w:space="8" w:color="D4A017"/>
        </w:pBdr>
      </w:pPr>
      <w:r>
        <w:rPr>
          <w:i/>
          <w:color w:val="8B1A1A"/>
          <w:sz w:val="20"/>
        </w:rPr>
        <w:t>**PARTENARIATS AES — PHASE 2 (2022-2026)**</w:t>
      </w:r>
    </w:p>
    <w:p>
      <w:pPr>
        <w:spacing w:before="40" w:after="120"/>
        <w:ind w:left="567"/>
        <w:pBdr>
          <w:left w:val="single" w:sz="18" w:space="8" w:color="D4A017"/>
        </w:pBdr>
      </w:pPr>
      <w:r>
        <w:rPr>
          <w:i/>
          <w:color w:val="8B1A1A"/>
          <w:sz w:val="20"/>
        </w:rPr>
        <w:t>- **Russie** (Africa Corps, ex-Wagner): instructeurs, hélicoptères Mi-8/Mi-35, présence terrain</w:t>
      </w:r>
    </w:p>
    <w:p>
      <w:pPr>
        <w:spacing w:before="40" w:after="120"/>
        <w:ind w:left="567"/>
        <w:pBdr>
          <w:left w:val="single" w:sz="18" w:space="8" w:color="D4A017"/>
        </w:pBdr>
      </w:pPr>
      <w:r>
        <w:rPr>
          <w:i/>
          <w:color w:val="8B1A1A"/>
          <w:sz w:val="20"/>
        </w:rPr>
        <w:t>- **Chine**: infrastructures, surveillance numérique, accords commerciaux — présence moins interventionniste</w:t>
      </w:r>
    </w:p>
    <w:p>
      <w:pPr>
        <w:spacing w:before="40" w:after="120"/>
        <w:ind w:left="567"/>
        <w:pBdr>
          <w:left w:val="single" w:sz="18" w:space="8" w:color="D4A017"/>
        </w:pBdr>
      </w:pPr>
      <w:r>
        <w:rPr>
          <w:i/>
          <w:color w:val="8B1A1A"/>
          <w:sz w:val="20"/>
        </w:rPr>
        <w:t>- **Turquie**: drones Bayraktar TB2, accords avec le Mali et le Niger — position plus discrète</w:t>
      </w:r>
    </w:p>
    <w:p>
      <w:pPr>
        <w:spacing w:before="40" w:after="120"/>
        <w:ind w:left="567"/>
        <w:pBdr>
          <w:left w:val="single" w:sz="18" w:space="8" w:color="D4A017"/>
        </w:pBdr>
      </w:pPr>
      <w:r>
        <w:rPr>
          <w:i/>
          <w:color w:val="8B1A1A"/>
          <w:sz w:val="20"/>
        </w:rPr>
        <w:t>- **BRICS**: délégation à Ouagadougou (juin 2023), six semaines avant la transition nigérienne</w:t>
      </w:r>
    </w:p>
    <w:p>
      <w:pPr>
        <w:pStyle w:val="Heading2"/>
      </w:pPr>
      <w:r>
        <w:t>La Russie: l'allié encombrant et l'argument inattendu</w:t>
      </w:r>
    </w:p>
    <w:p>
      <w:r>
        <w:t>La coopération russe est la plus visible: instructeurs, hélicoptères, présence au sol héritée du dispositif Wagner devenu Africa Corps. L'honnêteté oblige à le rappeler: des exactions impliquant des éléments de Wagner ont été documentées au Sahel, et aucune lecture souverainiste sérieuse ne peut les passer sous silence. La question de la dépendance russe figure d'ailleurs, on le verra au chapitre 31, parmi les conditions possibles de l'échec de l'AES elle-même.</w:t>
      </w:r>
    </w:p>
    <w:p>
      <w:r>
        <w:t>Mais 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 elle est un positionnement géopolitique, et il faut la lire comme telle.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Anatole Albert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(Anatole Albert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w:t>
      </w:r>
      <w:r>
        <w:rPr>
          <w:i/>
        </w:rPr>
        <w:t>L'intermédiation de la servitude</w:t>
      </w:r>
      <w:r>
        <w:t>,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pPr>
        <w:spacing w:before="40" w:after="120"/>
        <w:ind w:left="567"/>
        <w:pBdr>
          <w:left w:val="single" w:sz="18" w:space="8" w:color="D4A017"/>
        </w:pBdr>
      </w:pPr>
      <w:r>
        <w:rPr>
          <w:i/>
          <w:color w:val="8B1A1A"/>
          <w:sz w:val="20"/>
        </w:rPr>
        <w:t>**CONDITIONS POSSIBLES DE L'ÉCHEC**</w:t>
      </w:r>
    </w:p>
    <w:p>
      <w:pPr>
        <w:spacing w:before="40" w:after="120"/>
        <w:ind w:left="567"/>
        <w:pBdr>
          <w:left w:val="single" w:sz="18" w:space="8" w:color="D4A017"/>
        </w:pBdr>
      </w:pPr>
      <w:r>
        <w:rPr>
          <w:i/>
          <w:color w:val="8B1A1A"/>
          <w:sz w:val="20"/>
        </w:rPr>
        <w:t>1. **Personnalisation du pouvoir**: des transitions devenant des règnes personnels permanents, sans calendrier de sortie</w:t>
      </w:r>
    </w:p>
    <w:p>
      <w:pPr>
        <w:spacing w:before="40" w:after="120"/>
        <w:ind w:left="567"/>
        <w:pBdr>
          <w:left w:val="single" w:sz="18" w:space="8" w:color="D4A017"/>
        </w:pBdr>
      </w:pPr>
      <w:r>
        <w:rPr>
          <w:i/>
          <w:color w:val="8B1A1A"/>
          <w:sz w:val="20"/>
        </w:rPr>
        <w:t>2. **Compradorisme militaire**: des élites en uniforme reproduisant les logiques des élites civiles qu'elles ont remplacées</w:t>
      </w:r>
    </w:p>
    <w:p>
      <w:pPr>
        <w:spacing w:before="40" w:after="120"/>
        <w:ind w:left="567"/>
        <w:pBdr>
          <w:left w:val="single" w:sz="18" w:space="8" w:color="D4A017"/>
        </w:pBdr>
      </w:pPr>
      <w:r>
        <w:rPr>
          <w:i/>
          <w:color w:val="8B1A1A"/>
          <w:sz w:val="20"/>
        </w:rPr>
        <w:t>3. **Dépendance russe**: le remplacement d'une tutelle par une autre, même à des conditions différentes</w:t>
      </w:r>
    </w:p>
    <w:p>
      <w:pPr>
        <w:spacing w:before="40" w:after="120"/>
        <w:ind w:left="567"/>
        <w:pBdr>
          <w:left w:val="single" w:sz="18" w:space="8" w:color="D4A017"/>
        </w:pBdr>
      </w:pPr>
      <w:r>
        <w:rPr>
          <w:i/>
          <w:color w:val="8B1A1A"/>
          <w:sz w:val="20"/>
        </w:rPr>
        <w:t>4. **Fractures internes**: la violence contre les minorités, créant guerres civiles et terreau de recrutement jihadiste</w:t>
      </w:r>
    </w:p>
    <w:p>
      <w:pPr>
        <w:spacing w:before="40" w:after="120"/>
        <w:ind w:left="567"/>
        <w:pBdr>
          <w:left w:val="single" w:sz="18" w:space="8" w:color="D4A017"/>
        </w:pBdr>
      </w:pPr>
      <w:r>
        <w:rPr>
          <w:i/>
          <w:color w:val="8B1A1A"/>
          <w:sz w:val="20"/>
        </w:rPr>
        <w:t>5. **Échec sécuritaire**: l'incapacité à protéger les populations au-delà des grandes villes</w:t>
      </w:r>
    </w:p>
    <w:p>
      <w:pPr>
        <w:spacing w:before="40" w:after="120"/>
        <w:ind w:left="567"/>
        <w:pBdr>
          <w:left w:val="single" w:sz="18" w:space="8" w:color="D4A017"/>
        </w:pBdr>
      </w:pPr>
      <w:r>
        <w:rPr>
          <w:i/>
          <w:color w:val="8B1A1A"/>
          <w:sz w:val="20"/>
        </w:rPr>
        <w:t>6. **Échec économique**: sanctions et gestion déficiente débouchant sur une crise alimentaire qui délégitime les transitions</w:t>
      </w:r>
    </w:p>
    <w:p>
      <w:pPr>
        <w:spacing w:before="40" w:after="120"/>
        <w:ind w:left="567"/>
        <w:pBdr>
          <w:left w:val="single" w:sz="18" w:space="8" w:color="D4A017"/>
        </w:pBdr>
      </w:pPr>
      <w:r>
        <w:rPr>
          <w:i/>
          <w:color w:val="8B1A1A"/>
          <w:sz w:val="20"/>
        </w:rPr>
        <w:t>**CONDITIONS NÉCESSAIRES AU SUCCÈS**</w:t>
      </w:r>
    </w:p>
    <w:p>
      <w:pPr>
        <w:spacing w:before="40" w:after="120"/>
        <w:ind w:left="567"/>
        <w:pBdr>
          <w:left w:val="single" w:sz="18" w:space="8" w:color="D4A017"/>
        </w:pBdr>
      </w:pPr>
      <w:r>
        <w:rPr>
          <w:i/>
          <w:color w:val="8B1A1A"/>
          <w:sz w:val="20"/>
        </w:rPr>
        <w:t>1. **Transition démocratique programmée**: calendrier clair, institutions civiles, élections dotées d'une représentativité réelle</w:t>
      </w:r>
    </w:p>
    <w:p>
      <w:pPr>
        <w:spacing w:before="40" w:after="120"/>
        <w:ind w:left="567"/>
        <w:pBdr>
          <w:left w:val="single" w:sz="18" w:space="8" w:color="D4A017"/>
        </w:pBdr>
      </w:pPr>
      <w:r>
        <w:rPr>
          <w:i/>
          <w:color w:val="8B1A1A"/>
          <w:sz w:val="20"/>
        </w:rPr>
        <w:t>2. **Transparence budgétaire**: publication des comptes, lutte contre la corruption interne</w:t>
      </w:r>
    </w:p>
    <w:p>
      <w:pPr>
        <w:spacing w:before="40" w:after="120"/>
        <w:ind w:left="567"/>
        <w:pBdr>
          <w:left w:val="single" w:sz="18" w:space="8" w:color="D4A017"/>
        </w:pBdr>
      </w:pPr>
      <w:r>
        <w:rPr>
          <w:i/>
          <w:color w:val="8B1A1A"/>
          <w:sz w:val="20"/>
        </w:rPr>
        <w:t>3. **Souveraineté monétaire**: une stratégie de transition crédible, avec gestion des risques inflationnistes</w:t>
      </w:r>
    </w:p>
    <w:p>
      <w:pPr>
        <w:spacing w:before="40" w:after="120"/>
        <w:ind w:left="567"/>
        <w:pBdr>
          <w:left w:val="single" w:sz="18" w:space="8" w:color="D4A017"/>
        </w:pBdr>
      </w:pPr>
      <w:r>
        <w:rPr>
          <w:i/>
          <w:color w:val="8B1A1A"/>
          <w:sz w:val="20"/>
        </w:rPr>
        <w:t>4. **Diversification stratégique**: ne pas répéter avec Moscou ou Pékin ce qui a été fait avec Paris</w:t>
      </w:r>
    </w:p>
    <w:p>
      <w:pPr>
        <w:spacing w:before="40" w:after="120"/>
        <w:ind w:left="567"/>
        <w:pBdr>
          <w:left w:val="single" w:sz="18" w:space="8" w:color="D4A017"/>
        </w:pBdr>
      </w:pPr>
      <w:r>
        <w:rPr>
          <w:i/>
          <w:color w:val="8B1A1A"/>
          <w:sz w:val="20"/>
        </w:rPr>
        <w:t>5. **Justice interne**: protection des minorités, redevabilité des forces de sécurité</w:t>
      </w:r>
    </w:p>
    <w:p>
      <w:pPr>
        <w:spacing w:before="40" w:after="120"/>
        <w:ind w:left="567"/>
        <w:pBdr>
          <w:left w:val="single" w:sz="18" w:space="8" w:color="D4A017"/>
        </w:pBdr>
      </w:pPr>
      <w:r>
        <w:rPr>
          <w:i/>
          <w:color w:val="8B1A1A"/>
          <w:sz w:val="20"/>
        </w:rPr>
        <w:t>6. **Mobilisation de la diaspora**: politiques actives d'investissement et de retour des compétences</w:t>
      </w:r>
    </w:p>
    <w:p>
      <w:pPr>
        <w:spacing w:before="40" w:after="120"/>
        <w:ind w:left="567"/>
        <w:pBdr>
          <w:left w:val="single" w:sz="18" w:space="8" w:color="D4A017"/>
        </w:pBdr>
      </w:pPr>
      <w:r>
        <w:rPr>
          <w:i/>
          <w:color w:val="8B1A1A"/>
          <w:sz w:val="20"/>
        </w:rPr>
        <w:t>7. **Service militaire élargi**: selon Nathalie Yamb, un outil de conscientisation citoyenne, pas seulement de défense</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 Rappelons-le une fois encore, car l'honnêteté l'exige: les gouvernements de l'AES sont militaires et non issus d'élections, une question traitée à fond au chapitre 25.</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 xml:space="preserve">Le chercheur Mohammad-Mahmoud Ould Mohamedou posait, dès 2013, la question qui fonde toute l'aventure: « Peut-on réintroduire la souveraineté de l'État lorsqu'on l'écorne toujours un peu plus?» (in </w:t>
      </w:r>
      <w:r>
        <w:rPr>
          <w:i/>
        </w:rPr>
        <w:t>La Guerre au Mali</w:t>
      </w:r>
      <w:r>
        <w:t>,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 Macron lui-même a fixé l'enjeu à Nairobi: si l'AES échoue, dit-il en substance, c'est l'Europe qui n'a aucune chance.</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rPr>
          <w:i/>
        </w:rP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rPr>
          <w:b/>
        </w:rPr>
        <w:t>1884-1885</w:t>
      </w:r>
      <w:r>
        <w:t xml:space="preserve"> — Conférence de Berlin: quatorze puissances européennes se partagent l'Afrique.</w:t>
      </w:r>
    </w:p>
    <w:p>
      <w:r>
        <w:rPr>
          <w:b/>
        </w:rPr>
        <w:t>1900</w:t>
      </w:r>
      <w:r>
        <w:t xml:space="preserve"> — La loi française d'autonomie financière des colonies impose aux colonisés de financer leur propre administration.</w:t>
      </w:r>
    </w:p>
    <w:p>
      <w:r>
        <w:rPr>
          <w:b/>
        </w:rPr>
        <w:t>1945</w:t>
      </w:r>
      <w:r>
        <w:t xml:space="preserve"> — Création du franc CFA (26 décembre).</w:t>
      </w:r>
    </w:p>
    <w:p>
      <w:r>
        <w:rPr>
          <w:b/>
        </w:rPr>
        <w:t>1957</w:t>
      </w:r>
      <w:r>
        <w:t xml:space="preserve"> — Le Ghana de Kwame Nkrumah devient le premier pays d'Afrique subsaharienne colonisée à accéder à l'indépendance.</w:t>
      </w:r>
    </w:p>
    <w:p>
      <w:r>
        <w:rPr>
          <w:b/>
        </w:rPr>
        <w:t>1958</w:t>
      </w:r>
      <w:r>
        <w:t xml:space="preserve"> — La Guinée de Sékou Touré vote « non» au référendum de De Gaulle (28 septembre); représailles immédiates de la France.</w:t>
      </w:r>
    </w:p>
    <w:p>
      <w:r>
        <w:rPr>
          <w:b/>
        </w:rPr>
        <w:t>1960</w:t>
      </w:r>
      <w:r>
        <w:t xml:space="preserve"> — « Année de l'Afrique»: dix-sept pays accèdent à l'indépendance, dont le Mali, le Niger et la Haute-Volta (futur Burkina Faso).</w:t>
      </w:r>
    </w:p>
    <w:p>
      <w:r>
        <w:rPr>
          <w:b/>
        </w:rPr>
        <w:t>1961</w:t>
      </w:r>
      <w:r>
        <w:t xml:space="preserve"> — Assassinat de Patrice Lumumba (17 janvier).</w:t>
      </w:r>
    </w:p>
    <w:p>
      <w:r>
        <w:rPr>
          <w:b/>
        </w:rPr>
        <w:t>1963</w:t>
      </w:r>
      <w:r>
        <w:t xml:space="preserve"> — Assassinat de Sylvanus Olympio, premier président du Togo.</w:t>
      </w:r>
    </w:p>
    <w:p>
      <w:r>
        <w:rPr>
          <w:b/>
        </w:rPr>
        <w:t>1968</w:t>
      </w:r>
      <w:r>
        <w:t xml:space="preserve"> — Renversement de Modibo Keïta au Mali.</w:t>
      </w:r>
    </w:p>
    <w:p>
      <w:r>
        <w:rPr>
          <w:b/>
        </w:rPr>
        <w:t>1971</w:t>
      </w:r>
      <w:r>
        <w:t xml:space="preserve"> — La Cogema (future Areva, puis Orano) installe ses puits d'uranium à Arlit, au Niger.</w:t>
      </w:r>
    </w:p>
    <w:p>
      <w:r>
        <w:rPr>
          <w:b/>
        </w:rPr>
        <w:t>1983-1987</w:t>
      </w:r>
      <w:r>
        <w:t xml:space="preserve"> — Présidence de Thomas Sankara au Burkina Faso; assassiné le 15 octobre 1987.</w:t>
      </w:r>
    </w:p>
    <w:p>
      <w:r>
        <w:rPr>
          <w:b/>
        </w:rPr>
        <w:t>1994</w:t>
      </w:r>
      <w:r>
        <w:t xml:space="preserve"> — Dévaluation du franc CFA.</w:t>
      </w:r>
    </w:p>
    <w:p>
      <w:r>
        <w:rPr>
          <w:b/>
        </w:rPr>
        <w:t>2011</w:t>
      </w:r>
      <w:r>
        <w:t xml:space="preserve"> — Intervention de l'OTAN en Libye; chute et mort de Mouammar Kadhafi; dispersion des arsenaux dans le Sahel.</w:t>
      </w:r>
    </w:p>
    <w:p>
      <w:r>
        <w:rPr>
          <w:b/>
        </w:rPr>
        <w:t>2012</w:t>
      </w:r>
      <w:r>
        <w:t xml:space="preserve"> — Effondrement du nord du Mali; proclamation de l'Azawad.</w:t>
      </w:r>
    </w:p>
    <w:p>
      <w:r>
        <w:rPr>
          <w:b/>
        </w:rPr>
        <w:t>2013</w:t>
      </w:r>
      <w:r>
        <w:t xml:space="preserve"> — Opération Serval (janvier).</w:t>
      </w:r>
    </w:p>
    <w:p>
      <w:r>
        <w:rPr>
          <w:b/>
        </w:rPr>
        <w:t>2014</w:t>
      </w:r>
      <w:r>
        <w:t xml:space="preserve"> — Lancement de l'opération Barkhane (août).</w:t>
      </w:r>
    </w:p>
    <w:p>
      <w:r>
        <w:rPr>
          <w:b/>
        </w:rPr>
        <w:t>18 août 2020</w:t>
      </w:r>
      <w:r>
        <w:t xml:space="preserve"> — Première transition militaire au Mali (Kati); arrivée d'Assimi Goïta.</w:t>
      </w:r>
    </w:p>
    <w:p>
      <w:r>
        <w:rPr>
          <w:b/>
        </w:rPr>
        <w:t>Janvier-septembre 2022</w:t>
      </w:r>
      <w:r>
        <w:t xml:space="preserve"> — Au Burkina Faso, Damiba renverse Kaboré (janvier), puis le capitaine Ibrahim Traoré renverse Damiba (septembre).</w:t>
      </w:r>
    </w:p>
    <w:p>
      <w:r>
        <w:rPr>
          <w:b/>
        </w:rPr>
        <w:t>Août 2022</w:t>
      </w:r>
      <w:r>
        <w:t xml:space="preserve"> — Expulsion de Barkhane du Mali.</w:t>
      </w:r>
    </w:p>
    <w:p>
      <w:r>
        <w:rPr>
          <w:b/>
        </w:rPr>
        <w:t>26 juillet 2023</w:t>
      </w:r>
      <w:r>
        <w:t xml:space="preserve"> — Transition militaire au Niger; le général Tiani prend la tête du CNSP.</w:t>
      </w:r>
    </w:p>
    <w:p>
      <w:r>
        <w:rPr>
          <w:b/>
        </w:rPr>
        <w:t>16 septembre 2023</w:t>
      </w:r>
      <w:r>
        <w:t xml:space="preserve"> — Signature de la Charte du Liptako-Gourma: naissance de l'Alliance des États du Sahel.</w:t>
      </w:r>
    </w:p>
    <w:p>
      <w:r>
        <w:rPr>
          <w:b/>
        </w:rPr>
        <w:t>14 novembre 2023</w:t>
      </w:r>
      <w:r>
        <w:t xml:space="preserve"> — Les Forces armées maliennes reprennent Kidal.</w:t>
      </w:r>
    </w:p>
    <w:p>
      <w:r>
        <w:rPr>
          <w:b/>
        </w:rPr>
        <w:t>28 janvier 2024</w:t>
      </w:r>
      <w:r>
        <w:t xml:space="preserve"> — Retrait du Mali, du Burkina Faso et du Niger de la CEDEAO.</w:t>
      </w:r>
    </w:p>
    <w:p>
      <w:r>
        <w:rPr>
          <w:b/>
        </w:rPr>
        <w:t>Mars-printemps 2024</w:t>
      </w:r>
      <w:r>
        <w:t xml:space="preserve"> — Départ des dernières forces françaises et américaines du Niger; fermeture de la base d'Agadez.</w:t>
      </w:r>
    </w:p>
    <w:p>
      <w:r>
        <w:rPr>
          <w:b/>
        </w:rPr>
        <w:t>6 juillet 2024</w:t>
      </w:r>
      <w:r>
        <w:t xml:space="preserve"> — Proclamation de la Confédération des États du Sahel (sommet de Niamey).</w:t>
      </w:r>
    </w:p>
    <w:p>
      <w:r>
        <w:rPr>
          <w:b/>
        </w:rPr>
        <w:t>Juillet-août 2024</w:t>
      </w:r>
      <w:r>
        <w:t xml:space="preserve"> — Défaite de Tinzawaten; le renseignement militaire ukrainien reconnaît un appui aux assaillants; saisine conjointe du Conseil de sécurité de l'ONU par les trois États de l'AES (19 août).</w:t>
      </w:r>
    </w:p>
    <w:p>
      <w:r>
        <w:rPr>
          <w:b/>
        </w:rPr>
        <w:t>Mars 2025</w:t>
      </w:r>
      <w:r>
        <w:t xml:space="preserve"> — Retrait de l'AES de l'Organisation internationale de la Francophonie.</w:t>
      </w:r>
    </w:p>
    <w:p>
      <w:r>
        <w:rPr>
          <w:b/>
        </w:rPr>
        <w:t>22 septembre 2025</w:t>
      </w:r>
      <w:r>
        <w:t xml:space="preserve"> — Retrait des trois États de la Cour pénale internationale.</w:t>
      </w:r>
    </w:p>
    <w:p>
      <w:r>
        <w:rPr>
          <w:b/>
        </w:rPr>
        <w:t>21 décembre 2025</w:t>
      </w:r>
      <w:r>
        <w:t xml:space="preserve"> — Installation de la Force unifiée de l'AES.</w:t>
      </w:r>
    </w:p>
    <w:p>
      <w:r>
        <w:rPr>
          <w:b/>
        </w:rPr>
        <w:t>25 avril 2026</w:t>
      </w:r>
      <w:r>
        <w:t xml:space="preserve"> — Attaques coordonnées sur Bamako, Kati, Kidal, Gao et Sévaré; mort du général Sadio Camara.</w:t>
      </w:r>
    </w:p>
    <w:p>
      <w:r>
        <w:rPr>
          <w:b/>
        </w:rPr>
        <w:t>9 mai 2026</w:t>
      </w:r>
      <w:r>
        <w:t xml:space="preserve"> — RTL France rapporte la coopération d'ex-légionnaires avec le renseignement militaire ukrainien contre le Mali.</w:t>
      </w:r>
    </w:p>
    <w:p>
      <w:r>
        <w:rPr>
          <w:b/>
        </w:rPr>
        <w:t>7 juin 2026</w:t>
      </w:r>
      <w:r>
        <w:t xml:space="preserve"> —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 xml:space="preserve">EHM — </w:t>
      </w:r>
      <w:r>
        <w:rPr>
          <w:i/>
        </w:rPr>
        <w:t>Economic Hit Man</w:t>
      </w:r>
      <w:r>
        <w:t xml:space="preserve">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 xml:space="preserve">SWP — </w:t>
      </w:r>
      <w:r>
        <w:rPr>
          <w:i/>
        </w:rPr>
        <w:t>Stiftung Wissenschaft und Politik</w:t>
      </w:r>
      <w:r>
        <w:t xml:space="preserve">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rPr>
          <w:i/>
        </w:rP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rPr>
          <w:b/>
        </w:rPr>
        <w:t>recoupée par des sources situées de part et d'autre du conflit</w:t>
      </w:r>
      <w:r>
        <w: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rPr>
          <w:b/>
        </w:rPr>
        <w:t>Sur le vocabulaire.</w:t>
      </w:r>
      <w:r>
        <w:t xml:space="preserv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rPr>
          <w:b/>
        </w:rPr>
        <w:t>Sur les sources engagées.</w:t>
      </w:r>
      <w:r>
        <w:t xml:space="preserve">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rPr>
          <w:b/>
        </w:rPr>
        <w:t>Sur les limites.</w:t>
      </w:r>
      <w:r>
        <w:t xml:space="preserve">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 xml:space="preserve">Raphaël Granvaud, </w:t>
      </w:r>
      <w:r>
        <w:rPr>
          <w:i/>
        </w:rPr>
        <w:t>De l'huile sur le feu</w:t>
      </w:r>
      <w:r>
        <w:t xml:space="preserve"> (Lux Éditeur, 2024, coll. Dossiers noirs /</w:t>
      </w:r>
    </w:p>
    <w:p>
      <w:r>
        <w:t>Survie) — opération Sabre, fabrication juridique de Serval, mécanisme de l'aide-influence,</w:t>
      </w:r>
    </w:p>
    <w:p>
      <w:r>
        <w:t>rôle des sociétés privées de sécurité.</w:t>
      </w:r>
    </w:p>
    <w:p>
      <w:pPr>
        <w:pStyle w:val="ListBullet"/>
      </w:pPr>
      <w:r>
        <w:t xml:space="preserve">Thomas Dietrich, </w:t>
      </w:r>
      <w:r>
        <w:rPr>
          <w:i/>
        </w:rPr>
        <w:t>L'armée fantôme de Paris</w:t>
      </w:r>
      <w:r>
        <w:t xml:space="preserve"> (2024) — présence française résiduelle au</w:t>
      </w:r>
    </w:p>
    <w:p>
      <w:r>
        <w:t>Bénin, école cyber du 43e BIMA.</w:t>
      </w:r>
    </w:p>
    <w:p>
      <w:pPr>
        <w:pStyle w:val="ListBullet"/>
      </w:pPr>
      <w:r>
        <w:t xml:space="preserve">Pierre Péan, </w:t>
      </w:r>
      <w:r>
        <w:rPr>
          <w:i/>
        </w:rPr>
        <w:t>Carnages</w:t>
      </w:r>
      <w:r>
        <w:t xml:space="preserve">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pPr>
        <w:spacing w:before="40" w:after="120"/>
        <w:ind w:left="567"/>
        <w:pBdr>
          <w:left w:val="single" w:sz="18" w:space="8" w:color="D4A017"/>
        </w:pBdr>
      </w:pPr>
      <w:r>
        <w:rPr>
          <w:i/>
          <w:color w:val="8B1A1A"/>
          <w:sz w:val="20"/>
        </w:rPr>
        <w:t>**Note de transparence.** Deux citations de dirigeants français qui circulent dans le débat public — la phrase</w:t>
      </w:r>
    </w:p>
    <w:p>
      <w:pPr>
        <w:spacing w:before="40" w:after="120"/>
        <w:ind w:left="567"/>
        <w:pBdr>
          <w:left w:val="single" w:sz="18" w:space="8" w:color="D4A017"/>
        </w:pBdr>
      </w:pPr>
      <w:r>
        <w:rPr>
          <w:i/>
          <w:color w:val="8B1A1A"/>
          <w:sz w:val="20"/>
        </w:rPr>
        <w:t>attribuée à Nicolas Sarkozy sur « la civilisation européenne» et celle prêtée à</w:t>
      </w:r>
    </w:p>
    <w:p>
      <w:pPr>
        <w:spacing w:before="40" w:after="120"/>
        <w:ind w:left="567"/>
        <w:pBdr>
          <w:left w:val="single" w:sz="18" w:space="8" w:color="D4A017"/>
        </w:pBdr>
      </w:pPr>
      <w:r>
        <w:rPr>
          <w:i/>
          <w:color w:val="8B1A1A"/>
          <w:sz w:val="20"/>
        </w:rPr>
        <w:t>Charles de Gaulle (1966) sur la francophonie qui « prendrait le relais de la colonisation» —</w:t>
      </w:r>
    </w:p>
    <w:p>
      <w:pPr>
        <w:spacing w:before="40" w:after="120"/>
        <w:ind w:left="567"/>
        <w:pBdr>
          <w:left w:val="single" w:sz="18" w:space="8" w:color="D4A017"/>
        </w:pBdr>
      </w:pPr>
      <w:r>
        <w:rPr>
          <w:i/>
          <w:color w:val="8B1A1A"/>
          <w:sz w:val="20"/>
        </w:rPr>
        <w:t>n'ont pas de source primaire vérifiable à ce jour. Elles sont signalées comme telles dans</w:t>
      </w:r>
    </w:p>
    <w:p>
      <w:pPr>
        <w:spacing w:before="40" w:after="120"/>
        <w:ind w:left="567"/>
        <w:pBdr>
          <w:left w:val="single" w:sz="18" w:space="8" w:color="D4A017"/>
        </w:pBdr>
      </w:pPr>
      <w:r>
        <w:rPr>
          <w:i/>
          <w:color w:val="8B1A1A"/>
          <w:sz w:val="20"/>
        </w:rP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 xml:space="preserve">au Sahel», in Michel Galy (dir.), </w:t>
      </w:r>
      <w:r>
        <w:rPr>
          <w:i/>
        </w:rPr>
        <w:t>La Guerre au Mali</w:t>
      </w:r>
      <w:r>
        <w:t>, La Découverte, 2013 — généalogie</w:t>
      </w:r>
    </w:p>
    <w:p>
      <w:r>
        <w:t>du jihadisme sahélien, normalisation de l'interventionnisme.</w:t>
      </w:r>
    </w:p>
    <w:p>
      <w:pPr>
        <w:pStyle w:val="ListBullet"/>
      </w:pPr>
      <w:r>
        <w:t xml:space="preserve">SWP (Institut allemand pour les affaires internationales et la sécurité), </w:t>
      </w:r>
      <w:r>
        <w:rPr>
          <w:i/>
        </w:rPr>
        <w:t>Comment</w:t>
      </w:r>
    </w:p>
    <w:p>
      <w:r>
        <w:t>n° 19, mai 2026 (Kurtz, Lacher, Roll) — rôle déstabilisateur des Émirats arabes unis.</w:t>
      </w:r>
    </w:p>
    <w:p>
      <w:pPr>
        <w:pStyle w:val="ListBullet"/>
      </w:pPr>
      <w:r>
        <w:t xml:space="preserve">Frédéric Turpin, </w:t>
      </w:r>
      <w:r>
        <w:rPr>
          <w:i/>
        </w:rPr>
        <w:t>Jacques Foccart, dans l'ombre du pouvoir</w:t>
      </w:r>
      <w:r>
        <w:t xml:space="preserve"> (CNRS Éditions, 2015).</w:t>
      </w:r>
    </w:p>
    <w:p>
      <w:pPr>
        <w:pStyle w:val="ListBullet"/>
      </w:pPr>
      <w:r>
        <w:t xml:space="preserve">John Perkins, </w:t>
      </w:r>
      <w:r>
        <w:rPr>
          <w:i/>
        </w:rPr>
        <w:t>Confessions of an Economic Hit Man</w:t>
      </w:r>
      <w:r>
        <w:t xml:space="preserve"> (2004).</w:t>
      </w:r>
    </w:p>
    <w:p>
      <w:pPr>
        <w:pStyle w:val="ListBullet"/>
      </w:pPr>
      <w:r>
        <w:t>PNUD (indice de développement humain), Banque mondiale, ACLED (2015-2022),</w:t>
      </w:r>
    </w:p>
    <w:p>
      <w:r>
        <w:rPr>
          <w:b/>
        </w:rPr>
        <w:t>Haut Comité français pour la transparence nucléaire</w:t>
      </w:r>
      <w:r>
        <w:t xml:space="preserve">, </w:t>
      </w:r>
      <w:r>
        <w:rPr>
          <w:b/>
        </w:rPr>
        <w:t>CNUCED</w:t>
      </w:r>
      <w:r>
        <w:t>.</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 xml:space="preserve">Nathalie Yamb (chroniques </w:t>
      </w:r>
      <w:r>
        <w:rPr>
          <w:i/>
        </w:rPr>
        <w:t>Afrique Résurrection</w:t>
      </w:r>
      <w:r>
        <w:t>,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