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Date</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n'est pas un dérapage. C'est une doctrine.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n'est pas un fait divers historique. C'est l'un des nœuds du contentieux franco-africain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 n'est pas de l'anti-France. C'est de la comptabilité élémentaire.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Étape</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Élément</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Niveau</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Terme officiel</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Projet</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Ce qui s'est déversé vers le Sahel</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Réalité des corridors transsahariens</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n'est pas une preuve de légitimité. C'est une preuve d'injustice institutionnalisée.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Grief</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n'est pas un slogan. C'est une organisation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Dispositif</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Donateur / année</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Dimension</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pPr>
              <w:jc w:val="right"/>
            </w:pPr>
            <w:r>
              <w:rPr>
                <w:rFonts w:ascii="FreeSerif" w:hAnsi="FreeSerif"/>
                <w:i/>
                <w:color w:val="2C3A4A"/>
                <w:sz w:val="18"/>
              </w:rPr>
              <w:t>Fait documenté</w:t>
            </w:r>
          </w:p>
        </w:tc>
        <w:tc>
          <w:tcPr>
            <w:tcW w:type="dxa" w:w="4677"/>
            <w:tcBorders>
              <w:bottom w:val="none" w:sz="0" w:space="0" w:color="auto"/>
              <w:insideH w:val="none" w:sz="0" w:space="0" w:color="auto"/>
              <w:left w:val="none" w:sz="0" w:space="0" w:color="auto"/>
              <w:top w:val="none" w:sz="0" w:space="0" w:color="auto"/>
              <w:right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